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9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490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490335"/>
                    </a:xfrm>
                    <a:prstGeom prst="rect">
                      <a:avLst/>
                    </a:prstGeom>
                    <a:noFill/>
                  </pic:spPr>
                </pic:pic>
              </a:graphicData>
            </a:graphic>
          </wp:anchor>
        </w:drawing>
      </w:r>
    </w:p>
    <w:p>
      <w:pPr>
        <w:spacing w:after="0" w:line="1222" w:lineRule="exact"/>
        <w:rPr>
          <w:sz w:val="24"/>
          <w:szCs w:val="24"/>
          <w:color w:val="auto"/>
        </w:rPr>
      </w:pPr>
    </w:p>
    <w:p>
      <w:pPr>
        <w:sectPr>
          <w:pgSz w:w="11900" w:h="16861" w:orient="portrait"/>
          <w:cols w:equalWidth="0" w:num="2">
            <w:col w:w="2320" w:space="160"/>
            <w:col w:w="860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76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SEBULSKY ALAN</w:t>
              </w:r>
            </w:hyperlink>
          </w:p>
        </w:tc>
        <w:tc>
          <w:tcPr>
            <w:tcW w:w="18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Parabilis Medicines,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PBLS</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760" w:type="dxa"/>
            <w:vAlign w:val="bottom"/>
            <w:gridSpan w:val="2"/>
            <w:vMerge w:val="continue"/>
          </w:tcPr>
          <w:p>
            <w:pPr>
              <w:spacing w:after="0"/>
              <w:rPr>
                <w:sz w:val="6"/>
                <w:szCs w:val="6"/>
                <w:color w:val="auto"/>
              </w:rPr>
            </w:pPr>
          </w:p>
        </w:tc>
        <w:tc>
          <w:tcPr>
            <w:tcW w:w="18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20" w:type="dxa"/>
            <w:vAlign w:val="bottom"/>
            <w:tcBorders>
              <w:bottom w:val="single" w:sz="8" w:color="0000EE"/>
            </w:tcBorders>
          </w:tcPr>
          <w:p>
            <w:pPr>
              <w:spacing w:after="0"/>
              <w:rPr>
                <w:sz w:val="6"/>
                <w:szCs w:val="6"/>
                <w:color w:val="auto"/>
              </w:rPr>
            </w:pPr>
          </w:p>
        </w:tc>
        <w:tc>
          <w:tcPr>
            <w:tcW w:w="16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5"/>
                <w:szCs w:val="5"/>
                <w:color w:val="auto"/>
              </w:rPr>
            </w:pPr>
          </w:p>
        </w:tc>
        <w:tc>
          <w:tcPr>
            <w:tcW w:w="1760" w:type="dxa"/>
            <w:vAlign w:val="bottom"/>
            <w:tcBorders>
              <w:bottom w:val="single" w:sz="8" w:color="0000EE"/>
            </w:tcBorders>
            <w:gridSpan w:val="2"/>
            <w:vMerge w:val="continue"/>
          </w:tcPr>
          <w:p>
            <w:pPr>
              <w:spacing w:after="0"/>
              <w:rPr>
                <w:sz w:val="5"/>
                <w:szCs w:val="5"/>
                <w:color w:val="auto"/>
              </w:rPr>
            </w:pPr>
          </w:p>
        </w:tc>
        <w:tc>
          <w:tcPr>
            <w:tcW w:w="18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120" w:type="dxa"/>
            <w:vAlign w:val="bottom"/>
          </w:tcPr>
          <w:p>
            <w:pPr>
              <w:spacing w:after="0"/>
              <w:rPr>
                <w:sz w:val="5"/>
                <w:szCs w:val="5"/>
                <w:color w:val="auto"/>
              </w:rPr>
            </w:pPr>
          </w:p>
        </w:tc>
        <w:tc>
          <w:tcPr>
            <w:tcW w:w="16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980" w:type="dxa"/>
            <w:vAlign w:val="bottom"/>
          </w:tcPr>
          <w:p>
            <w:pPr>
              <w:spacing w:after="0"/>
              <w:rPr>
                <w:sz w:val="6"/>
                <w:szCs w:val="6"/>
                <w:color w:val="auto"/>
              </w:rPr>
            </w:pPr>
          </w:p>
        </w:tc>
        <w:tc>
          <w:tcPr>
            <w:tcW w:w="18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20" w:type="dxa"/>
            <w:vAlign w:val="bottom"/>
          </w:tcPr>
          <w:p>
            <w:pPr>
              <w:spacing w:after="0"/>
              <w:rPr>
                <w:sz w:val="6"/>
                <w:szCs w:val="6"/>
                <w:color w:val="auto"/>
              </w:rPr>
            </w:pPr>
          </w:p>
        </w:tc>
        <w:tc>
          <w:tcPr>
            <w:tcW w:w="16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8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980" w:type="dxa"/>
            <w:vAlign w:val="bottom"/>
            <w:tcBorders>
              <w:top w:val="single" w:sz="8" w:color="EEEEEE"/>
            </w:tcBorders>
          </w:tcPr>
          <w:p>
            <w:pPr>
              <w:spacing w:after="0"/>
              <w:rPr>
                <w:sz w:val="2"/>
                <w:szCs w:val="2"/>
                <w:color w:val="auto"/>
              </w:rPr>
            </w:pPr>
          </w:p>
        </w:tc>
        <w:tc>
          <w:tcPr>
            <w:tcW w:w="18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98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880" w:type="dxa"/>
            <w:vAlign w:val="bottom"/>
            <w:vMerge w:val="restart"/>
          </w:tcPr>
          <w:p>
            <w:pPr>
              <w:ind w:left="6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1880" w:type="dxa"/>
            <w:vAlign w:val="bottom"/>
            <w:vMerge w:val="continue"/>
          </w:tcPr>
          <w:p>
            <w:pPr>
              <w:spacing w:after="0"/>
              <w:rPr>
                <w:sz w:val="8"/>
                <w:szCs w:val="8"/>
                <w:color w:val="auto"/>
              </w:rPr>
            </w:pPr>
          </w:p>
        </w:tc>
        <w:tc>
          <w:tcPr>
            <w:tcW w:w="22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06/12/2026</w:t>
            </w:r>
          </w:p>
        </w:tc>
        <w:tc>
          <w:tcPr>
            <w:tcW w:w="16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PARABILIS MEDICINES, INC.</w:t>
            </w:r>
          </w:p>
        </w:tc>
        <w:tc>
          <w:tcPr>
            <w:tcW w:w="2280" w:type="dxa"/>
            <w:vAlign w:val="bottom"/>
            <w:gridSpan w:val="3"/>
            <w:vMerge w:val="continue"/>
          </w:tcPr>
          <w:p>
            <w:pPr>
              <w:spacing w:after="0"/>
              <w:rPr>
                <w:sz w:val="11"/>
                <w:szCs w:val="11"/>
                <w:color w:val="auto"/>
              </w:rPr>
            </w:pPr>
          </w:p>
        </w:tc>
        <w:tc>
          <w:tcPr>
            <w:tcW w:w="16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30 ACORN PARK DRIVE, 6TH FLOOR</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120" w:type="dxa"/>
            <w:vAlign w:val="bottom"/>
            <w:tcBorders>
              <w:bottom w:val="single" w:sz="8" w:color="2C2C2C"/>
            </w:tcBorders>
          </w:tcPr>
          <w:p>
            <w:pPr>
              <w:spacing w:after="0"/>
              <w:rPr>
                <w:sz w:val="12"/>
                <w:szCs w:val="12"/>
                <w:color w:val="auto"/>
              </w:rPr>
            </w:pPr>
          </w:p>
        </w:tc>
        <w:tc>
          <w:tcPr>
            <w:tcW w:w="16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8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61" w:orient="portrait"/>
          <w:cols w:equalWidth="0" w:num="1">
            <w:col w:w="11080"/>
          </w:cols>
          <w:pgMar w:left="460" w:top="219" w:right="359" w:bottom="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CAMBRIDGE</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02140</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61" w:orient="portrait"/>
          <w:cols w:equalWidth="0" w:num="2">
            <w:col w:w="7540" w:space="720"/>
            <w:col w:w="282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18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w w:val="98"/>
              </w:rPr>
              <w:t>2A. Deemed</w:t>
            </w: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420" w:type="dxa"/>
            <w:vAlign w:val="bottom"/>
          </w:tcPr>
          <w:p>
            <w:pPr>
              <w:spacing w:after="0"/>
              <w:rPr>
                <w:sz w:val="13"/>
                <w:szCs w:val="13"/>
                <w:color w:val="auto"/>
              </w:rPr>
            </w:pPr>
          </w:p>
        </w:tc>
        <w:tc>
          <w:tcPr>
            <w:tcW w:w="21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3"/>
                <w:szCs w:val="13"/>
                <w:color w:val="auto"/>
              </w:rPr>
            </w:pP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4"/>
          </w:tcPr>
          <w:p>
            <w:pPr>
              <w:jc w:val="center"/>
              <w:ind w:right="12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4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00" w:type="dxa"/>
            <w:vAlign w:val="bottom"/>
          </w:tcPr>
          <w:p>
            <w:pPr>
              <w:spacing w:after="0"/>
              <w:rPr>
                <w:sz w:val="11"/>
                <w:szCs w:val="11"/>
                <w:color w:val="auto"/>
              </w:rPr>
            </w:pP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3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(D) or</w:t>
            </w:r>
          </w:p>
        </w:tc>
        <w:tc>
          <w:tcPr>
            <w:tcW w:w="5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500" w:type="dxa"/>
            <w:vAlign w:val="bottom"/>
          </w:tcPr>
          <w:p>
            <w:pPr>
              <w:spacing w:after="0"/>
              <w:rPr>
                <w:sz w:val="11"/>
                <w:szCs w:val="11"/>
                <w:color w:val="auto"/>
              </w:rPr>
            </w:pP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Indirect (I)</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Borders>
              <w:bottom w:val="single" w:sz="8" w:color="808080"/>
            </w:tcBorders>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420" w:type="dxa"/>
            <w:vAlign w:val="bottom"/>
            <w:tcBorders>
              <w:bottom w:val="single" w:sz="8" w:color="808080"/>
            </w:tcBorders>
          </w:tcPr>
          <w:p>
            <w:pPr>
              <w:spacing w:after="0"/>
              <w:rPr>
                <w:sz w:val="13"/>
                <w:szCs w:val="13"/>
                <w:color w:val="auto"/>
              </w:rPr>
            </w:pPr>
          </w:p>
        </w:tc>
        <w:tc>
          <w:tcPr>
            <w:tcW w:w="740" w:type="dxa"/>
            <w:vAlign w:val="bottom"/>
            <w:tcBorders>
              <w:bottom w:val="single" w:sz="8" w:color="808080"/>
            </w:tcBorders>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94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Following</w:t>
            </w:r>
          </w:p>
        </w:tc>
        <w:tc>
          <w:tcPr>
            <w:tcW w:w="500" w:type="dxa"/>
            <w:vAlign w:val="bottom"/>
          </w:tcPr>
          <w:p>
            <w:pPr>
              <w:spacing w:after="0"/>
              <w:rPr>
                <w:sz w:val="13"/>
                <w:szCs w:val="13"/>
                <w:color w:val="auto"/>
              </w:rPr>
            </w:pP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Borders>
              <w:top w:val="single" w:sz="8" w:color="2C2C2C"/>
            </w:tcBorders>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1380" w:type="dxa"/>
            <w:vAlign w:val="bottom"/>
            <w:tcBorders>
              <w:top w:val="single" w:sz="8" w:color="2C2C2C"/>
            </w:tcBorders>
            <w:gridSpan w:val="3"/>
            <w:vMerge w:val="restart"/>
          </w:tcPr>
          <w:p>
            <w:pPr>
              <w:ind w:left="100"/>
              <w:spacing w:after="0" w:line="246" w:lineRule="exact"/>
              <w:rPr>
                <w:sz w:val="20"/>
                <w:szCs w:val="20"/>
                <w:color w:val="auto"/>
              </w:rPr>
            </w:pPr>
            <w:r>
              <w:rPr>
                <w:rFonts w:ascii="Arial" w:cs="Arial" w:eastAsia="Arial" w:hAnsi="Arial"/>
                <w:sz w:val="12"/>
                <w:szCs w:val="12"/>
                <w:b w:val="1"/>
                <w:bCs w:val="1"/>
                <w:color w:val="auto"/>
              </w:rPr>
              <w:t xml:space="preserve">(A) or  </w:t>
            </w:r>
            <w:r>
              <w:rPr>
                <w:rFonts w:ascii="Arial" w:cs="Arial" w:eastAsia="Arial" w:hAnsi="Arial"/>
                <w:sz w:val="23"/>
                <w:szCs w:val="23"/>
                <w:b w:val="1"/>
                <w:bCs w:val="1"/>
                <w:color w:val="auto"/>
                <w:vertAlign w:val="subscript"/>
              </w:rPr>
              <w:t>Price</w:t>
            </w:r>
          </w:p>
        </w:tc>
        <w:tc>
          <w:tcPr>
            <w:tcW w:w="40" w:type="dxa"/>
            <w:vAlign w:val="bottom"/>
            <w:tcBorders>
              <w:top w:val="single" w:sz="8" w:color="2C2C2C"/>
            </w:tcBorders>
          </w:tcPr>
          <w:p>
            <w:pPr>
              <w:spacing w:after="0"/>
              <w:rPr>
                <w:sz w:val="7"/>
                <w:szCs w:val="7"/>
                <w:color w:val="auto"/>
              </w:rPr>
            </w:pPr>
          </w:p>
        </w:tc>
        <w:tc>
          <w:tcPr>
            <w:tcW w:w="660" w:type="dxa"/>
            <w:vAlign w:val="bottom"/>
          </w:tcPr>
          <w:p>
            <w:pPr>
              <w:ind w:left="80"/>
              <w:spacing w:after="0" w:line="86" w:lineRule="exact"/>
              <w:rPr>
                <w:sz w:val="20"/>
                <w:szCs w:val="20"/>
                <w:color w:val="auto"/>
              </w:rPr>
            </w:pPr>
            <w:r>
              <w:rPr>
                <w:rFonts w:ascii="Arial" w:cs="Arial" w:eastAsia="Arial" w:hAnsi="Arial"/>
                <w:sz w:val="8"/>
                <w:szCs w:val="8"/>
                <w:b w:val="1"/>
                <w:bCs w:val="1"/>
                <w:color w:val="auto"/>
              </w:rPr>
              <w:t>Reported</w:t>
            </w:r>
          </w:p>
        </w:tc>
        <w:tc>
          <w:tcPr>
            <w:tcW w:w="500" w:type="dxa"/>
            <w:vAlign w:val="bottom"/>
          </w:tcPr>
          <w:p>
            <w:pPr>
              <w:spacing w:after="0"/>
              <w:rPr>
                <w:sz w:val="7"/>
                <w:szCs w:val="7"/>
                <w:color w:val="auto"/>
              </w:rPr>
            </w:pPr>
          </w:p>
        </w:tc>
        <w:tc>
          <w:tcPr>
            <w:tcW w:w="38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ind w:left="40"/>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1380" w:type="dxa"/>
            <w:vAlign w:val="bottom"/>
            <w:gridSpan w:val="3"/>
            <w:vMerge w:val="continue"/>
          </w:tcPr>
          <w:p>
            <w:pPr>
              <w:spacing w:after="0"/>
              <w:rPr>
                <w:sz w:val="13"/>
                <w:szCs w:val="13"/>
                <w:color w:val="auto"/>
              </w:rPr>
            </w:pPr>
          </w:p>
        </w:tc>
        <w:tc>
          <w:tcPr>
            <w:tcW w:w="40" w:type="dxa"/>
            <w:vAlign w:val="bottom"/>
          </w:tcPr>
          <w:p>
            <w:pPr>
              <w:spacing w:after="0"/>
              <w:rPr>
                <w:sz w:val="13"/>
                <w:szCs w:val="13"/>
                <w:color w:val="auto"/>
              </w:rPr>
            </w:pP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Transaction(s)</w:t>
            </w:r>
          </w:p>
        </w:tc>
        <w:tc>
          <w:tcPr>
            <w:tcW w:w="3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ind w:left="100"/>
              <w:spacing w:after="0"/>
              <w:rPr>
                <w:sz w:val="20"/>
                <w:szCs w:val="20"/>
                <w:color w:val="auto"/>
              </w:rPr>
            </w:pPr>
            <w:r>
              <w:rPr>
                <w:rFonts w:ascii="Arial" w:cs="Arial" w:eastAsia="Arial" w:hAnsi="Arial"/>
                <w:sz w:val="12"/>
                <w:szCs w:val="12"/>
                <w:b w:val="1"/>
                <w:bCs w:val="1"/>
                <w:color w:val="auto"/>
              </w:rPr>
              <w:t>(D)</w:t>
            </w:r>
          </w:p>
        </w:tc>
        <w:tc>
          <w:tcPr>
            <w:tcW w:w="9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(Instr. 3 and 4)</w:t>
            </w:r>
          </w:p>
        </w:tc>
        <w:tc>
          <w:tcPr>
            <w:tcW w:w="38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06/12/2026</w:t>
            </w: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P</w:t>
            </w:r>
          </w:p>
        </w:tc>
        <w:tc>
          <w:tcPr>
            <w:tcW w:w="420" w:type="dxa"/>
            <w:vAlign w:val="bottom"/>
          </w:tcPr>
          <w:p>
            <w:pPr>
              <w:spacing w:after="0"/>
              <w:rPr>
                <w:sz w:val="18"/>
                <w:szCs w:val="18"/>
                <w:color w:val="auto"/>
              </w:rPr>
            </w:pPr>
          </w:p>
        </w:tc>
        <w:tc>
          <w:tcPr>
            <w:tcW w:w="740" w:type="dxa"/>
            <w:vAlign w:val="bottom"/>
            <w:vMerge w:val="restart"/>
          </w:tcPr>
          <w:p>
            <w:pPr>
              <w:jc w:val="right"/>
              <w:ind w:right="89"/>
              <w:spacing w:after="0"/>
              <w:rPr>
                <w:sz w:val="20"/>
                <w:szCs w:val="20"/>
                <w:color w:val="auto"/>
              </w:rPr>
            </w:pPr>
            <w:r>
              <w:rPr>
                <w:rFonts w:ascii="Times New Roman" w:cs="Times New Roman" w:eastAsia="Times New Roman" w:hAnsi="Times New Roman"/>
                <w:sz w:val="17"/>
                <w:szCs w:val="17"/>
                <w:color w:val="0000FF"/>
              </w:rPr>
              <w:t>8,435</w:t>
            </w:r>
          </w:p>
        </w:tc>
        <w:tc>
          <w:tcPr>
            <w:tcW w:w="360" w:type="dxa"/>
            <w:vAlign w:val="bottom"/>
            <w:vMerge w:val="restart"/>
          </w:tcPr>
          <w:p>
            <w:pPr>
              <w:jc w:val="center"/>
              <w:ind w:left="84"/>
              <w:spacing w:after="0"/>
              <w:rPr>
                <w:sz w:val="20"/>
                <w:szCs w:val="20"/>
                <w:color w:val="auto"/>
              </w:rPr>
            </w:pPr>
            <w:r>
              <w:rPr>
                <w:rFonts w:ascii="Times New Roman" w:cs="Times New Roman" w:eastAsia="Times New Roman" w:hAnsi="Times New Roman"/>
                <w:sz w:val="17"/>
                <w:szCs w:val="17"/>
                <w:color w:val="0000FF"/>
                <w:w w:val="97"/>
              </w:rPr>
              <w:t>A</w:t>
            </w:r>
          </w:p>
        </w:tc>
        <w:tc>
          <w:tcPr>
            <w:tcW w:w="1020" w:type="dxa"/>
            <w:vAlign w:val="bottom"/>
            <w:gridSpan w:val="2"/>
            <w:vMerge w:val="restart"/>
          </w:tcPr>
          <w:p>
            <w:pPr>
              <w:ind w:left="200"/>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27.6696</w:t>
            </w:r>
            <w:r>
              <w:rPr>
                <w:rFonts w:ascii="Times New Roman" w:cs="Times New Roman" w:eastAsia="Times New Roman" w:hAnsi="Times New Roman"/>
                <w:sz w:val="22"/>
                <w:szCs w:val="22"/>
                <w:color w:val="008000"/>
                <w:w w:val="97"/>
                <w:vertAlign w:val="superscript"/>
              </w:rPr>
              <w:t>(1)</w:t>
            </w:r>
          </w:p>
        </w:tc>
        <w:tc>
          <w:tcPr>
            <w:tcW w:w="1200" w:type="dxa"/>
            <w:vAlign w:val="bottom"/>
            <w:gridSpan w:val="3"/>
            <w:vMerge w:val="restart"/>
          </w:tcPr>
          <w:p>
            <w:pPr>
              <w:ind w:left="380"/>
              <w:spacing w:after="0"/>
              <w:rPr>
                <w:sz w:val="20"/>
                <w:szCs w:val="20"/>
                <w:color w:val="auto"/>
              </w:rPr>
            </w:pPr>
            <w:r>
              <w:rPr>
                <w:rFonts w:ascii="Times New Roman" w:cs="Times New Roman" w:eastAsia="Times New Roman" w:hAnsi="Times New Roman"/>
                <w:sz w:val="17"/>
                <w:szCs w:val="17"/>
                <w:color w:val="0000FF"/>
              </w:rPr>
              <w:t>20,935</w:t>
            </w:r>
          </w:p>
        </w:tc>
        <w:tc>
          <w:tcPr>
            <w:tcW w:w="380" w:type="dxa"/>
            <w:vAlign w:val="bottom"/>
          </w:tcPr>
          <w:p>
            <w:pPr>
              <w:spacing w:after="0"/>
              <w:rPr>
                <w:sz w:val="18"/>
                <w:szCs w:val="18"/>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Apothecary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0" w:type="dxa"/>
            <w:vAlign w:val="bottom"/>
            <w:gridSpan w:val="3"/>
            <w:vMerge w:val="continue"/>
          </w:tcPr>
          <w:p>
            <w:pPr>
              <w:spacing w:after="0"/>
              <w:rPr>
                <w:sz w:val="15"/>
                <w:szCs w:val="15"/>
                <w:color w:val="auto"/>
              </w:rPr>
            </w:pPr>
          </w:p>
        </w:tc>
        <w:tc>
          <w:tcPr>
            <w:tcW w:w="38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0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Capital</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36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94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64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06/15/2026</w:t>
            </w: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P</w:t>
            </w:r>
          </w:p>
        </w:tc>
        <w:tc>
          <w:tcPr>
            <w:tcW w:w="420" w:type="dxa"/>
            <w:vAlign w:val="bottom"/>
          </w:tcPr>
          <w:p>
            <w:pPr>
              <w:spacing w:after="0"/>
              <w:rPr>
                <w:sz w:val="18"/>
                <w:szCs w:val="18"/>
                <w:color w:val="auto"/>
              </w:rPr>
            </w:pPr>
          </w:p>
        </w:tc>
        <w:tc>
          <w:tcPr>
            <w:tcW w:w="740" w:type="dxa"/>
            <w:vAlign w:val="bottom"/>
            <w:vMerge w:val="restart"/>
          </w:tcPr>
          <w:p>
            <w:pPr>
              <w:jc w:val="right"/>
              <w:ind w:right="89"/>
              <w:spacing w:after="0"/>
              <w:rPr>
                <w:sz w:val="20"/>
                <w:szCs w:val="20"/>
                <w:color w:val="auto"/>
              </w:rPr>
            </w:pPr>
            <w:r>
              <w:rPr>
                <w:rFonts w:ascii="Times New Roman" w:cs="Times New Roman" w:eastAsia="Times New Roman" w:hAnsi="Times New Roman"/>
                <w:sz w:val="17"/>
                <w:szCs w:val="17"/>
                <w:color w:val="0000FF"/>
              </w:rPr>
              <w:t>5,000</w:t>
            </w:r>
          </w:p>
        </w:tc>
        <w:tc>
          <w:tcPr>
            <w:tcW w:w="360" w:type="dxa"/>
            <w:vAlign w:val="bottom"/>
            <w:vMerge w:val="restart"/>
          </w:tcPr>
          <w:p>
            <w:pPr>
              <w:jc w:val="center"/>
              <w:ind w:left="84"/>
              <w:spacing w:after="0"/>
              <w:rPr>
                <w:sz w:val="20"/>
                <w:szCs w:val="20"/>
                <w:color w:val="auto"/>
              </w:rPr>
            </w:pPr>
            <w:r>
              <w:rPr>
                <w:rFonts w:ascii="Times New Roman" w:cs="Times New Roman" w:eastAsia="Times New Roman" w:hAnsi="Times New Roman"/>
                <w:sz w:val="17"/>
                <w:szCs w:val="17"/>
                <w:color w:val="0000FF"/>
                <w:w w:val="97"/>
              </w:rPr>
              <w:t>A</w:t>
            </w:r>
          </w:p>
        </w:tc>
        <w:tc>
          <w:tcPr>
            <w:tcW w:w="1020" w:type="dxa"/>
            <w:vAlign w:val="bottom"/>
            <w:gridSpan w:val="2"/>
            <w:vMerge w:val="restart"/>
          </w:tcPr>
          <w:p>
            <w:pPr>
              <w:ind w:left="200"/>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25.9978</w:t>
            </w:r>
            <w:r>
              <w:rPr>
                <w:rFonts w:ascii="Times New Roman" w:cs="Times New Roman" w:eastAsia="Times New Roman" w:hAnsi="Times New Roman"/>
                <w:sz w:val="22"/>
                <w:szCs w:val="22"/>
                <w:color w:val="008000"/>
                <w:w w:val="97"/>
                <w:vertAlign w:val="superscript"/>
              </w:rPr>
              <w:t>(3)</w:t>
            </w:r>
          </w:p>
        </w:tc>
        <w:tc>
          <w:tcPr>
            <w:tcW w:w="1200" w:type="dxa"/>
            <w:vAlign w:val="bottom"/>
            <w:gridSpan w:val="3"/>
            <w:vMerge w:val="restart"/>
          </w:tcPr>
          <w:p>
            <w:pPr>
              <w:ind w:left="380"/>
              <w:spacing w:after="0"/>
              <w:rPr>
                <w:sz w:val="20"/>
                <w:szCs w:val="20"/>
                <w:color w:val="auto"/>
              </w:rPr>
            </w:pPr>
            <w:r>
              <w:rPr>
                <w:rFonts w:ascii="Times New Roman" w:cs="Times New Roman" w:eastAsia="Times New Roman" w:hAnsi="Times New Roman"/>
                <w:sz w:val="17"/>
                <w:szCs w:val="17"/>
                <w:color w:val="0000FF"/>
              </w:rPr>
              <w:t>25,935</w:t>
            </w:r>
          </w:p>
        </w:tc>
        <w:tc>
          <w:tcPr>
            <w:tcW w:w="380" w:type="dxa"/>
            <w:vAlign w:val="bottom"/>
          </w:tcPr>
          <w:p>
            <w:pPr>
              <w:spacing w:after="0"/>
              <w:rPr>
                <w:sz w:val="18"/>
                <w:szCs w:val="18"/>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Apothecary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0" w:type="dxa"/>
            <w:vAlign w:val="bottom"/>
            <w:gridSpan w:val="3"/>
            <w:vMerge w:val="continue"/>
          </w:tcPr>
          <w:p>
            <w:pPr>
              <w:spacing w:after="0"/>
              <w:rPr>
                <w:sz w:val="15"/>
                <w:szCs w:val="15"/>
                <w:color w:val="auto"/>
              </w:rPr>
            </w:pPr>
          </w:p>
        </w:tc>
        <w:tc>
          <w:tcPr>
            <w:tcW w:w="38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0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Capital</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36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94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64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06/15/2026</w:t>
            </w: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P</w:t>
            </w:r>
          </w:p>
        </w:tc>
        <w:tc>
          <w:tcPr>
            <w:tcW w:w="420" w:type="dxa"/>
            <w:vAlign w:val="bottom"/>
          </w:tcPr>
          <w:p>
            <w:pPr>
              <w:spacing w:after="0"/>
              <w:rPr>
                <w:sz w:val="18"/>
                <w:szCs w:val="18"/>
                <w:color w:val="auto"/>
              </w:rPr>
            </w:pPr>
          </w:p>
        </w:tc>
        <w:tc>
          <w:tcPr>
            <w:tcW w:w="740" w:type="dxa"/>
            <w:vAlign w:val="bottom"/>
            <w:vMerge w:val="restart"/>
          </w:tcPr>
          <w:p>
            <w:pPr>
              <w:jc w:val="right"/>
              <w:ind w:right="89"/>
              <w:spacing w:after="0"/>
              <w:rPr>
                <w:sz w:val="20"/>
                <w:szCs w:val="20"/>
                <w:color w:val="auto"/>
              </w:rPr>
            </w:pPr>
            <w:r>
              <w:rPr>
                <w:rFonts w:ascii="Times New Roman" w:cs="Times New Roman" w:eastAsia="Times New Roman" w:hAnsi="Times New Roman"/>
                <w:sz w:val="17"/>
                <w:szCs w:val="17"/>
                <w:color w:val="0000FF"/>
              </w:rPr>
              <w:t>4,065</w:t>
            </w:r>
          </w:p>
        </w:tc>
        <w:tc>
          <w:tcPr>
            <w:tcW w:w="360" w:type="dxa"/>
            <w:vAlign w:val="bottom"/>
            <w:vMerge w:val="restart"/>
          </w:tcPr>
          <w:p>
            <w:pPr>
              <w:jc w:val="center"/>
              <w:ind w:left="84"/>
              <w:spacing w:after="0"/>
              <w:rPr>
                <w:sz w:val="20"/>
                <w:szCs w:val="20"/>
                <w:color w:val="auto"/>
              </w:rPr>
            </w:pPr>
            <w:r>
              <w:rPr>
                <w:rFonts w:ascii="Times New Roman" w:cs="Times New Roman" w:eastAsia="Times New Roman" w:hAnsi="Times New Roman"/>
                <w:sz w:val="17"/>
                <w:szCs w:val="17"/>
                <w:color w:val="0000FF"/>
                <w:w w:val="97"/>
              </w:rPr>
              <w:t>A</w:t>
            </w:r>
          </w:p>
        </w:tc>
        <w:tc>
          <w:tcPr>
            <w:tcW w:w="1020" w:type="dxa"/>
            <w:vAlign w:val="bottom"/>
            <w:gridSpan w:val="2"/>
            <w:vMerge w:val="restart"/>
          </w:tcPr>
          <w:p>
            <w:pPr>
              <w:ind w:left="200"/>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27.0963</w:t>
            </w:r>
            <w:r>
              <w:rPr>
                <w:rFonts w:ascii="Times New Roman" w:cs="Times New Roman" w:eastAsia="Times New Roman" w:hAnsi="Times New Roman"/>
                <w:sz w:val="22"/>
                <w:szCs w:val="22"/>
                <w:color w:val="008000"/>
                <w:w w:val="97"/>
                <w:vertAlign w:val="superscript"/>
              </w:rPr>
              <w:t>(4)</w:t>
            </w:r>
          </w:p>
        </w:tc>
        <w:tc>
          <w:tcPr>
            <w:tcW w:w="1200" w:type="dxa"/>
            <w:vAlign w:val="bottom"/>
            <w:gridSpan w:val="3"/>
            <w:vMerge w:val="restart"/>
          </w:tcPr>
          <w:p>
            <w:pPr>
              <w:ind w:left="380"/>
              <w:spacing w:after="0"/>
              <w:rPr>
                <w:sz w:val="20"/>
                <w:szCs w:val="20"/>
                <w:color w:val="auto"/>
              </w:rPr>
            </w:pPr>
            <w:r>
              <w:rPr>
                <w:rFonts w:ascii="Times New Roman" w:cs="Times New Roman" w:eastAsia="Times New Roman" w:hAnsi="Times New Roman"/>
                <w:sz w:val="17"/>
                <w:szCs w:val="17"/>
                <w:color w:val="0000FF"/>
              </w:rPr>
              <w:t>30,000</w:t>
            </w:r>
          </w:p>
        </w:tc>
        <w:tc>
          <w:tcPr>
            <w:tcW w:w="380" w:type="dxa"/>
            <w:vAlign w:val="bottom"/>
          </w:tcPr>
          <w:p>
            <w:pPr>
              <w:spacing w:after="0"/>
              <w:rPr>
                <w:sz w:val="18"/>
                <w:szCs w:val="18"/>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Apothecary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0" w:type="dxa"/>
            <w:vAlign w:val="bottom"/>
            <w:gridSpan w:val="3"/>
            <w:vMerge w:val="continue"/>
          </w:tcPr>
          <w:p>
            <w:pPr>
              <w:spacing w:after="0"/>
              <w:rPr>
                <w:sz w:val="15"/>
                <w:szCs w:val="15"/>
                <w:color w:val="auto"/>
              </w:rPr>
            </w:pPr>
          </w:p>
        </w:tc>
        <w:tc>
          <w:tcPr>
            <w:tcW w:w="38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0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Capital</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36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6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0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5"/>
                <w:szCs w:val="15"/>
                <w:color w:val="auto"/>
              </w:rPr>
            </w:pPr>
          </w:p>
        </w:tc>
        <w:tc>
          <w:tcPr>
            <w:tcW w:w="760" w:type="dxa"/>
            <w:vAlign w:val="bottom"/>
            <w:tcBorders>
              <w:right w:val="single" w:sz="8" w:color="2C2C2C"/>
            </w:tcBorders>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300" w:type="dxa"/>
            <w:vAlign w:val="bottom"/>
          </w:tcPr>
          <w:p>
            <w:pPr>
              <w:spacing w:after="0"/>
              <w:rPr>
                <w:sz w:val="11"/>
                <w:szCs w:val="11"/>
                <w:color w:val="auto"/>
              </w:rPr>
            </w:pP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80" w:type="dxa"/>
            <w:vAlign w:val="bottom"/>
          </w:tcPr>
          <w:p>
            <w:pPr>
              <w:spacing w:after="0"/>
              <w:rPr>
                <w:sz w:val="11"/>
                <w:szCs w:val="11"/>
                <w:color w:val="auto"/>
              </w:rPr>
            </w:pP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(Instr. 4)</w:t>
            </w: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w w:val="96"/>
              </w:rPr>
              <w:t>and 5)</w:t>
            </w: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gridSpan w:val="2"/>
          </w:tcPr>
          <w:p>
            <w:pPr>
              <w:ind w:left="42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Expiration</w:t>
            </w:r>
          </w:p>
        </w:tc>
        <w:tc>
          <w:tcPr>
            <w:tcW w:w="102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spacing w:after="0"/>
              <w:rPr>
                <w:sz w:val="20"/>
                <w:szCs w:val="20"/>
                <w:color w:val="auto"/>
              </w:rPr>
            </w:pPr>
            <w:r>
              <w:rPr>
                <w:rFonts w:ascii="Arial" w:cs="Arial" w:eastAsia="Arial" w:hAnsi="Arial"/>
                <w:sz w:val="12"/>
                <w:szCs w:val="12"/>
                <w:b w:val="1"/>
                <w:bCs w:val="1"/>
                <w:color w:val="auto"/>
              </w:rPr>
              <w:t>(D)</w:t>
            </w:r>
          </w:p>
        </w:tc>
        <w:tc>
          <w:tcPr>
            <w:tcW w:w="116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360" w:type="dxa"/>
            <w:vAlign w:val="bottom"/>
          </w:tcPr>
          <w:p>
            <w:pPr>
              <w:spacing w:after="0"/>
              <w:rPr>
                <w:sz w:val="14"/>
                <w:szCs w:val="14"/>
                <w:color w:val="auto"/>
              </w:rPr>
            </w:pP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  Shares</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$27.16 to $28.00, inclusive. The Reporting Person undertakes to provide to the Issuer, any security holder of the Issuer, or the staff of the Securities and Exchange Commission, upon request, full information regarding the number of shares purchased at each separate price within the ranges set forth in footnotes 1, 3 and 4 to this Form 4.</w:t>
      </w:r>
    </w:p>
    <w:p>
      <w:pPr>
        <w:spacing w:after="0" w:line="20" w:lineRule="exact"/>
        <w:rPr>
          <w:rFonts w:ascii="Times New Roman" w:cs="Times New Roman" w:eastAsia="Times New Roman" w:hAnsi="Times New Roman"/>
          <w:sz w:val="13"/>
          <w:szCs w:val="13"/>
          <w:color w:val="008000"/>
        </w:rPr>
      </w:pPr>
    </w:p>
    <w:p>
      <w:pPr>
        <w:ind w:left="40" w:right="20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held by Apothecary Capital LLC ("Apothecary Capital"). The Reporting Person is the managing member of Apothecary Capital and may be deemed to share voting, investment and dispositive power with respect to the securities held by Apothecary Capital. The Reporting Person disclaims beneficial ownership of such shares for purposes of Section 16 of the Securities Exchange Act of 1934, as amended (the "Exchange Act"), except to the extent of his pecuniary interest therein, if any. This report shall not be deemed an admission that he is a beneficial owner of such shares for the purpose of Section 16 of the Exchange Act, or for any other purpose.</w:t>
      </w:r>
    </w:p>
    <w:p>
      <w:pPr>
        <w:spacing w:after="0" w:line="24"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$25.61 to $26.25,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$27.00 to $27.20, inclusive.</w:t>
      </w:r>
    </w:p>
    <w:p>
      <w:pPr>
        <w:sectPr>
          <w:pgSz w:w="11900" w:h="16861" w:orient="portrait"/>
          <w:cols w:equalWidth="0" w:num="1">
            <w:col w:w="11080"/>
          </w:cols>
          <w:pgMar w:left="460" w:top="219" w:right="359" w:bottom="0" w:gutter="0" w:footer="0" w:header="0"/>
          <w:type w:val="continuous"/>
        </w:sectPr>
      </w:pPr>
    </w:p>
    <w:p>
      <w:pPr>
        <w:spacing w:after="0" w:line="7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Teresa Jurgensen,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099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09955"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739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39140" cy="8255"/>
                    </a:xfrm>
                    <a:prstGeom prst="rect">
                      <a:avLst/>
                    </a:prstGeom>
                    <a:noFill/>
                  </pic:spPr>
                </pic:pic>
              </a:graphicData>
            </a:graphic>
          </wp:anchor>
        </w:drawing>
      </w:r>
    </w:p>
    <w:p>
      <w:pPr>
        <w:spacing w:after="0" w:line="40"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780" w:firstLine="7"/>
        <w:spacing w:after="0" w:line="361"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06/16/2026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ectPr>
          <w:pgSz w:w="11900" w:h="16861" w:orient="portrait"/>
          <w:cols w:equalWidth="0" w:num="2">
            <w:col w:w="8520" w:space="260"/>
            <w:col w:w="2300"/>
          </w:cols>
          <w:pgMar w:left="460" w:top="219"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092348" TargetMode="External"/><Relationship Id="rId14" Type="http://schemas.openxmlformats.org/officeDocument/2006/relationships/hyperlink" Target="http://www.sec.gov/cgi-bin/browse-edgar?action=getcompany&amp;CIK=000165767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2026-06-16T17:20:26Z</dcterms:created>
  <dcterms:modified xsi:type="dcterms:W3CDTF">2026-06-16T17:20:26Z</dcterms:modified>
</cp:coreProperties>
</file>