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96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Levy Guy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2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Parabilis Medicines,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PBLS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960"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SOLEUS CAPITAL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MANAGEMENT, L.P.</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100 FIELD POINT ROAD,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GREENWICH CT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06830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960" w:orient="portrait"/>
          <w:cols w:equalWidth="0" w:num="3">
            <w:col w:w="4277" w:space="720"/>
            <w:col w:w="3003" w:space="269"/>
            <w:col w:w="2671"/>
          </w:cols>
          <w:pgMar w:left="480" w:top="230" w:right="479" w:bottom="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200" w:type="dxa"/>
            <w:vAlign w:val="bottom"/>
          </w:tcPr>
          <w:p>
            <w:pPr>
              <w:spacing w:after="0"/>
              <w:rPr>
                <w:sz w:val="15"/>
                <w:szCs w:val="15"/>
                <w:color w:val="auto"/>
              </w:rPr>
            </w:pPr>
          </w:p>
        </w:tc>
        <w:tc>
          <w:tcPr>
            <w:tcW w:w="1860" w:type="dxa"/>
            <w:vAlign w:val="bottom"/>
            <w:gridSpan w:val="5"/>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5"/>
          </w:tcPr>
          <w:p>
            <w:pPr>
              <w:ind w:left="80"/>
              <w:spacing w:after="0"/>
              <w:rPr>
                <w:sz w:val="20"/>
                <w:szCs w:val="20"/>
                <w:color w:val="auto"/>
              </w:rPr>
            </w:pPr>
            <w:r>
              <w:rPr>
                <w:rFonts w:ascii="Times New Roman" w:cs="Times New Roman" w:eastAsia="Times New Roman" w:hAnsi="Times New Roman"/>
                <w:sz w:val="20"/>
                <w:szCs w:val="20"/>
                <w:color w:val="0000FF"/>
              </w:rPr>
              <w:t>Series F Preferred Stock</w:t>
            </w:r>
          </w:p>
        </w:tc>
        <w:tc>
          <w:tcPr>
            <w:tcW w:w="118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3"/>
                <w:szCs w:val="13"/>
                <w:color w:val="008000"/>
              </w:rPr>
              <w:t>(2)</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527,070</w:t>
            </w:r>
          </w:p>
        </w:tc>
        <w:tc>
          <w:tcPr>
            <w:tcW w:w="10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9.48</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0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gridSpan w:val="2"/>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Levy Guy</w:t>
              </w:r>
            </w:hyperlink>
          </w:p>
        </w:tc>
        <w:tc>
          <w:tcPr>
            <w:tcW w:w="1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100"/>
              <w:spacing w:after="0"/>
              <w:rPr>
                <w:sz w:val="20"/>
                <w:szCs w:val="20"/>
                <w:color w:val="auto"/>
              </w:rPr>
            </w:pPr>
            <w:r>
              <w:rPr>
                <w:rFonts w:ascii="Arial" w:cs="Arial" w:eastAsia="Arial" w:hAnsi="Arial"/>
                <w:sz w:val="15"/>
                <w:szCs w:val="15"/>
                <w:color w:val="auto"/>
              </w:rPr>
              <w:t>(First)</w:t>
            </w:r>
          </w:p>
        </w:tc>
        <w:tc>
          <w:tcPr>
            <w:tcW w:w="11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7"/>
              </w:rPr>
              <w:t>C/O SOLEUS CAPITAL MANAGEMENT, L.P.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100 FIELD POINT ROAD, SUITE 200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GREENWICH</w:t>
            </w: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06830</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gridSpan w:val="2"/>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100"/>
              <w:spacing w:after="0"/>
              <w:rPr>
                <w:sz w:val="20"/>
                <w:szCs w:val="20"/>
                <w:color w:val="auto"/>
              </w:rPr>
            </w:pPr>
            <w:r>
              <w:rPr>
                <w:rFonts w:ascii="Arial" w:cs="Arial" w:eastAsia="Arial" w:hAnsi="Arial"/>
                <w:sz w:val="15"/>
                <w:szCs w:val="15"/>
                <w:color w:val="auto"/>
              </w:rPr>
              <w:t>(State)</w:t>
            </w:r>
          </w:p>
        </w:tc>
        <w:tc>
          <w:tcPr>
            <w:tcW w:w="11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4"/>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Soleus Private Equity Fund III, L.P.</w:t>
              </w:r>
            </w:hyperlink>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6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(Last)</w:t>
            </w:r>
          </w:p>
        </w:tc>
        <w:tc>
          <w:tcPr>
            <w:tcW w:w="1420" w:type="dxa"/>
            <w:vAlign w:val="bottom"/>
          </w:tcPr>
          <w:p>
            <w:pPr>
              <w:ind w:left="100"/>
              <w:spacing w:after="0"/>
              <w:rPr>
                <w:sz w:val="20"/>
                <w:szCs w:val="20"/>
                <w:color w:val="auto"/>
              </w:rPr>
            </w:pPr>
            <w:r>
              <w:rPr>
                <w:rFonts w:ascii="Arial" w:cs="Arial" w:eastAsia="Arial" w:hAnsi="Arial"/>
                <w:sz w:val="15"/>
                <w:szCs w:val="15"/>
                <w:color w:val="auto"/>
              </w:rPr>
              <w:t>(First)</w:t>
            </w:r>
          </w:p>
        </w:tc>
        <w:tc>
          <w:tcPr>
            <w:tcW w:w="1180" w:type="dxa"/>
            <w:vAlign w:val="bottom"/>
            <w:gridSpan w:val="3"/>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100 FIELD POINT ROAD, SUITE 200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6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460" w:type="dxa"/>
            <w:vAlign w:val="bottom"/>
            <w:tcBorders>
              <w:bottom w:val="single" w:sz="8" w:color="9A9A9A"/>
            </w:tcBorders>
          </w:tcPr>
          <w:p>
            <w:pPr>
              <w:spacing w:after="0"/>
              <w:rPr>
                <w:sz w:val="20"/>
                <w:szCs w:val="20"/>
                <w:color w:val="auto"/>
              </w:rPr>
            </w:pPr>
          </w:p>
        </w:tc>
        <w:tc>
          <w:tcPr>
            <w:tcW w:w="2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GREENWICH</w:t>
            </w: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CT</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06830</w:t>
            </w: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gridSpan w:val="2"/>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5"/>
                <w:szCs w:val="15"/>
                <w:color w:val="auto"/>
              </w:rPr>
              <w:t>(City)</w:t>
            </w:r>
          </w:p>
        </w:tc>
        <w:tc>
          <w:tcPr>
            <w:tcW w:w="1420" w:type="dxa"/>
            <w:vAlign w:val="bottom"/>
          </w:tcPr>
          <w:p>
            <w:pPr>
              <w:ind w:left="100"/>
              <w:spacing w:after="0"/>
              <w:rPr>
                <w:sz w:val="20"/>
                <w:szCs w:val="20"/>
                <w:color w:val="auto"/>
              </w:rPr>
            </w:pPr>
            <w:r>
              <w:rPr>
                <w:rFonts w:ascii="Arial" w:cs="Arial" w:eastAsia="Arial" w:hAnsi="Arial"/>
                <w:sz w:val="15"/>
                <w:szCs w:val="15"/>
                <w:color w:val="auto"/>
              </w:rPr>
              <w:t>(State)</w:t>
            </w:r>
          </w:p>
        </w:tc>
        <w:tc>
          <w:tcPr>
            <w:tcW w:w="1180" w:type="dxa"/>
            <w:vAlign w:val="bottom"/>
            <w:gridSpan w:val="3"/>
          </w:tcPr>
          <w:p>
            <w:pPr>
              <w:ind w:left="6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sz w:val="1"/>
          <w:szCs w:val="1"/>
          <w:color w:val="auto"/>
        </w:rPr>
        <w:drawing>
          <wp:inline distT="0" distB="0" distL="0" distR="0">
            <wp:extent cx="34925" cy="20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4925" cy="203200"/>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ectPr>
          <w:pgSz w:w="11900" w:h="16960" w:orient="portrait"/>
          <w:cols w:equalWidth="0" w:num="1">
            <w:col w:w="10940"/>
          </w:cols>
          <w:pgMar w:left="480" w:top="230" w:right="479" w:bottom="0" w:gutter="0" w:footer="0" w:header="0"/>
          <w:type w:val="continuous"/>
        </w:sectPr>
      </w:pPr>
    </w:p>
    <w:bookmarkStart w:id="1" w:name="page2"/>
    <w:bookmarkEnd w:id="1"/>
    <w:p>
      <w:pPr>
        <w:ind w:left="120"/>
        <w:spacing w:after="0"/>
        <w:rPr>
          <w:rFonts w:ascii="Times New Roman" w:cs="Times New Roman" w:eastAsia="Times New Roman" w:hAnsi="Times New Roman"/>
          <w:sz w:val="24"/>
          <w:szCs w:val="24"/>
          <w:u w:val="single" w:color="auto"/>
          <w:color w:val="0000EE"/>
        </w:rPr>
      </w:pPr>
      <w:r>
        <w:rPr>
          <w:rFonts w:ascii="Times New Roman" w:cs="Times New Roman" w:eastAsia="Times New Roman" w:hAnsi="Times New Roman"/>
          <w:sz w:val="24"/>
          <w:szCs w:val="24"/>
          <w:u w:val="single" w:color="auto"/>
          <w:color w:val="0000EE"/>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7264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98445" cy="7264400"/>
                    </a:xfrm>
                    <a:prstGeom prst="rect">
                      <a:avLst/>
                    </a:prstGeom>
                    <a:noFill/>
                  </pic:spPr>
                </pic:pic>
              </a:graphicData>
            </a:graphic>
          </wp:anchor>
        </w:drawing>
      </w:r>
      <w:hyperlink r:id="rId16">
        <w:r>
          <w:rPr>
            <w:rFonts w:ascii="Times New Roman" w:cs="Times New Roman" w:eastAsia="Times New Roman" w:hAnsi="Times New Roman"/>
            <w:sz w:val="24"/>
            <w:szCs w:val="24"/>
            <w:u w:val="single" w:color="auto"/>
            <w:color w:val="0000EE"/>
          </w:rPr>
          <w:t>Soleus Private Equity GP III, LLC</w:t>
        </w:r>
      </w:hyperlink>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100 FIELD POINT ROAD, SUITE 200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GREENWICH</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CT</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06830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80" w:type="dxa"/>
            <w:vAlign w:val="bottom"/>
            <w:gridSpan w:val="3"/>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Soleus PE GP III, LLC</w:t>
              </w:r>
            </w:hyperlink>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100 FIELD POINT ROAD, SUITE 200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GREENWICH</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CT</w:t>
            </w:r>
          </w:p>
        </w:tc>
        <w:tc>
          <w:tcPr>
            <w:tcW w:w="162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06830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Soleus Capital Management, L.P.</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100 FIELD POINT ROAD, SUITE 200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GREENWICH</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CT</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06830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02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9">
              <w:r>
                <w:rPr>
                  <w:rFonts w:ascii="Times New Roman" w:cs="Times New Roman" w:eastAsia="Times New Roman" w:hAnsi="Times New Roman"/>
                  <w:sz w:val="24"/>
                  <w:szCs w:val="24"/>
                  <w:color w:val="0000EE"/>
                </w:rPr>
                <w:t>Soleus GP, LLC</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26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02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100 FIELD POINT ROAD, SUITE 200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260" w:type="dxa"/>
            <w:vAlign w:val="bottom"/>
            <w:tcBorders>
              <w:bottom w:val="single" w:sz="8" w:color="9A9A9A"/>
            </w:tcBorders>
          </w:tcPr>
          <w:p>
            <w:pPr>
              <w:spacing w:after="0"/>
              <w:rPr>
                <w:sz w:val="20"/>
                <w:szCs w:val="20"/>
                <w:color w:val="auto"/>
              </w:rPr>
            </w:pPr>
          </w:p>
        </w:tc>
        <w:tc>
          <w:tcPr>
            <w:tcW w:w="76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GREENWICH</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CT</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06830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02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firstLine="5"/>
        <w:spacing w:after="0" w:line="236"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reportable securities are owned directly by Soleus Private Equity Fund III, L.P. ("Soleus PE"). Soleus Private Equity GP III, LLC ("Soleus PE GP") is the sole general partner of Soleus PE, Soleus PE GP III, LLC is the sole manager of Soleus PE GP, Soleus Capital Management, L.P. ("SCM") is the investment manager for Soleus PE, and Soleus GP, LLC ("Soleus GP") is the sole general partner of SCM. Guy Levy is the sole managing member of each of Soleus PE GP III, LLC and Soleus GP. Each of Mr. Levy, Soleus PE GP III, LLC, Soleus PE GP, SCM and Soleus GP disclaims beneficial ownership of the securities held by Soleus PE other than for the purpose of determining their obligations under Section 16 of the Securities Exchange Act of 1934, as amended, and the filing of this report shall not be deemed an admission that any of the foregoing persons is the beneficial owner of such securities for any other purpose, except to the extent of their respective pecuniary interests therein.</w:t>
      </w:r>
    </w:p>
    <w:p>
      <w:pPr>
        <w:spacing w:after="0" w:line="32" w:lineRule="exact"/>
        <w:rPr>
          <w:rFonts w:ascii="Times New Roman" w:cs="Times New Roman" w:eastAsia="Times New Roman" w:hAnsi="Times New Roman"/>
          <w:sz w:val="15"/>
          <w:szCs w:val="15"/>
          <w:color w:val="008000"/>
        </w:rPr>
      </w:pPr>
    </w:p>
    <w:p>
      <w:pPr>
        <w:ind w:left="180" w:hanging="155"/>
        <w:spacing w:after="0"/>
        <w:tabs>
          <w:tab w:leader="none" w:pos="18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convertible preferred stock is convertible at any time, at the holder's election, and has no expiration date.</w:t>
      </w:r>
    </w:p>
    <w:p>
      <w:pPr>
        <w:sectPr>
          <w:pgSz w:w="11900" w:h="16838" w:orient="portrait"/>
          <w:cols w:equalWidth="0" w:num="1">
            <w:col w:w="10800"/>
          </w:cols>
          <w:pgMar w:left="500" w:top="140" w:right="599" w:bottom="0"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Guy Levy /s/ Guy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7665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Soleus Private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737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Fund III, L.P., /s/ Guy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71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Levy,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6111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6111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of Soleus PE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12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which is the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0396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Soleus Private Equity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6301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III, LLC, which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01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08013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General Partner of Soleus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635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7635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Private Equity Fund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8364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18364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9240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9240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Soleus Private Equity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630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III, LLC /s/ Guy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2014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2014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Managing Member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712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20" w:space="120"/>
            <w:col w:w="2060"/>
          </w:cols>
          <w:pgMar w:left="500" w:top="140" w:right="59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20"/>
          <w:szCs w:val="20"/>
          <w:color w:val="0000FF"/>
        </w:rPr>
        <w:t>Soleus PE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665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7665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which is the Manager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396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039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Soleus Private Equity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30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973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Soleus PE GP III,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29413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9413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Guy Levy,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473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547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973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41973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Soleus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71882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88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Management, L.P., /s/ Guy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Levy,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314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99314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Member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887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5887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Partner of Soleus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206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0106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90106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Soleus GP, LLC, /s/ Guy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2491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Levy,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111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6111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8620" w:space="100"/>
            <w:col w:w="2100"/>
          </w:cols>
          <w:pgMar w:left="520" w:top="124"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15"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10" Type="http://schemas.openxmlformats.org/officeDocument/2006/relationships/hyperlink" Target="http://www.sec.gov/cgi-bin/browse-edgar?action=getcompany&amp;CIK=0001812305" TargetMode="External"/><Relationship Id="rId11" Type="http://schemas.openxmlformats.org/officeDocument/2006/relationships/hyperlink" Target="http://www.sec.gov/cgi-bin/browse-edgar?action=getcompany&amp;CIK=0001657677" TargetMode="External"/><Relationship Id="rId13" Type="http://schemas.openxmlformats.org/officeDocument/2006/relationships/hyperlink" Target="http://www.sec.gov/cgi-bin/browse-edgar?action=getcompany&amp;CIK=0001955982" TargetMode="External"/><Relationship Id="rId16" Type="http://schemas.openxmlformats.org/officeDocument/2006/relationships/hyperlink" Target="http://www.sec.gov/cgi-bin/browse-edgar?action=getcompany&amp;CIK=0001955973" TargetMode="External"/><Relationship Id="rId17" Type="http://schemas.openxmlformats.org/officeDocument/2006/relationships/hyperlink" Target="http://www.sec.gov/cgi-bin/browse-edgar?action=getcompany&amp;CIK=0002088815" TargetMode="External"/><Relationship Id="rId18" Type="http://schemas.openxmlformats.org/officeDocument/2006/relationships/hyperlink" Target="http://www.sec.gov/cgi-bin/browse-edgar?action=getcompany&amp;CIK=0001802630" TargetMode="External"/><Relationship Id="rId19" Type="http://schemas.openxmlformats.org/officeDocument/2006/relationships/hyperlink" Target="http://www.sec.gov/cgi-bin/browse-edgar?action=getcompany&amp;CIK=000208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2026-06-29T09:46:04Z</dcterms:created>
  <dcterms:modified xsi:type="dcterms:W3CDTF">2026-06-29T09:46:04Z</dcterms:modified>
</cp:coreProperties>
</file>