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657677-20260822.htm"/>
      <w:bookmarkStart w:id="1" w:name="ksck000165767720260822"/>
      <w:bookmarkEnd w:id="0"/>
      <w:bookmarkEnd w:id="1"/>
      <w:r>
        <w:rPr/>
        <w:t> </w:t>
      </w:r>
    </w:p>
    <w:p>
      <w:pPr>
        <w:pStyle w:val="TextBody"/>
        <w:bidi w:val="0"/>
        <w:jc w:val="center"/>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pPr>
      <w:r>
        <w:rPr/>
        <w:t> </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22, 2026</w:t>
            </w:r>
          </w:p>
        </w:tc>
      </w:tr>
    </w:tbl>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Parabilis Medicines, Inc.</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001-43331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47-4505725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 Acorn Park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 945-9510</w:t>
            </w:r>
          </w:p>
        </w:tc>
      </w:tr>
    </w:tbl>
    <w:p>
      <w:pPr>
        <w:pStyle w:val="TextBody"/>
        <w:bidi w:val="0"/>
        <w:jc w:val="center"/>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center"/>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8185" w:type="dxa"/>
        <w:jc w:val="left"/>
        <w:tblInd w:w="0" w:type="dxa"/>
        <w:tblLayout w:type="fixed"/>
        <w:tblCellMar>
          <w:top w:w="28" w:type="dxa"/>
          <w:left w:w="28" w:type="dxa"/>
          <w:bottom w:w="28" w:type="dxa"/>
          <w:right w:w="28" w:type="dxa"/>
        </w:tblCellMar>
      </w:tblPr>
      <w:tblGrid>
        <w:gridCol w:w="3751"/>
        <w:gridCol w:w="146"/>
        <w:gridCol w:w="826"/>
        <w:gridCol w:w="146"/>
        <w:gridCol w:w="3316"/>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w:t>
              <w:b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Common Stock, par value $0.0001 per share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PBLS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0"/>
        <w:gridCol w:w="9395"/>
      </w:tblGrid>
      <w:tr>
        <w:trPr/>
        <w:tc>
          <w:tcPr>
            <w:tcW w:w="810" w:type="dxa"/>
            <w:tcBorders/>
            <w:vAlign w:val="center"/>
          </w:tcPr>
          <w:p>
            <w:pPr>
              <w:pStyle w:val="TableContents"/>
              <w:bidi w:val="0"/>
              <w:spacing w:before="0" w:after="283"/>
              <w:jc w:val="left"/>
              <w:rPr>
                <w:sz w:val="4"/>
                <w:szCs w:val="4"/>
              </w:rPr>
            </w:pPr>
            <w:r>
              <w:rPr>
                <w:sz w:val="4"/>
                <w:szCs w:val="4"/>
              </w:rPr>
            </w:r>
          </w:p>
        </w:tc>
        <w:tc>
          <w:tcPr>
            <w:tcW w:w="9395" w:type="dxa"/>
            <w:tcBorders/>
            <w:vAlign w:val="center"/>
          </w:tcPr>
          <w:p>
            <w:pPr>
              <w:pStyle w:val="TableContents"/>
              <w:bidi w:val="0"/>
              <w:spacing w:before="0" w:after="283"/>
              <w:jc w:val="left"/>
              <w:rPr>
                <w:sz w:val="4"/>
                <w:szCs w:val="4"/>
              </w:rPr>
            </w:pPr>
            <w:r>
              <w:rPr>
                <w:sz w:val="4"/>
                <w:szCs w:val="4"/>
              </w:rPr>
            </w:r>
          </w:p>
        </w:tc>
      </w:tr>
      <w:tr>
        <w:trPr/>
        <w:tc>
          <w:tcPr>
            <w:tcW w:w="8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3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Departure of Directors or Certain Officers; Election of Directors; Appointment of Certain Officers; Compensatory Arrangements of Certain Officers.</w:t>
            </w:r>
            <w:r>
              <w:rPr>
                <w:rFonts w:ascii="Times New Roman" w:hAnsi="Times New Roman"/>
                <w:color w:val="000000"/>
                <w:sz w:val="20"/>
              </w:rPr>
              <w:t xml:space="preserve">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22, 2026, the Board of Directors (the “Board”) of Parabilis Medicines, Inc. (the “Company”) increased the number of directors of the Company to nine (9) and appointed Craig Tendler as a director of the Company to fill the newly created vacancy. Mr. Tendler was appointed to serve as a Class II director until his term expires at the 2028 annual meeting of stockholders. The Board determined that Mr. Tendler is independent under the listing standards of The Nasdaq Stock Market. The Board also approved the appointment of Mr. Tendler as a member of the Science &amp; Technology Committee of the Board (the “Science &amp; Technology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the Company’s compensation program for non-employee directors, Mr. Tendler received an equity award consisting of a stock option to purchase 20,294 shares of the Company’s common stock at an exercise price of $39.36 per share. The option award will vest in thirty-six substantially equal monthly installments over three years from the date of grant, provided, however, that all vesting will cease if Mr. Tendler ceases to serve on the Board. In accordance with the Company’s compensation program for non-employee directors, Mr. Tendler will also receive an annual retainer of $40,000 for Board service and $7,500 for Science &amp; Technology Committee service, each to be paid quarterly in arrears, pro-rated based on the number of actual days served by the director during such calendar quarter. The Company has entered into an indemnification agreement with Mr. Tendler in the same form as the indemnification agreements the Company has entered into with its other directors, which form has been filed with the Securities and Exchange Commission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Except as set forth above, there are no arrangements or understandings between Mr. Tendler and any other person pursuant to which Mr. Tendler was selected as a director of the Company, there are no family relationships between Mr. Tendler and any of the Company’s other directors or executive officers, and Mr. Tendler is not a party to any transaction that would require disclosure under Item 404(a) of Regulation S-K promulgated by the SEC. </w:t>
      </w:r>
    </w:p>
    <w:p>
      <w:pPr>
        <w:pStyle w:val="TextBody"/>
        <w:bidi w:val="0"/>
        <w:spacing w:before="160" w:after="283"/>
        <w:jc w:val="left"/>
        <w:rPr/>
      </w:pPr>
      <w:r>
        <w:rPr/>
        <w:t> </w:t>
      </w:r>
    </w:p>
    <w:tbl>
      <w:tblPr>
        <w:tblW w:w="3418" w:type="dxa"/>
        <w:jc w:val="left"/>
        <w:tblInd w:w="0" w:type="dxa"/>
        <w:tblLayout w:type="fixed"/>
        <w:tblCellMar>
          <w:top w:w="28" w:type="dxa"/>
          <w:left w:w="28" w:type="dxa"/>
          <w:bottom w:w="28" w:type="dxa"/>
          <w:right w:w="28" w:type="dxa"/>
        </w:tblCellMar>
      </w:tblPr>
      <w:tblGrid>
        <w:gridCol w:w="916"/>
        <w:gridCol w:w="2311"/>
        <w:gridCol w:w="191"/>
      </w:tblGrid>
      <w:tr>
        <w:trPr/>
        <w:tc>
          <w:tcPr>
            <w:tcW w:w="9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Regulation FD Disclosure.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issued a press release on August 25, 2026 announcing the appointment of Mr. Tendler to the Board. A copy of this press release is furnished as Exhibit 99.1 to this Current Report on Form 8-K and is incorporated herein by reference.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included under Item 7.01 of this Current Report on Form 8-K, including Exhibit 99.1, is being furnished and shall not be deemed “filed” for purposes of Section 18 of the Securities Exchange Act of 1934, as amended (the “Exchange Act”), or otherwise subject to the liabilities of that section, and shall not be incorporated by reference in any filing under the Securities Act of 1933, as amended (the “Securities Act”), or the Exchange Act, except as expressly set forth by specific reference in such filing.</w:t>
      </w:r>
    </w:p>
    <w:p>
      <w:pPr>
        <w:pStyle w:val="TextBody"/>
        <w:bidi w:val="0"/>
        <w:spacing w:before="160" w:after="283"/>
        <w:jc w:val="left"/>
        <w:rPr/>
      </w:pPr>
      <w:r>
        <w:rPr/>
        <w:t> </w:t>
      </w:r>
    </w:p>
    <w:tbl>
      <w:tblPr>
        <w:tblW w:w="4037" w:type="dxa"/>
        <w:jc w:val="left"/>
        <w:tblInd w:w="0" w:type="dxa"/>
        <w:tblLayout w:type="fixed"/>
        <w:tblCellMar>
          <w:top w:w="28" w:type="dxa"/>
          <w:left w:w="28" w:type="dxa"/>
          <w:bottom w:w="28" w:type="dxa"/>
          <w:right w:w="28" w:type="dxa"/>
        </w:tblCellMar>
      </w:tblPr>
      <w:tblGrid>
        <w:gridCol w:w="916"/>
        <w:gridCol w:w="3121"/>
      </w:tblGrid>
      <w:tr>
        <w:trPr/>
        <w:tc>
          <w:tcPr>
            <w:tcW w:w="91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Financial Statements and Exhibits.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753" w:type="dxa"/>
        <w:jc w:val="left"/>
        <w:tblInd w:w="0" w:type="dxa"/>
        <w:tblLayout w:type="fixed"/>
        <w:tblCellMar>
          <w:top w:w="28" w:type="dxa"/>
          <w:left w:w="28" w:type="dxa"/>
          <w:bottom w:w="28" w:type="dxa"/>
          <w:right w:w="28" w:type="dxa"/>
        </w:tblCellMar>
      </w:tblPr>
      <w:tblGrid>
        <w:gridCol w:w="1081"/>
        <w:gridCol w:w="146"/>
        <w:gridCol w:w="652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2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667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6" w:type="dxa"/>
            <w:tcBorders/>
            <w:tcMar>
              <w:top w:w="0" w:type="dxa"/>
              <w:left w:w="0" w:type="dxa"/>
              <w:bottom w:w="0" w:type="dxa"/>
              <w:right w:w="0" w:type="dxa"/>
            </w:tcMar>
            <w:vAlign w:val="center"/>
          </w:tcPr>
          <w:p>
            <w:pPr>
              <w:pStyle w:val="TableContents"/>
              <w:bidi w:val="0"/>
              <w:spacing w:before="0" w:after="283"/>
              <w:jc w:val="left"/>
              <w:rPr/>
            </w:pPr>
            <w:hyperlink w:anchor="ck0001657677-ex99_1.htm">
              <w:r>
                <w:rPr>
                  <w:rStyle w:val="InternetLink"/>
                  <w:rFonts w:ascii="Times New Roman" w:hAnsi="Times New Roman"/>
                  <w:color w:val="0000FF"/>
                  <w:sz w:val="20"/>
                  <w:u w:val="single"/>
                </w:rPr>
                <w:t>Press Release dated August 25,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667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654" w:type="dxa"/>
        <w:jc w:val="left"/>
        <w:tblInd w:w="0" w:type="dxa"/>
        <w:tblLayout w:type="fixed"/>
        <w:tblCellMar>
          <w:top w:w="28" w:type="dxa"/>
          <w:left w:w="28" w:type="dxa"/>
          <w:bottom w:w="28" w:type="dxa"/>
          <w:right w:w="28" w:type="dxa"/>
        </w:tblCellMar>
      </w:tblPr>
      <w:tblGrid>
        <w:gridCol w:w="556"/>
        <w:gridCol w:w="1456"/>
        <w:gridCol w:w="451"/>
        <w:gridCol w:w="219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Parabilis Medicines,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25,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Kotarakos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Thomas Kotarakos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ck0001657677-ex99_1.htm"/>
      <w:bookmarkStart w:id="3" w:name="ksck0001657677ex99_1"/>
      <w:bookmarkStart w:id="4" w:name="ck0001657677-ex99_1.htm"/>
      <w:bookmarkStart w:id="5" w:name="ksck0001657677ex99_1"/>
      <w:bookmarkEnd w:id="4"/>
      <w:bookmarkEnd w:id="5"/>
      <w:r>
        <w:br w:type="page"/>
      </w:r>
    </w:p>
    <w:tbl>
      <w:tblPr>
        <w:tblW w:w="2343" w:type="dxa"/>
        <w:jc w:val="left"/>
        <w:tblInd w:w="0" w:type="dxa"/>
        <w:tblLayout w:type="fixed"/>
        <w:tblCellMar>
          <w:top w:w="28" w:type="dxa"/>
          <w:left w:w="28" w:type="dxa"/>
          <w:bottom w:w="28" w:type="dxa"/>
          <w:right w:w="28" w:type="dxa"/>
        </w:tblCellMar>
      </w:tblPr>
      <w:tblGrid>
        <w:gridCol w:w="2006"/>
        <w:gridCol w:w="146"/>
        <w:gridCol w:w="191"/>
      </w:tblGrid>
      <w:tr>
        <w:trPr/>
        <w:tc>
          <w:tcPr>
            <w:tcW w:w="2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0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096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9675" cy="5429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eading2"/>
        <w:bidi w:val="0"/>
        <w:jc w:val="center"/>
        <w:rPr>
          <w:rFonts w:ascii="Aptos;sans-serif" w:hAnsi="Aptos;sans-serif"/>
          <w:color w:val="000000"/>
          <w:sz w:val="28"/>
        </w:rPr>
      </w:pPr>
      <w:r>
        <w:rPr>
          <w:rFonts w:ascii="Aptos;sans-serif" w:hAnsi="Aptos;sans-serif"/>
          <w:color w:val="000000"/>
          <w:sz w:val="28"/>
        </w:rPr>
        <w:t>Parabilis Medicines Appoints Accomplished Drug Development Leader Craig L. Tendler, M.D., to Board of Directors</w:t>
      </w:r>
    </w:p>
    <w:p>
      <w:pPr>
        <w:pStyle w:val="TextBody"/>
        <w:bidi w:val="0"/>
        <w:spacing w:before="240" w:after="283"/>
        <w:jc w:val="left"/>
        <w:rPr>
          <w:rFonts w:ascii="Times New Roman" w:hAnsi="Times New Roman"/>
          <w:sz w:val="20"/>
        </w:rPr>
      </w:pPr>
      <w:r>
        <w:rPr>
          <w:rFonts w:ascii="Aptos;sans-serif" w:hAnsi="Aptos;sans-serif"/>
          <w:b/>
          <w:color w:val="000000"/>
          <w:sz w:val="24"/>
        </w:rPr>
        <w:t xml:space="preserve">CAMBRIDGE, Mass., August 25, 2026 </w:t>
      </w:r>
      <w:r>
        <w:rPr>
          <w:rFonts w:ascii="Times New Roman" w:hAnsi="Times New Roman"/>
          <w:color w:val="000000"/>
          <w:sz w:val="20"/>
        </w:rPr>
        <w:t xml:space="preserve">– </w:t>
      </w:r>
      <w:r>
        <w:rPr>
          <w:rFonts w:ascii="Aptos;sans-serif" w:hAnsi="Aptos;sans-serif"/>
          <w:color w:val="000000"/>
          <w:sz w:val="24"/>
        </w:rPr>
        <w:t>Parabilis Medicines (Nasdaq: PBLS), a clinical-stage biopharmaceutical company dedicated to creating extraordinary medicines for patients with serious diseases by unlocking historically undruggable targets, today announced the appointment of Craig L. Tendler, M.D., to its Board of Directors. Dr. Tendler previously led both clinical development and medical affairs for oncology at Johnson &amp; Johnson. He has served as a scientific advisor to Parabilis Medicines, a role he will continue alongside his Board responsibilities.</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Aptos;sans-serif" w:hAnsi="Aptos;sans-serif"/>
          <w:color w:val="000000"/>
          <w:sz w:val="24"/>
        </w:rPr>
        <w:t>We are delighted to welcome Craig to the Parabilis Board of Directors,” said Mathai Mammen, M.D., Ph.D., Chairman, CEO and President of Parabilis Medicines. “I have known Craig for many years and know the rigor, judgment and creativity he brings. His unparalleled experience guiding innovative medicines from clinical development and global approval through subsequent product adoption and medical affairs will be tremendously valuable to Parabilis as we continue to advance zolucatetide across multiple indications and build our broader pipeline of Helicon</w:t>
      </w:r>
      <w:r>
        <w:rPr>
          <w:rFonts w:ascii="Aptos;sans-serif" w:hAnsi="Aptos;sans-serif"/>
          <w:color w:val="000000"/>
          <w:sz w:val="16"/>
        </w:rPr>
        <w:t>TM</w:t>
      </w:r>
      <w:r>
        <w:rPr>
          <w:rFonts w:ascii="Times New Roman" w:hAnsi="Times New Roman"/>
          <w:color w:val="000000"/>
          <w:sz w:val="20"/>
        </w:rPr>
        <w:t xml:space="preserve"> </w:t>
      </w:r>
      <w:r>
        <w:rPr>
          <w:rFonts w:ascii="Aptos;sans-serif" w:hAnsi="Aptos;sans-serif"/>
          <w:color w:val="000000"/>
          <w:sz w:val="24"/>
        </w:rPr>
        <w:t>therapeutics. I consider Craig to be one of the most prolific oncology drug developers in our industry. He has a strategic mind and is driven by patient needs in all that he does.”</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Aptos;sans-serif" w:hAnsi="Aptos;sans-serif"/>
          <w:color w:val="000000"/>
          <w:sz w:val="24"/>
        </w:rPr>
        <w:t>Throughout my career, I have seen the difference that opening new therapeutic avenues can make for patients,” said Dr. Tendler. “I am pleased to join the Board of Parabilis at this pivotal time and complement its efforts to translate clinical insights into strategies that accelerate the development and approval of potentially transformational therapies such as zolucatetide.”</w:t>
      </w:r>
      <w:r>
        <w:rPr>
          <w:rFonts w:ascii="Times New Roman" w:hAnsi="Times New Roman"/>
          <w:color w:val="000000"/>
          <w:sz w:val="20"/>
        </w:rPr>
        <w:t xml:space="preserve"> </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Dr. Tendler brings more than 30 years of experience in oncology drug development and medical affairs, including two decades at Johnson &amp; Johnson, where he held leadership roles across clinical development, medical affairs and business development and most recently served as Global Head of Late-Stage Clinical Development and Global Medical Affairs for Oncology. During his tenure at J&amp;J, he played a key role in securing more than 30 oncology regulatory approvals across prostate cancer (ZYTIGA®, AKEEGA® and ERLEADA®), hematologic malignancies (DARZALEX®, CARVYKTI®, TECVAYLI®, TALVEY®, IMBRUVICA®), lung cancer (RYBREVANT®) and bladder cancer (BALVERSA®), as well as 13 FDA Breakthrough Therapy designations and approvals for 15 New Molecular Entities (NMEs). He also worked closely with clinical and commercial teams to support the practical adoption of many of these practice-changing medicines through medical affairs data generation activities in collaboration with academic and community-based investigators. Dr. Tendler also played an integral role in securing major oncology business development transactions and collaborations, including J&amp;J’s acquisitions of Cougar Biotechnology, Aragon Pharmaceuticals and Taris Biomedical and co-development partnerships with Legend Biotech, Pharmacyclics and Genmab.</w:t>
      </w:r>
    </w:p>
    <w:tbl>
      <w:tblPr>
        <w:tblW w:w="608" w:type="dxa"/>
        <w:jc w:val="left"/>
        <w:tblInd w:w="0" w:type="dxa"/>
        <w:tblLayout w:type="fixed"/>
        <w:tblCellMar>
          <w:top w:w="28" w:type="dxa"/>
          <w:left w:w="28" w:type="dxa"/>
          <w:bottom w:w="28" w:type="dxa"/>
          <w:right w:w="28" w:type="dxa"/>
        </w:tblCellMar>
      </w:tblPr>
      <w:tblGrid>
        <w:gridCol w:w="161"/>
        <w:gridCol w:w="146"/>
        <w:gridCol w:w="3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Before joining J&amp;J, Dr. Tendler spent nearly a decade at the Schering-Plough Research Institute, where he held positions of increasing responsibility in oncology clinical research. Earlier in his career, he served as an Assistant Professor of Pediatrics and Pediatric Hematology/Oncology at the Mount Sinai School of Medicine and was an NIH physician-scientist grant recipient and research fellow at the National Cancer Institute. He continues to serve as an Adjunct Assistant Professor of Pediatrics at Mount Sinai.</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Dr. Tendler currently serves on the Board of Directors of TuHURA Biosciences and Predicta Biosciences and as a scientific advisor for several biotechnology companies. He is also an alternate industry representative to the FDA’s Oncologic Drugs Advisory Committee. He earned his M.D. with high honors from Mount Sinai.</w:t>
      </w:r>
    </w:p>
    <w:p>
      <w:pPr>
        <w:pStyle w:val="TextBody"/>
        <w:bidi w:val="0"/>
        <w:spacing w:before="240" w:after="283"/>
        <w:jc w:val="left"/>
        <w:rPr>
          <w:rFonts w:ascii="Times New Roman" w:hAnsi="Times New Roman"/>
          <w:sz w:val="20"/>
        </w:rPr>
      </w:pPr>
      <w:r>
        <w:rPr>
          <w:rFonts w:ascii="Aptos;sans-serif" w:hAnsi="Aptos;sans-serif"/>
          <w:b/>
          <w:color w:val="272F33"/>
          <w:sz w:val="24"/>
        </w:rPr>
        <w:t>About Parabilis Medicines</w:t>
      </w:r>
      <w:r>
        <w:rPr>
          <w:rFonts w:ascii="Times New Roman" w:hAnsi="Times New Roman"/>
          <w:color w:val="272F33"/>
          <w:sz w:val="20"/>
        </w:rPr>
        <w:t xml:space="preserve"> </w:t>
      </w:r>
    </w:p>
    <w:p>
      <w:pPr>
        <w:pStyle w:val="TextBody"/>
        <w:bidi w:val="0"/>
        <w:jc w:val="left"/>
        <w:rPr>
          <w:rFonts w:ascii="Times New Roman" w:hAnsi="Times New Roman"/>
          <w:sz w:val="20"/>
        </w:rPr>
      </w:pPr>
      <w:r>
        <w:rPr>
          <w:rFonts w:ascii="Aptos;sans-serif" w:hAnsi="Aptos;sans-serif"/>
          <w:color w:val="272F33"/>
          <w:sz w:val="24"/>
        </w:rPr>
        <w:t>Parabilis Medicines (Nasdaq: PBLS) is a clinical-stage biopharmaceutical company dedicated to creating extraordinary medicines for patients with serious diseases by unlocking biologically important targets long considered undruggable. The company has pioneered a new class of alpha-helical peptides – Helicons – capable of modulating intracellular proteins that have historically been beyond the reach of conventional medicines. The company’s lead investigational medicine, zolucatetide, is the first and only direct inhibitor of the β-catenin:TCF interaction, a central node in the Wnt/β-catenin pathway that has eluded drug developers for decades. Zolucatetide is being evaluated in the clinic across multiple Wnt/β-catenin-driven</w:t>
      </w:r>
      <w:r>
        <w:rPr>
          <w:rFonts w:ascii="Times New Roman" w:hAnsi="Times New Roman"/>
          <w:color w:val="000000"/>
          <w:sz w:val="20"/>
        </w:rPr>
        <w:t xml:space="preserve"> </w:t>
      </w:r>
      <w:r>
        <w:rPr>
          <w:rFonts w:ascii="Aptos;sans-serif" w:hAnsi="Aptos;sans-serif"/>
          <w:color w:val="000000"/>
          <w:sz w:val="24"/>
        </w:rPr>
        <w:t>diseases, including desmoid tumors, familial adenomatous polyposis (FAP), adamantinomatous craniopharyngioma (ACP), hepatocellular carcinoma (HCC) and a range of other rare and common solid tumor indications. Beyond zolucatetide, Parabilis is pursuing a follow-on β-catenin degrader program and advancing additional Helicon-based programs focused on other challenging targets, including ERG and allosteric AR</w:t>
      </w:r>
      <w:r>
        <w:rPr>
          <w:rFonts w:ascii="Aptos;sans-serif" w:hAnsi="Aptos;sans-serif"/>
          <w:color w:val="000000"/>
          <w:sz w:val="16"/>
        </w:rPr>
        <w:t>ON</w:t>
      </w:r>
      <w:r>
        <w:rPr>
          <w:rFonts w:ascii="Times New Roman" w:hAnsi="Times New Roman"/>
          <w:color w:val="000000"/>
          <w:sz w:val="20"/>
        </w:rPr>
        <w:t xml:space="preserve"> </w:t>
      </w:r>
      <w:r>
        <w:rPr>
          <w:rFonts w:ascii="Aptos;sans-serif" w:hAnsi="Aptos;sans-serif"/>
          <w:color w:val="000000"/>
          <w:sz w:val="24"/>
        </w:rPr>
        <w:t>in prostate cancer, where we believe our medicines could have life-altering impact. For more informatio</w:t>
      </w:r>
      <w:r>
        <w:rPr>
          <w:rFonts w:ascii="Aptos;sans-serif" w:hAnsi="Aptos;sans-serif"/>
          <w:color w:val="272F33"/>
          <w:sz w:val="24"/>
        </w:rPr>
        <w:t xml:space="preserve">n, visit </w:t>
      </w:r>
      <w:r>
        <w:rPr>
          <w:rFonts w:ascii="Aptos;sans-serif" w:hAnsi="Aptos;sans-serif"/>
          <w:color w:val="000000"/>
          <w:sz w:val="24"/>
        </w:rPr>
        <w:t>www.parabilismed.com</w:t>
      </w:r>
      <w:r>
        <w:rPr>
          <w:rFonts w:ascii="Times New Roman" w:hAnsi="Times New Roman"/>
          <w:color w:val="272F33"/>
          <w:sz w:val="20"/>
        </w:rPr>
        <w:t xml:space="preserve"> </w:t>
      </w:r>
      <w:r>
        <w:rPr>
          <w:rFonts w:ascii="Aptos;sans-serif" w:hAnsi="Aptos;sans-serif"/>
          <w:color w:val="272F33"/>
          <w:sz w:val="24"/>
        </w:rPr>
        <w:t xml:space="preserve">or follow us on </w:t>
      </w:r>
      <w:r>
        <w:rPr>
          <w:rFonts w:ascii="Aptos;sans-serif" w:hAnsi="Aptos;sans-serif"/>
          <w:color w:val="000000"/>
          <w:sz w:val="24"/>
        </w:rPr>
        <w:t>LinkedIn</w:t>
      </w:r>
      <w:r>
        <w:rPr>
          <w:rFonts w:ascii="Aptos;sans-serif" w:hAnsi="Aptos;sans-serif"/>
          <w:color w:val="272F33"/>
          <w:sz w:val="24"/>
        </w:rPr>
        <w:t>.</w:t>
      </w:r>
    </w:p>
    <w:p>
      <w:pPr>
        <w:pStyle w:val="TextBody"/>
        <w:bidi w:val="0"/>
        <w:spacing w:before="240" w:after="283"/>
        <w:jc w:val="left"/>
        <w:rPr>
          <w:rFonts w:ascii="Aptos;sans-serif" w:hAnsi="Aptos;sans-serif"/>
          <w:b/>
          <w:color w:val="272F33"/>
          <w:sz w:val="24"/>
        </w:rPr>
      </w:pPr>
      <w:r>
        <w:rPr>
          <w:rFonts w:ascii="Aptos;sans-serif" w:hAnsi="Aptos;sans-serif"/>
          <w:b/>
          <w:color w:val="272F33"/>
          <w:sz w:val="24"/>
        </w:rPr>
        <w:t>Forward-Looking Statements</w:t>
      </w:r>
    </w:p>
    <w:p>
      <w:pPr>
        <w:pStyle w:val="TextBody"/>
        <w:bidi w:val="0"/>
        <w:jc w:val="left"/>
        <w:rPr>
          <w:rFonts w:ascii="Aptos;sans-serif" w:hAnsi="Aptos;sans-serif"/>
          <w:color w:val="272F33"/>
          <w:sz w:val="24"/>
        </w:rPr>
      </w:pPr>
      <w:r>
        <w:rPr>
          <w:rFonts w:ascii="Aptos;sans-serif" w:hAnsi="Aptos;sans-serif"/>
          <w:color w:val="272F33"/>
          <w:sz w:val="24"/>
        </w:rPr>
        <w:t>This press release contains “forward-looking statements” within the meaning of Section 27A of the Securities Act of 1933 and Section 21E of the Securities Exchange Act of 1934, each as amended.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statements relating to the expected contributions and impact of Dr. Tendler’s contributions to the Company; and other statements regarding the Company’s future plans, objectives, and financial and operational performance.</w:t>
      </w:r>
    </w:p>
    <w:tbl>
      <w:tblPr>
        <w:tblW w:w="608" w:type="dxa"/>
        <w:jc w:val="left"/>
        <w:tblInd w:w="0" w:type="dxa"/>
        <w:tblLayout w:type="fixed"/>
        <w:tblCellMar>
          <w:top w:w="28" w:type="dxa"/>
          <w:left w:w="28" w:type="dxa"/>
          <w:bottom w:w="28" w:type="dxa"/>
          <w:right w:w="28" w:type="dxa"/>
        </w:tblCellMar>
      </w:tblPr>
      <w:tblGrid>
        <w:gridCol w:w="161"/>
        <w:gridCol w:w="146"/>
        <w:gridCol w:w="3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2</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rFonts w:ascii="Aptos;sans-serif" w:hAnsi="Aptos;sans-serif"/>
          <w:color w:val="272F33"/>
          <w:sz w:val="24"/>
        </w:rPr>
      </w:pPr>
      <w:r>
        <w:rPr>
          <w:rFonts w:ascii="Aptos;sans-serif" w:hAnsi="Aptos;sans-serif"/>
          <w:color w:val="272F33"/>
          <w:sz w:val="24"/>
        </w:rPr>
        <w:t>Any forward-looking statements in this press release are based on management’s current expectations and beliefs and are subject to a number of risks and uncertainties that could negatively affect the Company’s business, operating results, financial condition and stock value. Factors that could cause actual events or results to differ materially from those expressed or implied by any forward-looking statements contained in this press release include, without limitation: risks relating to the Company’s research and development activities; the Company’s ability to execute on its strategy, including obtaining the requisite regulatory approvals on the expected timeline, if at all; uncertainties relating to preclinical and clinical development activities; the Company’s dependence on third parties to conduct clinical trials, manufacture its product candidates and develop and commercialize its product candidates, if approved; the Company’s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 approval processes of the U.S. Food and Drug Administration and comparable foreign regulatory authorities; risks related to establishing and maintaining the Company’s intellectual property protections; and risks related to the competitive landscape for the Company’s product candidates; as well as other risks and uncertainties described in greater detail in “Risk Factors,” in the Company’s most recent Quarterly Report on Form 10-Q, as well as discussions of potential risks, uncertainties, and other important factors in the Company’s subsequent filings with the Securities and Exchange Commission. Any forward-looking statements represent the Company’s views only as of today and should not be relied upon as representing its views as of any subsequent date. The Company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w:t>
      </w:r>
    </w:p>
    <w:p>
      <w:pPr>
        <w:pStyle w:val="TextBody"/>
        <w:bidi w:val="0"/>
        <w:spacing w:before="240" w:after="283"/>
        <w:jc w:val="left"/>
        <w:rPr>
          <w:rFonts w:ascii="Aptos;sans-serif" w:hAnsi="Aptos;sans-serif"/>
          <w:b/>
          <w:color w:val="272F33"/>
          <w:sz w:val="24"/>
        </w:rPr>
      </w:pPr>
      <w:r>
        <w:rPr>
          <w:rFonts w:ascii="Aptos;sans-serif" w:hAnsi="Aptos;sans-serif"/>
          <w:b/>
          <w:color w:val="272F33"/>
          <w:sz w:val="24"/>
        </w:rPr>
        <w:t>Media Contact:</w:t>
      </w:r>
    </w:p>
    <w:p>
      <w:pPr>
        <w:pStyle w:val="TextBody"/>
        <w:bidi w:val="0"/>
        <w:jc w:val="left"/>
        <w:rPr>
          <w:rFonts w:ascii="Aptos;sans-serif" w:hAnsi="Aptos;sans-serif"/>
          <w:color w:val="272F33"/>
          <w:sz w:val="24"/>
        </w:rPr>
      </w:pPr>
      <w:r>
        <w:rPr>
          <w:rFonts w:ascii="Aptos;sans-serif" w:hAnsi="Aptos;sans-serif"/>
          <w:color w:val="272F33"/>
          <w:sz w:val="24"/>
        </w:rPr>
        <w:t>Jessica Freifeld</w:t>
      </w:r>
    </w:p>
    <w:p>
      <w:pPr>
        <w:pStyle w:val="TextBody"/>
        <w:bidi w:val="0"/>
        <w:jc w:val="left"/>
        <w:rPr>
          <w:rFonts w:ascii="Times New Roman" w:hAnsi="Times New Roman"/>
          <w:sz w:val="20"/>
        </w:rPr>
      </w:pPr>
      <w:r>
        <w:rPr>
          <w:rFonts w:ascii="Aptos;sans-serif" w:hAnsi="Aptos;sans-serif"/>
          <w:color w:val="000000"/>
          <w:sz w:val="24"/>
        </w:rPr>
        <w:t>media@parabilismed.com</w:t>
      </w:r>
      <w:r>
        <w:rPr>
          <w:rFonts w:ascii="Times New Roman" w:hAnsi="Times New Roman"/>
          <w:color w:val="272F33"/>
          <w:sz w:val="20"/>
        </w:rPr>
        <w:t xml:space="preserve"> </w:t>
      </w:r>
    </w:p>
    <w:p>
      <w:pPr>
        <w:pStyle w:val="TextBody"/>
        <w:bidi w:val="0"/>
        <w:spacing w:before="240" w:after="283"/>
        <w:jc w:val="left"/>
        <w:rPr>
          <w:rFonts w:ascii="Aptos;sans-serif" w:hAnsi="Aptos;sans-serif"/>
          <w:b/>
          <w:color w:val="272F33"/>
          <w:sz w:val="24"/>
        </w:rPr>
      </w:pPr>
      <w:r>
        <w:rPr>
          <w:rFonts w:ascii="Aptos;sans-serif" w:hAnsi="Aptos;sans-serif"/>
          <w:b/>
          <w:color w:val="272F33"/>
          <w:sz w:val="24"/>
        </w:rPr>
        <w:t>Investor Contact:</w:t>
      </w:r>
    </w:p>
    <w:p>
      <w:pPr>
        <w:pStyle w:val="TextBody"/>
        <w:bidi w:val="0"/>
        <w:jc w:val="left"/>
        <w:rPr>
          <w:rFonts w:ascii="Aptos;sans-serif" w:hAnsi="Aptos;sans-serif"/>
          <w:color w:val="272F33"/>
          <w:sz w:val="24"/>
        </w:rPr>
      </w:pPr>
      <w:r>
        <w:rPr>
          <w:rFonts w:ascii="Aptos;sans-serif" w:hAnsi="Aptos;sans-serif"/>
          <w:color w:val="272F33"/>
          <w:sz w:val="24"/>
        </w:rPr>
        <w:t>Tom Kotarakos</w:t>
      </w:r>
    </w:p>
    <w:p>
      <w:pPr>
        <w:pStyle w:val="TextBody"/>
        <w:bidi w:val="0"/>
        <w:jc w:val="left"/>
        <w:rPr>
          <w:rFonts w:ascii="Times New Roman" w:hAnsi="Times New Roman"/>
          <w:sz w:val="20"/>
        </w:rPr>
      </w:pPr>
      <w:r>
        <w:rPr>
          <w:rFonts w:ascii="Aptos;sans-serif" w:hAnsi="Aptos;sans-serif"/>
          <w:color w:val="000000"/>
          <w:sz w:val="24"/>
        </w:rPr>
        <w:t>investors@parabilismed.com</w:t>
      </w:r>
      <w:r>
        <w:rPr>
          <w:rFonts w:ascii="Times New Roman" w:hAnsi="Times New Roman"/>
          <w:color w:val="272F33"/>
          <w:sz w:val="20"/>
        </w:rPr>
        <w:t xml:space="preserve"> </w:t>
      </w:r>
    </w:p>
    <w:tbl>
      <w:tblPr>
        <w:tblW w:w="608" w:type="dxa"/>
        <w:jc w:val="left"/>
        <w:tblInd w:w="0" w:type="dxa"/>
        <w:tblLayout w:type="fixed"/>
        <w:tblCellMar>
          <w:top w:w="28" w:type="dxa"/>
          <w:left w:w="28" w:type="dxa"/>
          <w:bottom w:w="28" w:type="dxa"/>
          <w:right w:w="28" w:type="dxa"/>
        </w:tblCellMar>
      </w:tblPr>
      <w:tblGrid>
        <w:gridCol w:w="161"/>
        <w:gridCol w:w="146"/>
        <w:gridCol w:w="3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2087</Words>
  <Characters>12226</Characters>
  <CharactersWithSpaces>14328</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