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19, 2026.</w:t>
      </w:r>
    </w:p>
    <w:p>
      <w:pPr>
        <w:spacing w:after="0" w:line="3" w:lineRule="exact"/>
        <w:rPr>
          <w:sz w:val="24"/>
          <w:szCs w:val="24"/>
          <w:color w:val="auto"/>
        </w:rPr>
      </w:pPr>
    </w:p>
    <w:p>
      <w:pPr>
        <w:ind w:left="688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460375</wp:posOffset>
            </wp:positionH>
            <wp:positionV relativeFrom="paragraph">
              <wp:posOffset>22860</wp:posOffset>
            </wp:positionV>
            <wp:extent cx="48063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6315" cy="698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36195</wp:posOffset>
            </wp:positionV>
            <wp:extent cx="48063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6315" cy="6985"/>
                    </a:xfrm>
                    <a:prstGeom prst="rect">
                      <a:avLst/>
                    </a:prstGeom>
                    <a:noFill/>
                  </pic:spPr>
                </pic:pic>
              </a:graphicData>
            </a:graphic>
          </wp:anchor>
        </w:drawing>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3"/>
          <w:szCs w:val="3"/>
          <w:color w:val="auto"/>
        </w:rPr>
        <w: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15240</wp:posOffset>
            </wp:positionV>
            <wp:extent cx="961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31115</wp:posOffset>
            </wp:positionV>
            <wp:extent cx="9613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Parabilis Medicines, Inc.</w:t>
      </w:r>
    </w:p>
    <w:p>
      <w:pPr>
        <w:spacing w:after="0" w:line="32" w:lineRule="exact"/>
        <w:rPr>
          <w:sz w:val="24"/>
          <w:szCs w:val="24"/>
          <w:color w:val="auto"/>
        </w:rPr>
      </w:pPr>
    </w:p>
    <w:tbl>
      <w:tblPr>
        <w:tblLayout w:type="fixed"/>
        <w:tblInd w:w="1340" w:type="dxa"/>
        <w:tblCellMar>
          <w:top w:w="0" w:type="dxa"/>
          <w:left w:w="0" w:type="dxa"/>
          <w:bottom w:w="0" w:type="dxa"/>
          <w:right w:w="0" w:type="dxa"/>
        </w:tblCellMar>
      </w:tblPr>
      <w:tr>
        <w:trPr>
          <w:trHeight w:val="155"/>
        </w:trPr>
        <w:tc>
          <w:tcPr>
            <w:tcW w:w="1600" w:type="dxa"/>
            <w:vAlign w:val="bottom"/>
          </w:tcPr>
          <w:p>
            <w:pPr>
              <w:spacing w:after="0"/>
              <w:rPr>
                <w:sz w:val="13"/>
                <w:szCs w:val="13"/>
                <w:color w:val="auto"/>
              </w:rPr>
            </w:pPr>
          </w:p>
        </w:tc>
        <w:tc>
          <w:tcPr>
            <w:tcW w:w="3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1380" w:type="dxa"/>
            <w:vAlign w:val="bottom"/>
          </w:tcPr>
          <w:p>
            <w:pPr>
              <w:spacing w:after="0"/>
              <w:rPr>
                <w:sz w:val="13"/>
                <w:szCs w:val="13"/>
                <w:color w:val="auto"/>
              </w:rPr>
            </w:pPr>
          </w:p>
        </w:tc>
      </w:tr>
      <w:tr>
        <w:trPr>
          <w:trHeight w:val="130"/>
        </w:trPr>
        <w:tc>
          <w:tcPr>
            <w:tcW w:w="1600" w:type="dxa"/>
            <w:vAlign w:val="bottom"/>
          </w:tcPr>
          <w:p>
            <w:pPr>
              <w:jc w:val="center"/>
              <w:ind w:right="269"/>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820" w:type="dxa"/>
            <w:vAlign w:val="bottom"/>
          </w:tcPr>
          <w:p>
            <w:pPr>
              <w:spacing w:after="0"/>
              <w:rPr>
                <w:sz w:val="11"/>
                <w:szCs w:val="11"/>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2834</w:t>
            </w:r>
          </w:p>
        </w:tc>
        <w:tc>
          <w:tcPr>
            <w:tcW w:w="880" w:type="dxa"/>
            <w:vAlign w:val="bottom"/>
          </w:tcPr>
          <w:p>
            <w:pPr>
              <w:spacing w:after="0"/>
              <w:rPr>
                <w:sz w:val="11"/>
                <w:szCs w:val="11"/>
                <w:color w:val="auto"/>
              </w:rPr>
            </w:pPr>
          </w:p>
        </w:tc>
        <w:tc>
          <w:tcPr>
            <w:tcW w:w="1380" w:type="dxa"/>
            <w:vAlign w:val="bottom"/>
          </w:tcPr>
          <w:p>
            <w:pPr>
              <w:jc w:val="center"/>
              <w:ind w:left="349"/>
              <w:spacing w:after="0"/>
              <w:rPr>
                <w:sz w:val="20"/>
                <w:szCs w:val="20"/>
                <w:color w:val="auto"/>
              </w:rPr>
            </w:pPr>
            <w:r>
              <w:rPr>
                <w:rFonts w:ascii="Times New Roman" w:cs="Times New Roman" w:eastAsia="Times New Roman" w:hAnsi="Times New Roman"/>
                <w:sz w:val="11"/>
                <w:szCs w:val="11"/>
                <w:b w:val="1"/>
                <w:bCs w:val="1"/>
                <w:color w:val="auto"/>
              </w:rPr>
              <w:t>47-4505725</w:t>
            </w:r>
          </w:p>
        </w:tc>
      </w:tr>
      <w:tr>
        <w:trPr>
          <w:trHeight w:val="105"/>
        </w:trPr>
        <w:tc>
          <w:tcPr>
            <w:tcW w:w="1600" w:type="dxa"/>
            <w:vAlign w:val="bottom"/>
          </w:tcPr>
          <w:p>
            <w:pPr>
              <w:jc w:val="center"/>
              <w:ind w:right="269"/>
              <w:spacing w:after="0" w:line="105"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820" w:type="dxa"/>
            <w:vAlign w:val="bottom"/>
          </w:tcPr>
          <w:p>
            <w:pPr>
              <w:spacing w:after="0"/>
              <w:rPr>
                <w:sz w:val="9"/>
                <w:szCs w:val="9"/>
                <w:color w:val="auto"/>
              </w:rPr>
            </w:pPr>
          </w:p>
        </w:tc>
        <w:tc>
          <w:tcPr>
            <w:tcW w:w="2380" w:type="dxa"/>
            <w:vAlign w:val="bottom"/>
            <w:gridSpan w:val="2"/>
          </w:tcPr>
          <w:p>
            <w:pPr>
              <w:jc w:val="center"/>
              <w:ind w:right="900"/>
              <w:spacing w:after="0" w:line="105" w:lineRule="exact"/>
              <w:rPr>
                <w:sz w:val="20"/>
                <w:szCs w:val="20"/>
                <w:color w:val="auto"/>
              </w:rPr>
            </w:pPr>
            <w:r>
              <w:rPr>
                <w:rFonts w:ascii="Times New Roman" w:cs="Times New Roman" w:eastAsia="Times New Roman" w:hAnsi="Times New Roman"/>
                <w:sz w:val="10"/>
                <w:szCs w:val="10"/>
                <w:b w:val="1"/>
                <w:bCs w:val="1"/>
                <w:color w:val="auto"/>
                <w:w w:val="97"/>
              </w:rPr>
              <w:t>(Primary Standard Industrial</w:t>
            </w:r>
          </w:p>
        </w:tc>
        <w:tc>
          <w:tcPr>
            <w:tcW w:w="1380" w:type="dxa"/>
            <w:vAlign w:val="bottom"/>
          </w:tcPr>
          <w:p>
            <w:pPr>
              <w:jc w:val="center"/>
              <w:ind w:left="349"/>
              <w:spacing w:after="0" w:line="105"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9"/>
        </w:trPr>
        <w:tc>
          <w:tcPr>
            <w:tcW w:w="1600" w:type="dxa"/>
            <w:vAlign w:val="bottom"/>
          </w:tcPr>
          <w:p>
            <w:pPr>
              <w:jc w:val="center"/>
              <w:ind w:right="269"/>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820" w:type="dxa"/>
            <w:vAlign w:val="bottom"/>
          </w:tcPr>
          <w:p>
            <w:pPr>
              <w:spacing w:after="0"/>
              <w:rPr>
                <w:sz w:val="11"/>
                <w:szCs w:val="11"/>
                <w:color w:val="auto"/>
              </w:rPr>
            </w:pPr>
          </w:p>
        </w:tc>
        <w:tc>
          <w:tcPr>
            <w:tcW w:w="2380" w:type="dxa"/>
            <w:vAlign w:val="bottom"/>
            <w:gridSpan w:val="2"/>
          </w:tcPr>
          <w:p>
            <w:pPr>
              <w:jc w:val="center"/>
              <w:ind w:right="880"/>
              <w:spacing w:after="0"/>
              <w:rPr>
                <w:sz w:val="20"/>
                <w:szCs w:val="20"/>
                <w:color w:val="auto"/>
              </w:rPr>
            </w:pPr>
            <w:r>
              <w:rPr>
                <w:rFonts w:ascii="Times New Roman" w:cs="Times New Roman" w:eastAsia="Times New Roman" w:hAnsi="Times New Roman"/>
                <w:sz w:val="10"/>
                <w:szCs w:val="10"/>
                <w:b w:val="1"/>
                <w:bCs w:val="1"/>
                <w:color w:val="auto"/>
                <w:w w:val="98"/>
              </w:rPr>
              <w:t>Classification Code Number)</w:t>
            </w:r>
          </w:p>
        </w:tc>
        <w:tc>
          <w:tcPr>
            <w:tcW w:w="1380" w:type="dxa"/>
            <w:vAlign w:val="bottom"/>
          </w:tcPr>
          <w:p>
            <w:pPr>
              <w:jc w:val="center"/>
              <w:ind w:left="349"/>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r>
    </w:tbl>
    <w:p>
      <w:pPr>
        <w:spacing w:after="0" w:line="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Parabilis Medicines, Inc.</w:t>
      </w:r>
    </w:p>
    <w:p>
      <w:pPr>
        <w:ind w:left="4000"/>
        <w:spacing w:after="0" w:line="225" w:lineRule="auto"/>
        <w:rPr>
          <w:sz w:val="20"/>
          <w:szCs w:val="20"/>
          <w:color w:val="auto"/>
        </w:rPr>
      </w:pPr>
      <w:r>
        <w:rPr>
          <w:rFonts w:ascii="Times New Roman" w:cs="Times New Roman" w:eastAsia="Times New Roman" w:hAnsi="Times New Roman"/>
          <w:sz w:val="11"/>
          <w:szCs w:val="11"/>
          <w:b w:val="1"/>
          <w:bCs w:val="1"/>
          <w:color w:val="auto"/>
        </w:rPr>
        <w:t>30 Acorn Park Drive</w:t>
      </w:r>
    </w:p>
    <w:p>
      <w:pPr>
        <w:ind w:left="3940"/>
        <w:spacing w:after="0" w:line="219" w:lineRule="auto"/>
        <w:rPr>
          <w:sz w:val="20"/>
          <w:szCs w:val="20"/>
          <w:color w:val="auto"/>
        </w:rPr>
      </w:pPr>
      <w:r>
        <w:rPr>
          <w:rFonts w:ascii="Times New Roman" w:cs="Times New Roman" w:eastAsia="Times New Roman" w:hAnsi="Times New Roman"/>
          <w:sz w:val="11"/>
          <w:szCs w:val="11"/>
          <w:b w:val="1"/>
          <w:bCs w:val="1"/>
          <w:color w:val="auto"/>
        </w:rPr>
        <w:t>Cambridge, MA 02140</w:t>
      </w:r>
    </w:p>
    <w:p>
      <w:pPr>
        <w:ind w:left="4160"/>
        <w:spacing w:after="0" w:line="223" w:lineRule="auto"/>
        <w:rPr>
          <w:sz w:val="20"/>
          <w:szCs w:val="20"/>
          <w:color w:val="auto"/>
        </w:rPr>
      </w:pPr>
      <w:r>
        <w:rPr>
          <w:rFonts w:ascii="Times New Roman" w:cs="Times New Roman" w:eastAsia="Times New Roman" w:hAnsi="Times New Roman"/>
          <w:sz w:val="11"/>
          <w:szCs w:val="11"/>
          <w:b w:val="1"/>
          <w:bCs w:val="1"/>
          <w:color w:val="auto"/>
        </w:rPr>
        <w:t>(617) 945-9510</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29210</wp:posOffset>
            </wp:positionV>
            <wp:extent cx="9613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4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Mathai Mammen, M.D., Ph.D.</w:t>
      </w:r>
    </w:p>
    <w:p>
      <w:pPr>
        <w:ind w:left="3920"/>
        <w:spacing w:after="0" w:line="225"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ind w:left="4000"/>
        <w:spacing w:after="0" w:line="219" w:lineRule="auto"/>
        <w:rPr>
          <w:sz w:val="20"/>
          <w:szCs w:val="20"/>
          <w:color w:val="auto"/>
        </w:rPr>
      </w:pPr>
      <w:r>
        <w:rPr>
          <w:rFonts w:ascii="Times New Roman" w:cs="Times New Roman" w:eastAsia="Times New Roman" w:hAnsi="Times New Roman"/>
          <w:sz w:val="11"/>
          <w:szCs w:val="11"/>
          <w:b w:val="1"/>
          <w:bCs w:val="1"/>
          <w:color w:val="auto"/>
        </w:rPr>
        <w:t>30 Acorn Park Drive</w:t>
      </w:r>
    </w:p>
    <w:p>
      <w:pPr>
        <w:ind w:left="3940"/>
        <w:spacing w:after="0" w:line="220" w:lineRule="auto"/>
        <w:rPr>
          <w:sz w:val="20"/>
          <w:szCs w:val="20"/>
          <w:color w:val="auto"/>
        </w:rPr>
      </w:pPr>
      <w:r>
        <w:rPr>
          <w:rFonts w:ascii="Times New Roman" w:cs="Times New Roman" w:eastAsia="Times New Roman" w:hAnsi="Times New Roman"/>
          <w:sz w:val="11"/>
          <w:szCs w:val="11"/>
          <w:b w:val="1"/>
          <w:bCs w:val="1"/>
          <w:color w:val="auto"/>
        </w:rPr>
        <w:t>Cambridge, MA 02140</w:t>
      </w:r>
    </w:p>
    <w:p>
      <w:pPr>
        <w:ind w:left="4160"/>
        <w:spacing w:after="0" w:line="223" w:lineRule="auto"/>
        <w:rPr>
          <w:sz w:val="20"/>
          <w:szCs w:val="20"/>
          <w:color w:val="auto"/>
        </w:rPr>
      </w:pPr>
      <w:r>
        <w:rPr>
          <w:rFonts w:ascii="Times New Roman" w:cs="Times New Roman" w:eastAsia="Times New Roman" w:hAnsi="Times New Roman"/>
          <w:sz w:val="11"/>
          <w:szCs w:val="11"/>
          <w:b w:val="1"/>
          <w:bCs w:val="1"/>
          <w:color w:val="auto"/>
        </w:rPr>
        <w:t>(617) 945-9510</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22225</wp:posOffset>
            </wp:positionV>
            <wp:extent cx="9613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 w:lineRule="exact"/>
        <w:rPr>
          <w:sz w:val="24"/>
          <w:szCs w:val="24"/>
          <w:color w:val="auto"/>
        </w:rPr>
      </w:pPr>
    </w:p>
    <w:tbl>
      <w:tblPr>
        <w:tblLayout w:type="fixed"/>
        <w:tblInd w:w="1440" w:type="dxa"/>
        <w:tblCellMar>
          <w:top w:w="0" w:type="dxa"/>
          <w:left w:w="0" w:type="dxa"/>
          <w:bottom w:w="0" w:type="dxa"/>
          <w:right w:w="0" w:type="dxa"/>
        </w:tblCellMar>
      </w:tblPr>
      <w:tr>
        <w:trPr>
          <w:trHeight w:val="147"/>
        </w:trPr>
        <w:tc>
          <w:tcPr>
            <w:tcW w:w="178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c>
          <w:tcPr>
            <w:tcW w:w="1920" w:type="dxa"/>
            <w:vAlign w:val="bottom"/>
          </w:tcPr>
          <w:p>
            <w:pPr>
              <w:spacing w:after="0"/>
              <w:rPr>
                <w:sz w:val="12"/>
                <w:szCs w:val="12"/>
                <w:color w:val="auto"/>
              </w:rPr>
            </w:pPr>
          </w:p>
        </w:tc>
      </w:tr>
      <w:tr>
        <w:trPr>
          <w:trHeight w:val="116"/>
        </w:trPr>
        <w:tc>
          <w:tcPr>
            <w:tcW w:w="1780" w:type="dxa"/>
            <w:vAlign w:val="bottom"/>
          </w:tcPr>
          <w:p>
            <w:pPr>
              <w:jc w:val="center"/>
              <w:ind w:right="624"/>
              <w:spacing w:after="0" w:line="116" w:lineRule="exact"/>
              <w:rPr>
                <w:sz w:val="20"/>
                <w:szCs w:val="20"/>
                <w:color w:val="auto"/>
              </w:rPr>
            </w:pPr>
            <w:r>
              <w:rPr>
                <w:rFonts w:ascii="Times New Roman" w:cs="Times New Roman" w:eastAsia="Times New Roman" w:hAnsi="Times New Roman"/>
                <w:sz w:val="11"/>
                <w:szCs w:val="11"/>
                <w:b w:val="1"/>
                <w:bCs w:val="1"/>
                <w:color w:val="auto"/>
              </w:rPr>
              <w:t>Kingsley L. Taft</w:t>
            </w:r>
          </w:p>
        </w:tc>
        <w:tc>
          <w:tcPr>
            <w:tcW w:w="2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Teresa Jurgensen</w:t>
            </w:r>
          </w:p>
        </w:tc>
        <w:tc>
          <w:tcPr>
            <w:tcW w:w="1920" w:type="dxa"/>
            <w:vAlign w:val="bottom"/>
          </w:tcPr>
          <w:p>
            <w:pPr>
              <w:jc w:val="center"/>
              <w:ind w:left="584"/>
              <w:spacing w:after="0" w:line="116" w:lineRule="exact"/>
              <w:rPr>
                <w:sz w:val="20"/>
                <w:szCs w:val="20"/>
                <w:color w:val="auto"/>
              </w:rPr>
            </w:pPr>
            <w:r>
              <w:rPr>
                <w:rFonts w:ascii="Times New Roman" w:cs="Times New Roman" w:eastAsia="Times New Roman" w:hAnsi="Times New Roman"/>
                <w:sz w:val="11"/>
                <w:szCs w:val="11"/>
                <w:b w:val="1"/>
                <w:bCs w:val="1"/>
                <w:color w:val="auto"/>
              </w:rPr>
              <w:t>Brian K. Rosenzweig</w:t>
            </w:r>
          </w:p>
        </w:tc>
      </w:tr>
      <w:tr>
        <w:trPr>
          <w:trHeight w:val="116"/>
        </w:trPr>
        <w:tc>
          <w:tcPr>
            <w:tcW w:w="1780" w:type="dxa"/>
            <w:vAlign w:val="bottom"/>
          </w:tcPr>
          <w:p>
            <w:pPr>
              <w:jc w:val="center"/>
              <w:ind w:right="644"/>
              <w:spacing w:after="0" w:line="116" w:lineRule="exact"/>
              <w:rPr>
                <w:sz w:val="20"/>
                <w:szCs w:val="20"/>
                <w:color w:val="auto"/>
              </w:rPr>
            </w:pPr>
            <w:r>
              <w:rPr>
                <w:rFonts w:ascii="Times New Roman" w:cs="Times New Roman" w:eastAsia="Times New Roman" w:hAnsi="Times New Roman"/>
                <w:sz w:val="11"/>
                <w:szCs w:val="11"/>
                <w:b w:val="1"/>
                <w:bCs w:val="1"/>
                <w:color w:val="auto"/>
              </w:rPr>
              <w:t>Gregg L. Katz</w:t>
            </w:r>
          </w:p>
        </w:tc>
        <w:tc>
          <w:tcPr>
            <w:tcW w:w="2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General Counsel</w:t>
            </w:r>
          </w:p>
        </w:tc>
        <w:tc>
          <w:tcPr>
            <w:tcW w:w="1920" w:type="dxa"/>
            <w:vAlign w:val="bottom"/>
          </w:tcPr>
          <w:p>
            <w:pPr>
              <w:jc w:val="center"/>
              <w:ind w:left="604"/>
              <w:spacing w:after="0" w:line="116" w:lineRule="exact"/>
              <w:rPr>
                <w:sz w:val="20"/>
                <w:szCs w:val="20"/>
                <w:color w:val="auto"/>
              </w:rPr>
            </w:pPr>
            <w:r>
              <w:rPr>
                <w:rFonts w:ascii="Times New Roman" w:cs="Times New Roman" w:eastAsia="Times New Roman" w:hAnsi="Times New Roman"/>
                <w:sz w:val="11"/>
                <w:szCs w:val="11"/>
                <w:b w:val="1"/>
                <w:bCs w:val="1"/>
                <w:color w:val="auto"/>
              </w:rPr>
              <w:t>Alicia Zhang</w:t>
            </w:r>
          </w:p>
        </w:tc>
      </w:tr>
      <w:tr>
        <w:trPr>
          <w:trHeight w:val="116"/>
        </w:trPr>
        <w:tc>
          <w:tcPr>
            <w:tcW w:w="1780" w:type="dxa"/>
            <w:vAlign w:val="bottom"/>
          </w:tcPr>
          <w:p>
            <w:pPr>
              <w:jc w:val="center"/>
              <w:ind w:right="644"/>
              <w:spacing w:after="0" w:line="116" w:lineRule="exact"/>
              <w:rPr>
                <w:sz w:val="20"/>
                <w:szCs w:val="20"/>
                <w:color w:val="auto"/>
              </w:rPr>
            </w:pPr>
            <w:r>
              <w:rPr>
                <w:rFonts w:ascii="Times New Roman" w:cs="Times New Roman" w:eastAsia="Times New Roman" w:hAnsi="Times New Roman"/>
                <w:sz w:val="11"/>
                <w:szCs w:val="11"/>
                <w:b w:val="1"/>
                <w:bCs w:val="1"/>
                <w:color w:val="auto"/>
              </w:rPr>
              <w:t>Alicia M. Tschirhart</w:t>
            </w:r>
          </w:p>
        </w:tc>
        <w:tc>
          <w:tcPr>
            <w:tcW w:w="2520" w:type="dxa"/>
            <w:vAlign w:val="bottom"/>
          </w:tcPr>
          <w:p>
            <w:pPr>
              <w:jc w:val="center"/>
              <w:ind w:left="4"/>
              <w:spacing w:after="0" w:line="116" w:lineRule="exact"/>
              <w:rPr>
                <w:sz w:val="20"/>
                <w:szCs w:val="20"/>
                <w:color w:val="auto"/>
              </w:rPr>
            </w:pPr>
            <w:r>
              <w:rPr>
                <w:rFonts w:ascii="Times New Roman" w:cs="Times New Roman" w:eastAsia="Times New Roman" w:hAnsi="Times New Roman"/>
                <w:sz w:val="11"/>
                <w:szCs w:val="11"/>
                <w:b w:val="1"/>
                <w:bCs w:val="1"/>
                <w:color w:val="auto"/>
              </w:rPr>
              <w:t>Parabilis Medicines, Inc.</w:t>
            </w:r>
          </w:p>
        </w:tc>
        <w:tc>
          <w:tcPr>
            <w:tcW w:w="1920" w:type="dxa"/>
            <w:vAlign w:val="bottom"/>
          </w:tcPr>
          <w:p>
            <w:pPr>
              <w:jc w:val="center"/>
              <w:ind w:left="584"/>
              <w:spacing w:after="0" w:line="116" w:lineRule="exact"/>
              <w:rPr>
                <w:sz w:val="20"/>
                <w:szCs w:val="20"/>
                <w:color w:val="auto"/>
              </w:rPr>
            </w:pPr>
            <w:r>
              <w:rPr>
                <w:rFonts w:ascii="Times New Roman" w:cs="Times New Roman" w:eastAsia="Times New Roman" w:hAnsi="Times New Roman"/>
                <w:sz w:val="11"/>
                <w:szCs w:val="11"/>
                <w:b w:val="1"/>
                <w:bCs w:val="1"/>
                <w:color w:val="auto"/>
              </w:rPr>
              <w:t>Charles A. Dobb</w:t>
            </w:r>
          </w:p>
        </w:tc>
      </w:tr>
      <w:tr>
        <w:trPr>
          <w:trHeight w:val="116"/>
        </w:trPr>
        <w:tc>
          <w:tcPr>
            <w:tcW w:w="1780" w:type="dxa"/>
            <w:vAlign w:val="bottom"/>
          </w:tcPr>
          <w:p>
            <w:pPr>
              <w:jc w:val="center"/>
              <w:ind w:right="644"/>
              <w:spacing w:after="0" w:line="116" w:lineRule="exact"/>
              <w:rPr>
                <w:sz w:val="20"/>
                <w:szCs w:val="20"/>
                <w:color w:val="auto"/>
              </w:rPr>
            </w:pPr>
            <w:r>
              <w:rPr>
                <w:rFonts w:ascii="Times New Roman" w:cs="Times New Roman" w:eastAsia="Times New Roman" w:hAnsi="Times New Roman"/>
                <w:sz w:val="11"/>
                <w:szCs w:val="11"/>
                <w:b w:val="1"/>
                <w:bCs w:val="1"/>
                <w:color w:val="auto"/>
              </w:rPr>
              <w:t>Goodwin Procter LLP</w:t>
            </w:r>
          </w:p>
        </w:tc>
        <w:tc>
          <w:tcPr>
            <w:tcW w:w="2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30 Acorn Park Drive</w:t>
            </w:r>
          </w:p>
        </w:tc>
        <w:tc>
          <w:tcPr>
            <w:tcW w:w="1920" w:type="dxa"/>
            <w:vAlign w:val="bottom"/>
          </w:tcPr>
          <w:p>
            <w:pPr>
              <w:jc w:val="center"/>
              <w:ind w:left="604"/>
              <w:spacing w:after="0" w:line="116" w:lineRule="exact"/>
              <w:rPr>
                <w:sz w:val="20"/>
                <w:szCs w:val="20"/>
                <w:color w:val="auto"/>
              </w:rPr>
            </w:pPr>
            <w:r>
              <w:rPr>
                <w:rFonts w:ascii="Times New Roman" w:cs="Times New Roman" w:eastAsia="Times New Roman" w:hAnsi="Times New Roman"/>
                <w:sz w:val="11"/>
                <w:szCs w:val="11"/>
                <w:b w:val="1"/>
                <w:bCs w:val="1"/>
                <w:color w:val="auto"/>
              </w:rPr>
              <w:t>Covington &amp; Burling LLP</w:t>
            </w:r>
          </w:p>
        </w:tc>
      </w:tr>
      <w:tr>
        <w:trPr>
          <w:trHeight w:val="116"/>
        </w:trPr>
        <w:tc>
          <w:tcPr>
            <w:tcW w:w="1780" w:type="dxa"/>
            <w:vAlign w:val="bottom"/>
          </w:tcPr>
          <w:p>
            <w:pPr>
              <w:jc w:val="center"/>
              <w:ind w:right="644"/>
              <w:spacing w:after="0" w:line="116" w:lineRule="exact"/>
              <w:rPr>
                <w:sz w:val="20"/>
                <w:szCs w:val="20"/>
                <w:color w:val="auto"/>
              </w:rPr>
            </w:pPr>
            <w:r>
              <w:rPr>
                <w:rFonts w:ascii="Times New Roman" w:cs="Times New Roman" w:eastAsia="Times New Roman" w:hAnsi="Times New Roman"/>
                <w:sz w:val="11"/>
                <w:szCs w:val="11"/>
                <w:b w:val="1"/>
                <w:bCs w:val="1"/>
                <w:color w:val="auto"/>
              </w:rPr>
              <w:t>100 Northern Avenue</w:t>
            </w:r>
          </w:p>
        </w:tc>
        <w:tc>
          <w:tcPr>
            <w:tcW w:w="2520" w:type="dxa"/>
            <w:vAlign w:val="bottom"/>
          </w:tcPr>
          <w:p>
            <w:pPr>
              <w:jc w:val="center"/>
              <w:ind w:left="4"/>
              <w:spacing w:after="0" w:line="116" w:lineRule="exact"/>
              <w:rPr>
                <w:sz w:val="20"/>
                <w:szCs w:val="20"/>
                <w:color w:val="auto"/>
              </w:rPr>
            </w:pPr>
            <w:r>
              <w:rPr>
                <w:rFonts w:ascii="Times New Roman" w:cs="Times New Roman" w:eastAsia="Times New Roman" w:hAnsi="Times New Roman"/>
                <w:sz w:val="11"/>
                <w:szCs w:val="11"/>
                <w:b w:val="1"/>
                <w:bCs w:val="1"/>
                <w:color w:val="auto"/>
              </w:rPr>
              <w:t>Cambridge, MA 02140</w:t>
            </w:r>
          </w:p>
        </w:tc>
        <w:tc>
          <w:tcPr>
            <w:tcW w:w="1920" w:type="dxa"/>
            <w:vAlign w:val="bottom"/>
          </w:tcPr>
          <w:p>
            <w:pPr>
              <w:jc w:val="center"/>
              <w:ind w:left="604"/>
              <w:spacing w:after="0" w:line="116" w:lineRule="exact"/>
              <w:rPr>
                <w:sz w:val="20"/>
                <w:szCs w:val="20"/>
                <w:color w:val="auto"/>
              </w:rPr>
            </w:pPr>
            <w:r>
              <w:rPr>
                <w:rFonts w:ascii="Times New Roman" w:cs="Times New Roman" w:eastAsia="Times New Roman" w:hAnsi="Times New Roman"/>
                <w:sz w:val="11"/>
                <w:szCs w:val="11"/>
                <w:b w:val="1"/>
                <w:bCs w:val="1"/>
                <w:color w:val="auto"/>
              </w:rPr>
              <w:t>30 Hudson Yards</w:t>
            </w:r>
          </w:p>
        </w:tc>
      </w:tr>
      <w:tr>
        <w:trPr>
          <w:trHeight w:val="116"/>
        </w:trPr>
        <w:tc>
          <w:tcPr>
            <w:tcW w:w="1780" w:type="dxa"/>
            <w:vAlign w:val="bottom"/>
          </w:tcPr>
          <w:p>
            <w:pPr>
              <w:jc w:val="center"/>
              <w:ind w:right="644"/>
              <w:spacing w:after="0" w:line="116" w:lineRule="exact"/>
              <w:rPr>
                <w:sz w:val="20"/>
                <w:szCs w:val="20"/>
                <w:color w:val="auto"/>
              </w:rPr>
            </w:pPr>
            <w:r>
              <w:rPr>
                <w:rFonts w:ascii="Times New Roman" w:cs="Times New Roman" w:eastAsia="Times New Roman" w:hAnsi="Times New Roman"/>
                <w:sz w:val="11"/>
                <w:szCs w:val="11"/>
                <w:b w:val="1"/>
                <w:bCs w:val="1"/>
                <w:color w:val="auto"/>
              </w:rPr>
              <w:t>Boston, MA 02210</w:t>
            </w:r>
          </w:p>
        </w:tc>
        <w:tc>
          <w:tcPr>
            <w:tcW w:w="2520" w:type="dxa"/>
            <w:vAlign w:val="bottom"/>
          </w:tcPr>
          <w:p>
            <w:pPr>
              <w:jc w:val="center"/>
              <w:ind w:left="4"/>
              <w:spacing w:after="0" w:line="116" w:lineRule="exact"/>
              <w:rPr>
                <w:sz w:val="20"/>
                <w:szCs w:val="20"/>
                <w:color w:val="auto"/>
              </w:rPr>
            </w:pPr>
            <w:r>
              <w:rPr>
                <w:rFonts w:ascii="Times New Roman" w:cs="Times New Roman" w:eastAsia="Times New Roman" w:hAnsi="Times New Roman"/>
                <w:sz w:val="11"/>
                <w:szCs w:val="11"/>
                <w:b w:val="1"/>
                <w:bCs w:val="1"/>
                <w:color w:val="auto"/>
              </w:rPr>
              <w:t>(617) 945-9510</w:t>
            </w:r>
          </w:p>
        </w:tc>
        <w:tc>
          <w:tcPr>
            <w:tcW w:w="1920" w:type="dxa"/>
            <w:vAlign w:val="bottom"/>
          </w:tcPr>
          <w:p>
            <w:pPr>
              <w:jc w:val="center"/>
              <w:ind w:left="604"/>
              <w:spacing w:after="0" w:line="116" w:lineRule="exact"/>
              <w:rPr>
                <w:sz w:val="20"/>
                <w:szCs w:val="20"/>
                <w:color w:val="auto"/>
              </w:rPr>
            </w:pPr>
            <w:r>
              <w:rPr>
                <w:rFonts w:ascii="Times New Roman" w:cs="Times New Roman" w:eastAsia="Times New Roman" w:hAnsi="Times New Roman"/>
                <w:sz w:val="11"/>
                <w:szCs w:val="11"/>
                <w:b w:val="1"/>
                <w:bCs w:val="1"/>
                <w:color w:val="auto"/>
              </w:rPr>
              <w:t>New York, NY 10001</w:t>
            </w:r>
          </w:p>
        </w:tc>
      </w:tr>
      <w:tr>
        <w:trPr>
          <w:trHeight w:val="148"/>
        </w:trPr>
        <w:tc>
          <w:tcPr>
            <w:tcW w:w="1780" w:type="dxa"/>
            <w:vAlign w:val="bottom"/>
          </w:tcPr>
          <w:p>
            <w:pPr>
              <w:jc w:val="center"/>
              <w:ind w:right="624"/>
              <w:spacing w:after="0"/>
              <w:rPr>
                <w:sz w:val="20"/>
                <w:szCs w:val="20"/>
                <w:color w:val="auto"/>
              </w:rPr>
            </w:pPr>
            <w:r>
              <w:rPr>
                <w:rFonts w:ascii="Times New Roman" w:cs="Times New Roman" w:eastAsia="Times New Roman" w:hAnsi="Times New Roman"/>
                <w:sz w:val="11"/>
                <w:szCs w:val="11"/>
                <w:b w:val="1"/>
                <w:bCs w:val="1"/>
                <w:color w:val="auto"/>
              </w:rPr>
              <w:t>(617) 570-1000</w:t>
            </w:r>
          </w:p>
        </w:tc>
        <w:tc>
          <w:tcPr>
            <w:tcW w:w="2520" w:type="dxa"/>
            <w:vAlign w:val="bottom"/>
          </w:tcPr>
          <w:p>
            <w:pPr>
              <w:spacing w:after="0"/>
              <w:rPr>
                <w:sz w:val="12"/>
                <w:szCs w:val="12"/>
                <w:color w:val="auto"/>
              </w:rPr>
            </w:pPr>
          </w:p>
        </w:tc>
        <w:tc>
          <w:tcPr>
            <w:tcW w:w="1920" w:type="dxa"/>
            <w:vAlign w:val="bottom"/>
          </w:tcPr>
          <w:p>
            <w:pPr>
              <w:jc w:val="center"/>
              <w:ind w:left="604"/>
              <w:spacing w:after="0"/>
              <w:rPr>
                <w:sz w:val="20"/>
                <w:szCs w:val="20"/>
                <w:color w:val="auto"/>
              </w:rPr>
            </w:pPr>
            <w:r>
              <w:rPr>
                <w:rFonts w:ascii="Times New Roman" w:cs="Times New Roman" w:eastAsia="Times New Roman" w:hAnsi="Times New Roman"/>
                <w:sz w:val="11"/>
                <w:szCs w:val="11"/>
                <w:b w:val="1"/>
                <w:bCs w:val="1"/>
                <w:color w:val="auto"/>
              </w:rPr>
              <w:t>(212) 841-1000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18415</wp:posOffset>
            </wp:positionV>
            <wp:extent cx="9613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2"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this registration statement becomes effective.</w:t>
      </w:r>
    </w:p>
    <w:p>
      <w:pPr>
        <w:spacing w:after="0" w:line="23" w:lineRule="exact"/>
        <w:rPr>
          <w:sz w:val="24"/>
          <w:szCs w:val="24"/>
          <w:color w:val="auto"/>
        </w:rPr>
      </w:pPr>
    </w:p>
    <w:p>
      <w:pPr>
        <w:ind w:left="720" w:right="919" w:firstLine="343"/>
        <w:spacing w:after="0" w:line="144"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ind w:left="720" w:right="819" w:firstLine="343"/>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720" w:right="759" w:firstLine="343"/>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720" w:right="759" w:firstLine="343"/>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ind w:left="720" w:right="839" w:firstLine="343"/>
        <w:spacing w:after="0" w:line="23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720" w:type="dxa"/>
        <w:tblCellMar>
          <w:top w:w="0" w:type="dxa"/>
          <w:left w:w="0" w:type="dxa"/>
          <w:bottom w:w="0" w:type="dxa"/>
          <w:right w:w="0" w:type="dxa"/>
        </w:tblCellMar>
      </w:tblPr>
      <w:tr>
        <w:trPr>
          <w:trHeight w:val="154"/>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40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3420" w:type="dxa"/>
            <w:vAlign w:val="bottom"/>
          </w:tcPr>
          <w:p>
            <w:pPr>
              <w:ind w:left="1980"/>
              <w:spacing w:after="0"/>
              <w:rPr>
                <w:sz w:val="20"/>
                <w:szCs w:val="20"/>
                <w:color w:val="auto"/>
              </w:rPr>
            </w:pPr>
            <w:r>
              <w:rPr>
                <w:rFonts w:ascii="Times New Roman" w:cs="Times New Roman" w:eastAsia="Times New Roman" w:hAnsi="Times New Roman"/>
                <w:sz w:val="11"/>
                <w:szCs w:val="11"/>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40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3420" w:type="dxa"/>
            <w:vAlign w:val="bottom"/>
          </w:tcPr>
          <w:p>
            <w:pPr>
              <w:ind w:left="19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20" w:type="dxa"/>
            <w:vAlign w:val="bottom"/>
          </w:tcPr>
          <w:p>
            <w:pPr>
              <w:ind w:left="1980"/>
              <w:spacing w:after="0"/>
              <w:rPr>
                <w:sz w:val="20"/>
                <w:szCs w:val="20"/>
                <w:color w:val="auto"/>
              </w:rPr>
            </w:pPr>
            <w:r>
              <w:rPr>
                <w:rFonts w:ascii="Times New Roman" w:cs="Times New Roman" w:eastAsia="Times New Roman" w:hAnsi="Times New Roman"/>
                <w:sz w:val="11"/>
                <w:szCs w:val="11"/>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ind w:left="720" w:right="939" w:firstLine="343"/>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15240</wp:posOffset>
            </wp:positionV>
            <wp:extent cx="9613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7" w:lineRule="exact"/>
        <w:rPr>
          <w:sz w:val="24"/>
          <w:szCs w:val="24"/>
          <w:color w:val="auto"/>
        </w:rPr>
      </w:pPr>
    </w:p>
    <w:p>
      <w:pPr>
        <w:jc w:val="both"/>
        <w:ind w:left="720" w:right="899" w:firstLine="343"/>
        <w:spacing w:after="0" w:line="234"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120650</wp:posOffset>
            </wp:positionH>
            <wp:positionV relativeFrom="paragraph">
              <wp:posOffset>507365</wp:posOffset>
            </wp:positionV>
            <wp:extent cx="54857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19685</wp:posOffset>
            </wp:positionV>
            <wp:extent cx="48063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6315" cy="698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33020</wp:posOffset>
            </wp:positionV>
            <wp:extent cx="48063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6315" cy="698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1" w:name="page2"/>
    <w:bookmarkEnd w:id="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ind w:left="720" w:right="739"/>
        <w:spacing w:after="0" w:line="256" w:lineRule="auto"/>
        <w:rPr>
          <w:sz w:val="20"/>
          <w:szCs w:val="20"/>
          <w:color w:val="auto"/>
        </w:rPr>
      </w:pPr>
      <w:r>
        <w:rPr>
          <w:rFonts w:ascii="Times New Roman" w:cs="Times New Roman" w:eastAsia="Times New Roman" w:hAnsi="Times New Roman"/>
          <w:sz w:val="14"/>
          <w:szCs w:val="14"/>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F4338"/>
        </w:rPr>
        <w:t>Subject to Completion, Dated May 19, 2026</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12700</wp:posOffset>
            </wp:positionV>
            <wp:extent cx="1809115" cy="821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115"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88265</wp:posOffset>
            </wp:positionV>
            <wp:extent cx="9613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99"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This is an initial public offering of shares of common stock of Parabilis Medicines, Inc. We are offering           shares of our common stock.</w:t>
      </w:r>
    </w:p>
    <w:p>
      <w:pPr>
        <w:spacing w:after="0" w:line="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Following this offering, we will have two classes of common stock: the voting common stock offered hereby and non-voting</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common stock. For a description of the rights of the voting common stock and non-voting common stock, see the section titled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u w:val="single" w:color="auto"/>
          <w:color w:val="0000FF"/>
        </w:rPr>
        <w:t>Description of Capital Stock</w:t>
      </w:r>
      <w:r>
        <w:rPr>
          <w:rFonts w:ascii="Times New Roman" w:cs="Times New Roman" w:eastAsia="Times New Roman" w:hAnsi="Times New Roman"/>
          <w:sz w:val="14"/>
          <w:szCs w:val="14"/>
          <w:color w:val="auto"/>
        </w:rPr>
        <w:t>” beginning on page 201 of this prospectus. We are offering voting common stock in this offering, and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unless otherwise noted, all references in this prospectus to our “common stock,” “common shares” or “shares” refer to our voting</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common stock.</w:t>
      </w:r>
    </w:p>
    <w:p>
      <w:pPr>
        <w:spacing w:after="0" w:line="77"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It is currently estimated that the initial public offering price per share will be between $      and $      . We have applied to list our common stock on The Nasdaq Global Market under the symbol “PBLS”. We believe that upon the completion of this offering, we will meet the standards for listing on The Nasdaq Global Market, and the completion of this offering is contingent upon such listing.</w:t>
      </w:r>
    </w:p>
    <w:p>
      <w:pPr>
        <w:spacing w:after="0" w:line="57" w:lineRule="exact"/>
        <w:rPr>
          <w:sz w:val="20"/>
          <w:szCs w:val="20"/>
          <w:color w:val="auto"/>
        </w:rPr>
      </w:pPr>
    </w:p>
    <w:p>
      <w:pPr>
        <w:jc w:val="both"/>
        <w:ind w:left="720" w:right="819" w:firstLine="343"/>
        <w:spacing w:after="0" w:line="323" w:lineRule="auto"/>
        <w:rPr>
          <w:sz w:val="20"/>
          <w:szCs w:val="20"/>
          <w:color w:val="auto"/>
        </w:rPr>
      </w:pPr>
      <w:r>
        <w:rPr>
          <w:rFonts w:ascii="Times New Roman" w:cs="Times New Roman" w:eastAsia="Times New Roman" w:hAnsi="Times New Roman"/>
          <w:sz w:val="13"/>
          <w:szCs w:val="13"/>
          <w:color w:val="auto"/>
        </w:rPr>
        <w:t>We are an “emerging growth company” and “smaller reporting company” as defined under the U.S. federal securities laws and, as such, we have elected to comply with certain reduced public company reporting requirements in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40640</wp:posOffset>
            </wp:positionV>
            <wp:extent cx="9613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22" w:lineRule="exact"/>
        <w:rPr>
          <w:sz w:val="20"/>
          <w:szCs w:val="20"/>
          <w:color w:val="auto"/>
        </w:rPr>
      </w:pPr>
    </w:p>
    <w:p>
      <w:pPr>
        <w:ind w:left="720" w:right="8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a high degree of risk. See the section titled “</w:t>
      </w:r>
      <w:r>
        <w:rPr>
          <w:rFonts w:ascii="Times New Roman" w:cs="Times New Roman" w:eastAsia="Times New Roman" w:hAnsi="Times New Roman"/>
          <w:sz w:val="14"/>
          <w:szCs w:val="14"/>
          <w:b w:val="1"/>
          <w:bCs w:val="1"/>
          <w:i w:val="1"/>
          <w:iCs w:val="1"/>
          <w:u w:val="single" w:color="auto"/>
          <w:color w:val="0000FF"/>
        </w:rPr>
        <w:t>Risk Factors</w:t>
      </w:r>
      <w:r>
        <w:rPr>
          <w:rFonts w:ascii="Times New Roman" w:cs="Times New Roman" w:eastAsia="Times New Roman" w:hAnsi="Times New Roman"/>
          <w:sz w:val="14"/>
          <w:szCs w:val="14"/>
          <w:b w:val="1"/>
          <w:bCs w:val="1"/>
          <w:color w:val="auto"/>
        </w:rPr>
        <w:t>” beginning on page 15 to read about factors you should carefully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47625</wp:posOffset>
            </wp:positionV>
            <wp:extent cx="9613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32" w:lineRule="exact"/>
        <w:rPr>
          <w:sz w:val="20"/>
          <w:szCs w:val="20"/>
          <w:color w:val="auto"/>
        </w:rPr>
      </w:pPr>
    </w:p>
    <w:p>
      <w:pPr>
        <w:jc w:val="both"/>
        <w:ind w:left="720" w:right="8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135"/>
        </w:trPr>
        <w:tc>
          <w:tcPr>
            <w:tcW w:w="3760" w:type="dxa"/>
            <w:vAlign w:val="bottom"/>
          </w:tcPr>
          <w:p>
            <w:pPr>
              <w:spacing w:after="0"/>
              <w:rPr>
                <w:sz w:val="11"/>
                <w:szCs w:val="11"/>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80" w:type="dxa"/>
            <w:vAlign w:val="bottom"/>
          </w:tcPr>
          <w:p>
            <w:pPr>
              <w:spacing w:after="0"/>
              <w:rPr>
                <w:sz w:val="11"/>
                <w:szCs w:val="11"/>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37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Initial public offering price</w:t>
            </w:r>
          </w:p>
        </w:tc>
        <w:tc>
          <w:tcPr>
            <w:tcW w:w="940" w:type="dxa"/>
            <w:vAlign w:val="bottom"/>
            <w:shd w:val="clear" w:color="auto" w:fill="CFF0FC"/>
          </w:tcPr>
          <w:p>
            <w:pPr>
              <w:jc w:val="right"/>
              <w:ind w:right="793"/>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844"/>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(1)</w:t>
            </w: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44"/>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before expenses, to Parabilis Medicines, Inc.</w:t>
            </w:r>
          </w:p>
        </w:tc>
        <w:tc>
          <w:tcPr>
            <w:tcW w:w="94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73660</wp:posOffset>
            </wp:positionV>
            <wp:extent cx="6407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31" w:lineRule="exact"/>
        <w:rPr>
          <w:sz w:val="20"/>
          <w:szCs w:val="20"/>
          <w:color w:val="auto"/>
        </w:rPr>
      </w:pPr>
    </w:p>
    <w:p>
      <w:pPr>
        <w:ind w:left="1060" w:hanging="340"/>
        <w:spacing w:after="0"/>
        <w:tabs>
          <w:tab w:leader="none" w:pos="1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for additional information regarding compensation payable to the underwriters.</w:t>
      </w:r>
    </w:p>
    <w:p>
      <w:pPr>
        <w:spacing w:after="0" w:line="93"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We have granted the underwriters the option to purchase up to an additional         shares of common stock from us, at the initial public offering price, less the underwriting discounts and commissions.</w:t>
      </w:r>
    </w:p>
    <w:p>
      <w:pPr>
        <w:spacing w:after="0" w:line="41"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In connection with our strategic research collaboration, Regeneron Pharmaceuticals, Inc. ("Regeneron") has agreed to purchase approximately $75.0 million of shares of our common stock in a concurrent private placement exempt from the registration requirements of the Securities Act of 1933, as amended, at a per share price equal to 90% of the initial public offering price (or shares based on the assumed initial public offering price of $ per share, which is the midpoint of the price range set forth above). The private placement would close concurrently with, and be contingent and conditioned upon consummation of, this offering; however, this offering is not contingent on the consummation of the concurrent private placement. In connection with the concurrent private placement, we expect to enter into a stock purchase agreement with Regeneron. The underwriters of this offering will not receive any fee in connection with the concurrent private placement.</w:t>
      </w:r>
    </w:p>
    <w:p>
      <w:pPr>
        <w:spacing w:after="0" w:line="6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underwriters expect to deliver the shares against payment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133985</wp:posOffset>
            </wp:positionV>
            <wp:extent cx="9613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80" w:lineRule="exact"/>
        <w:rPr>
          <w:sz w:val="20"/>
          <w:szCs w:val="20"/>
          <w:color w:val="auto"/>
        </w:rPr>
      </w:pPr>
    </w:p>
    <w:p>
      <w:pPr>
        <w:ind w:left="720"/>
        <w:spacing w:after="0"/>
        <w:tabs>
          <w:tab w:leader="none" w:pos="2240" w:val="left"/>
          <w:tab w:leader="none" w:pos="3660" w:val="left"/>
          <w:tab w:leader="none" w:pos="4840" w:val="left"/>
          <w:tab w:leader="none" w:pos="6900" w:val="left"/>
        </w:tabs>
        <w:rPr>
          <w:sz w:val="20"/>
          <w:szCs w:val="20"/>
          <w:color w:val="auto"/>
        </w:rPr>
      </w:pPr>
      <w:r>
        <w:rPr>
          <w:rFonts w:ascii="Times New Roman" w:cs="Times New Roman" w:eastAsia="Times New Roman" w:hAnsi="Times New Roman"/>
          <w:sz w:val="14"/>
          <w:szCs w:val="14"/>
          <w:b w:val="1"/>
          <w:bCs w:val="1"/>
          <w:color w:val="auto"/>
        </w:rPr>
        <w:t>Leerink Partners</w:t>
      </w:r>
      <w:r>
        <w:rPr>
          <w:sz w:val="20"/>
          <w:szCs w:val="20"/>
          <w:color w:val="auto"/>
        </w:rPr>
        <w:tab/>
      </w:r>
      <w:r>
        <w:rPr>
          <w:rFonts w:ascii="Times New Roman" w:cs="Times New Roman" w:eastAsia="Times New Roman" w:hAnsi="Times New Roman"/>
          <w:sz w:val="14"/>
          <w:szCs w:val="14"/>
          <w:b w:val="1"/>
          <w:bCs w:val="1"/>
          <w:color w:val="auto"/>
        </w:rPr>
        <w:t>BofA Securities</w:t>
      </w:r>
      <w:r>
        <w:rPr>
          <w:sz w:val="20"/>
          <w:szCs w:val="20"/>
          <w:color w:val="auto"/>
        </w:rPr>
        <w:tab/>
      </w:r>
      <w:r>
        <w:rPr>
          <w:rFonts w:ascii="Times New Roman" w:cs="Times New Roman" w:eastAsia="Times New Roman" w:hAnsi="Times New Roman"/>
          <w:sz w:val="14"/>
          <w:szCs w:val="14"/>
          <w:b w:val="1"/>
          <w:bCs w:val="1"/>
          <w:color w:val="auto"/>
        </w:rPr>
        <w:t>Evercore ISI</w:t>
      </w:r>
      <w:r>
        <w:rPr>
          <w:sz w:val="20"/>
          <w:szCs w:val="20"/>
          <w:color w:val="auto"/>
        </w:rPr>
        <w:tab/>
      </w:r>
      <w:r>
        <w:rPr>
          <w:rFonts w:ascii="Times New Roman" w:cs="Times New Roman" w:eastAsia="Times New Roman" w:hAnsi="Times New Roman"/>
          <w:sz w:val="14"/>
          <w:szCs w:val="14"/>
          <w:b w:val="1"/>
          <w:bCs w:val="1"/>
          <w:color w:val="auto"/>
        </w:rPr>
        <w:t>Guggenheim Securities</w:t>
      </w:r>
      <w:r>
        <w:rPr>
          <w:sz w:val="20"/>
          <w:szCs w:val="20"/>
          <w:color w:val="auto"/>
        </w:rPr>
        <w:tab/>
      </w:r>
      <w:r>
        <w:rPr>
          <w:rFonts w:ascii="Times New Roman" w:cs="Times New Roman" w:eastAsia="Times New Roman" w:hAnsi="Times New Roman"/>
          <w:sz w:val="14"/>
          <w:szCs w:val="14"/>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142240</wp:posOffset>
            </wp:positionV>
            <wp:extent cx="96139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382905</wp:posOffset>
            </wp:positionV>
            <wp:extent cx="54857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36"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164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FF"/>
                <w:w w:val="99"/>
              </w:rPr>
              <w:t>PROSPECTUS SUMMARY</w:t>
            </w:r>
          </w:p>
        </w:tc>
        <w:tc>
          <w:tcPr>
            <w:tcW w:w="5560" w:type="dxa"/>
            <w:vAlign w:val="bottom"/>
            <w:gridSpan w:val="11"/>
            <w:vMerge w:val="restart"/>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1640" w:type="dxa"/>
            <w:vAlign w:val="bottom"/>
            <w:tcBorders>
              <w:bottom w:val="single" w:sz="8" w:color="0000FF"/>
            </w:tcBorders>
            <w:gridSpan w:val="10"/>
            <w:vMerge w:val="continue"/>
          </w:tcPr>
          <w:p>
            <w:pPr>
              <w:spacing w:after="0"/>
              <w:rPr>
                <w:sz w:val="11"/>
                <w:szCs w:val="11"/>
                <w:color w:val="auto"/>
              </w:rPr>
            </w:pPr>
          </w:p>
        </w:tc>
        <w:tc>
          <w:tcPr>
            <w:tcW w:w="5560" w:type="dxa"/>
            <w:vAlign w:val="bottom"/>
            <w:gridSpan w:val="11"/>
            <w:vMerge w:val="continue"/>
          </w:tcPr>
          <w:p>
            <w:pPr>
              <w:spacing w:after="0"/>
              <w:rPr>
                <w:sz w:val="11"/>
                <w:szCs w:val="11"/>
                <w:color w:val="auto"/>
              </w:rPr>
            </w:pPr>
          </w:p>
        </w:tc>
        <w:tc>
          <w:tcPr>
            <w:tcW w:w="3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RISK FACTORS</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tcBorders>
              <w:bottom w:val="single" w:sz="8" w:color="0000FF"/>
            </w:tcBorders>
            <w:gridSpan w:val="17"/>
          </w:tcPr>
          <w:p>
            <w:pPr>
              <w:spacing w:after="0" w:line="148"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2960" w:type="dxa"/>
            <w:vAlign w:val="bottom"/>
            <w:gridSpan w:val="4"/>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8"/>
        </w:trPr>
        <w:tc>
          <w:tcPr>
            <w:tcW w:w="1240" w:type="dxa"/>
            <w:vAlign w:val="bottom"/>
            <w:tcBorders>
              <w:bottom w:val="single" w:sz="8" w:color="0000FF"/>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FF"/>
                <w:w w:val="99"/>
              </w:rPr>
              <w:t>USE OF PROCEEDS</w:t>
            </w:r>
          </w:p>
        </w:tc>
        <w:tc>
          <w:tcPr>
            <w:tcW w:w="5960" w:type="dxa"/>
            <w:vAlign w:val="bottom"/>
            <w:gridSpan w:val="12"/>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DIVIDEND POLICY</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1160" w:type="dxa"/>
            <w:vAlign w:val="bottom"/>
            <w:tcBorders>
              <w:top w:val="single" w:sz="8" w:color="0000FF"/>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FF"/>
                <w:w w:val="98"/>
              </w:rPr>
              <w:t>CAPITALIZATION</w:t>
            </w:r>
          </w:p>
        </w:tc>
        <w:tc>
          <w:tcPr>
            <w:tcW w:w="60" w:type="dxa"/>
            <w:vAlign w:val="bottom"/>
            <w:tcBorders>
              <w:top w:val="single" w:sz="8" w:color="0000FF"/>
            </w:tcBorders>
          </w:tcPr>
          <w:p>
            <w:pPr>
              <w:spacing w:after="0"/>
              <w:rPr>
                <w:sz w:val="12"/>
                <w:szCs w:val="12"/>
                <w:color w:val="auto"/>
              </w:rPr>
            </w:pPr>
          </w:p>
        </w:tc>
        <w:tc>
          <w:tcPr>
            <w:tcW w:w="5980" w:type="dxa"/>
            <w:vAlign w:val="bottom"/>
            <w:gridSpan w:val="13"/>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8"/>
        </w:trPr>
        <w:tc>
          <w:tcPr>
            <w:tcW w:w="680" w:type="dxa"/>
            <w:vAlign w:val="bottom"/>
            <w:tcBorders>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FF"/>
                <w:w w:val="98"/>
              </w:rPr>
              <w:t>DILUTION</w:t>
            </w:r>
          </w:p>
        </w:tc>
        <w:tc>
          <w:tcPr>
            <w:tcW w:w="6520" w:type="dxa"/>
            <w:vAlign w:val="bottom"/>
            <w:gridSpan w:val="19"/>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8"/>
        </w:trPr>
        <w:tc>
          <w:tcPr>
            <w:tcW w:w="6980" w:type="dxa"/>
            <w:vAlign w:val="bottom"/>
            <w:tcBorders>
              <w:top w:val="single" w:sz="8" w:color="0000FF"/>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FF"/>
              </w:rPr>
              <w:t>BUSINESS</w:t>
            </w:r>
          </w:p>
        </w:tc>
        <w:tc>
          <w:tcPr>
            <w:tcW w:w="22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Borders>
              <w:bottom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FF"/>
                <w:w w:val="98"/>
              </w:rPr>
              <w:t>MANAGEMENT</w:t>
            </w:r>
          </w:p>
        </w:tc>
        <w:tc>
          <w:tcPr>
            <w:tcW w:w="6180" w:type="dxa"/>
            <w:vAlign w:val="bottom"/>
            <w:gridSpan w:val="17"/>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1920" w:type="dxa"/>
            <w:vAlign w:val="bottom"/>
            <w:tcBorders>
              <w:bottom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FF"/>
                <w:w w:val="99"/>
              </w:rPr>
              <w:t>EXECUTIVE COMPENSATION</w:t>
            </w:r>
          </w:p>
        </w:tc>
        <w:tc>
          <w:tcPr>
            <w:tcW w:w="5280" w:type="dxa"/>
            <w:vAlign w:val="bottom"/>
            <w:gridSpan w:val="9"/>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4440" w:type="dxa"/>
            <w:vAlign w:val="bottom"/>
            <w:tcBorders>
              <w:bottom w:val="single" w:sz="8" w:color="0000FF"/>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FF"/>
              </w:rPr>
              <w:t>CERTAIN RELATIONSHIPS AND RELATED PERSON TRANSACTIONS</w:t>
            </w:r>
          </w:p>
        </w:tc>
        <w:tc>
          <w:tcPr>
            <w:tcW w:w="2760" w:type="dxa"/>
            <w:vAlign w:val="bottom"/>
            <w:gridSpan w:val="3"/>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PRINCIPAL STOCKHOLDERS</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80" w:type="dxa"/>
            <w:vAlign w:val="bottom"/>
            <w:tcBorders>
              <w:bottom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FF"/>
                <w:w w:val="99"/>
              </w:rPr>
              <w:t>SHARES ELIGIBLE FOR FUTURE SALE</w:t>
            </w:r>
          </w:p>
        </w:tc>
        <w:tc>
          <w:tcPr>
            <w:tcW w:w="4720" w:type="dxa"/>
            <w:vAlign w:val="bottom"/>
            <w:gridSpan w:val="7"/>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MATERIAL U.S. FEDERAL INCOME TAX CONSEQUENCES FOR NON-U.S. HOLDERS</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8"/>
        </w:trPr>
        <w:tc>
          <w:tcPr>
            <w:tcW w:w="5340" w:type="dxa"/>
            <w:vAlign w:val="bottom"/>
            <w:tcBorders>
              <w:top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FF"/>
              </w:rPr>
              <w:t>UNDERWRITING</w:t>
            </w:r>
          </w:p>
        </w:tc>
        <w:tc>
          <w:tcPr>
            <w:tcW w:w="1860" w:type="dxa"/>
            <w:vAlign w:val="bottom"/>
            <w:gridSpan w:val="2"/>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20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LEGAL MATTERS</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8"/>
        </w:trPr>
        <w:tc>
          <w:tcPr>
            <w:tcW w:w="114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FF"/>
              </w:rPr>
              <w:t>EXPERTS</w:t>
            </w:r>
          </w:p>
        </w:tc>
        <w:tc>
          <w:tcPr>
            <w:tcW w:w="6060" w:type="dxa"/>
            <w:vAlign w:val="bottom"/>
            <w:gridSpan w:val="15"/>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tcBorders>
              <w:bottom w:val="single" w:sz="8" w:color="0000FF"/>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FF"/>
                <w:w w:val="99"/>
              </w:rPr>
              <w:t>WHERE YOU CAN FIND ADDITIONAL INFORMATION</w:t>
            </w:r>
          </w:p>
        </w:tc>
        <w:tc>
          <w:tcPr>
            <w:tcW w:w="3740" w:type="dxa"/>
            <w:vAlign w:val="bottom"/>
            <w:gridSpan w:val="6"/>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8"/>
        </w:trPr>
        <w:tc>
          <w:tcPr>
            <w:tcW w:w="3820" w:type="dxa"/>
            <w:vAlign w:val="bottom"/>
            <w:tcBorders>
              <w:bottom w:val="single" w:sz="8" w:color="0000FF"/>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FF"/>
                <w:w w:val="99"/>
              </w:rPr>
              <w:t>INDEX TO THE CONSOLIDATED FINANCIAL STATEMENTS</w:t>
            </w:r>
          </w:p>
        </w:tc>
        <w:tc>
          <w:tcPr>
            <w:tcW w:w="3380" w:type="dxa"/>
            <w:vAlign w:val="bottom"/>
            <w:gridSpan w:val="5"/>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4" w:lineRule="exact"/>
        <w:rPr>
          <w:sz w:val="20"/>
          <w:szCs w:val="20"/>
          <w:color w:val="auto"/>
        </w:rPr>
      </w:pPr>
    </w:p>
    <w:p>
      <w:pPr>
        <w:jc w:val="both"/>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3" w:lineRule="exact"/>
        <w:rPr>
          <w:sz w:val="20"/>
          <w:szCs w:val="20"/>
          <w:color w:val="auto"/>
        </w:rPr>
      </w:pPr>
    </w:p>
    <w:p>
      <w:pPr>
        <w:ind w:left="720" w:right="1019" w:firstLine="343"/>
        <w:spacing w:after="0" w:line="267" w:lineRule="auto"/>
        <w:rPr>
          <w:sz w:val="20"/>
          <w:szCs w:val="20"/>
          <w:color w:val="auto"/>
        </w:rPr>
      </w:pPr>
      <w:r>
        <w:rPr>
          <w:rFonts w:ascii="Times New Roman" w:cs="Times New Roman" w:eastAsia="Times New Roman" w:hAnsi="Times New Roman"/>
          <w:sz w:val="14"/>
          <w:szCs w:val="14"/>
          <w:color w:val="auto"/>
        </w:rPr>
        <w:t>Except where the context otherwise requires or where otherwise indicated, the terms “Parabilis,” “we,” “us,” “our,” “our company,” “Company” and “our business” refer to Parabilis Medicines, Inc. and its wholly-owned subsidiaries, Parabilis Security Corporation and Parabilis Medicines (Shanghai) Ltd Co.</w:t>
      </w:r>
    </w:p>
    <w:p>
      <w:pPr>
        <w:spacing w:after="0" w:line="136" w:lineRule="exact"/>
        <w:rPr>
          <w:sz w:val="20"/>
          <w:szCs w:val="20"/>
          <w:color w:val="auto"/>
        </w:rPr>
      </w:pPr>
    </w:p>
    <w:p>
      <w:pPr>
        <w:ind w:left="720" w:right="939" w:firstLine="343"/>
        <w:spacing w:after="0" w:line="261" w:lineRule="auto"/>
        <w:rPr>
          <w:sz w:val="20"/>
          <w:szCs w:val="20"/>
          <w:color w:val="auto"/>
        </w:rPr>
      </w:pPr>
      <w:r>
        <w:rPr>
          <w:rFonts w:ascii="Times New Roman" w:cs="Times New Roman" w:eastAsia="Times New Roman" w:hAnsi="Times New Roman"/>
          <w:sz w:val="14"/>
          <w:szCs w:val="14"/>
          <w:color w:val="auto"/>
        </w:rPr>
        <w:t>Our audited consolidated financial statements include the accounts of Parabilis Medicines, Inc. Our financial statements have been prepared in accordance with generally accepted accounting principles in the United States (“GAAP”). Our fiscal year ends on December 31 of each year. References to 2024 and 2025 refer to the years ended December 31, 2024 and December 31, 2025, respectively.</w:t>
      </w:r>
    </w:p>
    <w:p>
      <w:pPr>
        <w:spacing w:after="0" w:line="141"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93" w:lineRule="exact"/>
        <w:rPr>
          <w:sz w:val="20"/>
          <w:szCs w:val="20"/>
          <w:color w:val="auto"/>
        </w:rPr>
      </w:pPr>
    </w:p>
    <w:p>
      <w:pPr>
        <w:ind w:left="720" w:right="819" w:firstLine="343"/>
        <w:spacing w:after="0" w:line="277" w:lineRule="auto"/>
        <w:rPr>
          <w:sz w:val="20"/>
          <w:szCs w:val="20"/>
          <w:color w:val="auto"/>
        </w:rPr>
      </w:pPr>
      <w:r>
        <w:rPr>
          <w:rFonts w:ascii="Times New Roman" w:cs="Times New Roman" w:eastAsia="Times New Roman" w:hAnsi="Times New Roman"/>
          <w:sz w:val="13"/>
          <w:szCs w:val="13"/>
          <w:color w:val="auto"/>
        </w:rPr>
        <w:t xml:space="preserve">We own, have applied for or have rights to use one or more registered and common law trademarks, service marks and/or trade names in connection with our business in the United States, which may be used throughout this prospectus. This prospectus also includes trademarks, trade names, and service marks of third-parties which are the property of their respective owners. Our use or display of third parties’ trademarks, service marks, trade names or products in this prospectus and our other public filings is not intended to, and does not imply a relationship with, or endorsement or sponsorship by us. Solely for convenience, the trademarks, service marks, logos and trade names referred to in this prospectus and our other public filings may appear without the </w:t>
      </w:r>
      <w:r>
        <w:rPr>
          <w:rFonts w:ascii="Times New Roman" w:cs="Times New Roman" w:eastAsia="Times New Roman" w:hAnsi="Times New Roman"/>
          <w:sz w:val="7"/>
          <w:szCs w:val="7"/>
          <w:color w:val="auto"/>
        </w:rPr>
        <w:t>®</w:t>
      </w:r>
      <w:r>
        <w:rPr>
          <w:rFonts w:ascii="Times New Roman" w:cs="Times New Roman" w:eastAsia="Times New Roman" w:hAnsi="Times New Roman"/>
          <w:sz w:val="13"/>
          <w:szCs w:val="13"/>
          <w:color w:val="auto"/>
        </w:rPr>
        <w:t>,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Some data are also based on our good faith estimates.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226060</wp:posOffset>
            </wp:positionV>
            <wp:extent cx="5026025" cy="646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6025" cy="646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700" w:right="73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3" w:lineRule="exact"/>
        <w:rPr>
          <w:sz w:val="20"/>
          <w:szCs w:val="20"/>
          <w:color w:val="auto"/>
        </w:rPr>
      </w:pPr>
    </w:p>
    <w:p>
      <w:pPr>
        <w:ind w:left="700" w:right="859" w:firstLine="343"/>
        <w:spacing w:after="0" w:line="261" w:lineRule="auto"/>
        <w:rPr>
          <w:sz w:val="20"/>
          <w:szCs w:val="20"/>
          <w:color w:val="auto"/>
        </w:rPr>
      </w:pPr>
      <w:r>
        <w:rPr>
          <w:rFonts w:ascii="Times New Roman" w:cs="Times New Roman" w:eastAsia="Times New Roman" w:hAnsi="Times New Roman"/>
          <w:sz w:val="14"/>
          <w:szCs w:val="14"/>
          <w:color w:val="auto"/>
        </w:rPr>
        <w:t>We are a clinical-stage biopharmaceutical company built to develop transformative medicines addressing some of the most consequential, yet historically undruggable, protein targets driving human disease. We leverage our proprietary platform to pioneer a novel therapeutic modality, Helicons, which are stabilized helical peptides engineered to bind and precisely modulate proteins that have long been beyond the reach of conventional medicines.</w:t>
      </w:r>
    </w:p>
    <w:p>
      <w:pPr>
        <w:spacing w:after="0" w:line="151" w:lineRule="exact"/>
        <w:rPr>
          <w:sz w:val="20"/>
          <w:szCs w:val="20"/>
          <w:color w:val="auto"/>
        </w:rPr>
      </w:pPr>
    </w:p>
    <w:p>
      <w:pPr>
        <w:ind w:left="700" w:right="819" w:firstLine="343"/>
        <w:spacing w:after="0" w:line="259" w:lineRule="auto"/>
        <w:rPr>
          <w:sz w:val="20"/>
          <w:szCs w:val="20"/>
          <w:color w:val="auto"/>
        </w:rPr>
      </w:pPr>
      <w:r>
        <w:rPr>
          <w:rFonts w:ascii="Times New Roman" w:cs="Times New Roman" w:eastAsia="Times New Roman" w:hAnsi="Times New Roman"/>
          <w:sz w:val="14"/>
          <w:szCs w:val="14"/>
          <w:color w:val="auto"/>
        </w:rPr>
        <w:t xml:space="preserve">To our knowledge, our lead product candidate, zolucatetide, is the first-ever drug to directly target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the T-cell factor (“TCF”) family of transcription factors. This is the central node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cell signaling pathway, which regulates cell proliferation and differentiation and whose hyperactivation is a driver of millions of cancer cases annually across many tumor types. Drugging this critical node eluded three decades of intensive efforts to do so across the pharmaceutical industry. Zolucatetide has been evaluated in over 150 patients to date and has generated promising clinical data in a range of solid tumors driven by alterations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In our lead indication, desmoid tumors, we have observed tumor reductions in 100% of patients with a 74% objective response rate (“ORR”) in patients who have had at least two post-baseline scans.</w:t>
      </w:r>
    </w:p>
    <w:p>
      <w:pPr>
        <w:spacing w:after="0" w:line="153" w:lineRule="exact"/>
        <w:rPr>
          <w:sz w:val="20"/>
          <w:szCs w:val="20"/>
          <w:color w:val="auto"/>
        </w:rPr>
      </w:pPr>
    </w:p>
    <w:p>
      <w:pPr>
        <w:ind w:left="700" w:right="8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Objective responses have been observed across patients who have failed </w:t>
      </w:r>
      <w:r>
        <w:rPr>
          <w:rFonts w:ascii="Arial" w:cs="Arial" w:eastAsia="Arial" w:hAnsi="Arial"/>
          <w:sz w:val="14"/>
          <w:szCs w:val="14"/>
          <w:b w:val="1"/>
          <w:bCs w:val="1"/>
          <w:color w:val="auto"/>
        </w:rPr>
        <w:t>g</w:t>
      </w:r>
      <w:r>
        <w:rPr>
          <w:rFonts w:ascii="Times New Roman" w:cs="Times New Roman" w:eastAsia="Times New Roman" w:hAnsi="Times New Roman"/>
          <w:sz w:val="14"/>
          <w:szCs w:val="14"/>
          <w:color w:val="auto"/>
        </w:rPr>
        <w:t>-secretase inhibitors (“GSIs”) and those who have never taken GSIs. Importantly, zolucatetide has been able to generate this rate of response with a tolerability profile that we believe is more favorable than that of currently available drug therapy. We plan to initiate a global registrational Phase 3 trial for zolucatetide in patients with desmoid tumors in the first half of 2027.</w:t>
      </w:r>
    </w:p>
    <w:p>
      <w:pPr>
        <w:spacing w:after="0" w:line="140" w:lineRule="exact"/>
        <w:rPr>
          <w:sz w:val="20"/>
          <w:szCs w:val="20"/>
          <w:color w:val="auto"/>
        </w:rPr>
      </w:pPr>
    </w:p>
    <w:p>
      <w:pPr>
        <w:ind w:left="700" w:right="759" w:firstLine="343"/>
        <w:spacing w:after="0" w:line="246" w:lineRule="auto"/>
        <w:rPr>
          <w:sz w:val="20"/>
          <w:szCs w:val="20"/>
          <w:color w:val="auto"/>
        </w:rPr>
      </w:pPr>
      <w:r>
        <w:rPr>
          <w:rFonts w:ascii="Times New Roman" w:cs="Times New Roman" w:eastAsia="Times New Roman" w:hAnsi="Times New Roman"/>
          <w:sz w:val="14"/>
          <w:szCs w:val="14"/>
          <w:color w:val="auto"/>
        </w:rPr>
        <w:t>We believe zolucatetide provides clinical validation of our first-in-industry Helicon approach and represents an expansive opportunity for medical and commercial impact. Our preclinical pipeline provides additional examples of the repeatability of our Helicon approach and includes programs targeting two key drivers of prostate cancer, the ETS-related gene (“ERG”) and the androgen receptor (“AR”) in its active state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Our current pipeline is focused on various cancers and tumor types; however, we believe Helicons could also have broad applicability against targets in many diseases with substantial unmet need outside oncology, and we plan to evaluate other therapeutic areas in the future.</w:t>
      </w:r>
    </w:p>
    <w:p>
      <w:pPr>
        <w:spacing w:after="0" w:line="151" w:lineRule="exact"/>
        <w:rPr>
          <w:sz w:val="20"/>
          <w:szCs w:val="20"/>
          <w:color w:val="auto"/>
        </w:rPr>
      </w:pPr>
    </w:p>
    <w:p>
      <w:pPr>
        <w:ind w:left="700" w:right="739" w:firstLine="343"/>
        <w:spacing w:after="0" w:line="254" w:lineRule="auto"/>
        <w:rPr>
          <w:sz w:val="20"/>
          <w:szCs w:val="20"/>
          <w:color w:val="auto"/>
        </w:rPr>
      </w:pPr>
      <w:r>
        <w:rPr>
          <w:rFonts w:ascii="Times New Roman" w:cs="Times New Roman" w:eastAsia="Times New Roman" w:hAnsi="Times New Roman"/>
          <w:sz w:val="14"/>
          <w:szCs w:val="14"/>
          <w:color w:val="auto"/>
        </w:rPr>
        <w:t>An estimated 80% of biologically validated disease targets are considered undruggable, largely because the majority reside inside cells and present flat interaction surfaces. Small molecules can enter cells but cannot bind flat surfaces, and antibodies and other highly-selective biologics can selectively bind flat protein surfaces but cannot enter cells to access these targets. To our knowledge, Helicons are the only modality to date with the potential to consistently solve this problem as they are engineered for cell penetration and capable of binding to flat intracellular protein target surfaces with high specificity. Helicons combine the precision of antibodies and biologics with the intracellular access and tunability of small molecules in a single modality, enabling direct engagement of historically inaccessible protein targets. Our proprietary Helicon discovery platform allows us to integrate ligands and additional functionalities at multiple positions to precisely tune potency, selectivity, and pharmacologic properties. While our initial programs are focused on disrupting protein-protein interactions and inducing targeted protein degradation, we believe our platform can incorporate other advances in small molecule drug design and extend them to targets that are likely to remain out of reach for other modalities.</w:t>
      </w:r>
    </w:p>
    <w:p>
      <w:pPr>
        <w:spacing w:after="0" w:line="146" w:lineRule="exact"/>
        <w:rPr>
          <w:sz w:val="20"/>
          <w:szCs w:val="20"/>
          <w:color w:val="auto"/>
        </w:rPr>
      </w:pPr>
    </w:p>
    <w:p>
      <w:pPr>
        <w:ind w:left="700" w:right="879" w:firstLine="343"/>
        <w:spacing w:after="0" w:line="255" w:lineRule="auto"/>
        <w:rPr>
          <w:sz w:val="20"/>
          <w:szCs w:val="20"/>
          <w:color w:val="auto"/>
        </w:rPr>
      </w:pPr>
      <w:r>
        <w:rPr>
          <w:rFonts w:ascii="Times New Roman" w:cs="Times New Roman" w:eastAsia="Times New Roman" w:hAnsi="Times New Roman"/>
          <w:sz w:val="14"/>
          <w:szCs w:val="14"/>
          <w:color w:val="auto"/>
        </w:rPr>
        <w:t>Our Helicon discovery platform integrates advanced artificial intelligence (“AI”)- and physics-based computational modeling with high-throughput peptide synthesis and experimental screening to discover and develop drug candidates. Since our founding, we have advanced computational models as well as custom design, synthesis, handling and manufacturing know-how to position us to produce Helicons reliably and at scale. A decade of applying these capabilities to Helicon drug discovery has generated vast proprietary datasets, comprising millions of data points for hundreds of thousands of Helicons across dozens of drug-like properties. These data power a continuous learning loop that refines our models from target selection through lead optimization, enhancing our speed, precision, and ability to generate high quality molecules against difficult targets. As a result, our platform produces unique complex synthetic molecules at scale and a compounding advantage that we believe is difficult to replicate.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554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6025" cy="65544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are advancing a wholly-owned pipeline of Helicon-based product candidates against high-value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 w:right="959" w:firstLine="343"/>
        <w:spacing w:after="0" w:line="271" w:lineRule="auto"/>
        <w:rPr>
          <w:sz w:val="20"/>
          <w:szCs w:val="20"/>
          <w:color w:val="auto"/>
        </w:rPr>
      </w:pPr>
      <w:r>
        <w:rPr>
          <w:rFonts w:ascii="Times New Roman" w:cs="Times New Roman" w:eastAsia="Times New Roman" w:hAnsi="Times New Roman"/>
          <w:sz w:val="14"/>
          <w:szCs w:val="14"/>
          <w:color w:val="auto"/>
        </w:rPr>
        <w:t xml:space="preserve">Our lead product candidate, zolucatetide, is, to our knowledge, the first and only investigational therapy that inhibits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interaction, the critical downstream node of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Activating mutations in this pathway, gain of function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or loss of function Adenomatous Polyposis Coli (“APC”) mutations, are present in over 10% of all cancers and span a broad range of tumor types.</w:t>
      </w:r>
    </w:p>
    <w:p>
      <w:pPr>
        <w:spacing w:after="0" w:line="133" w:lineRule="exact"/>
        <w:rPr>
          <w:sz w:val="20"/>
          <w:szCs w:val="20"/>
          <w:color w:val="auto"/>
        </w:rPr>
      </w:pPr>
    </w:p>
    <w:p>
      <w:pPr>
        <w:ind w:left="700" w:right="759" w:firstLine="343"/>
        <w:spacing w:after="0" w:line="266" w:lineRule="auto"/>
        <w:rPr>
          <w:sz w:val="20"/>
          <w:szCs w:val="20"/>
          <w:color w:val="auto"/>
        </w:rPr>
      </w:pPr>
      <w:r>
        <w:rPr>
          <w:rFonts w:ascii="Times New Roman" w:cs="Times New Roman" w:eastAsia="Times New Roman" w:hAnsi="Times New Roman"/>
          <w:sz w:val="14"/>
          <w:szCs w:val="14"/>
          <w:color w:val="auto"/>
        </w:rPr>
        <w:t>We are evaluating zolucatetide in ongoing clinical trials across multiple solid tumor indications, with more than 150 patients dosed to date. Zolucatetide has been observed to be well tolerated across the therapeutic dose range. We believe the data generated to date, along with our understanding of the underlying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support zolucatetide’s potential to benefit patients across multiple tumor types driven by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or APC alterations and its advancement into a Phase 3 registrational trial. Our target indications include:</w:t>
      </w:r>
    </w:p>
    <w:p>
      <w:pPr>
        <w:spacing w:after="0" w:line="51" w:lineRule="exact"/>
        <w:rPr>
          <w:sz w:val="20"/>
          <w:szCs w:val="20"/>
          <w:color w:val="auto"/>
        </w:rPr>
      </w:pPr>
    </w:p>
    <w:p>
      <w:pPr>
        <w:ind w:left="1440" w:right="739" w:hanging="217"/>
        <w:spacing w:after="0" w:line="275" w:lineRule="auto"/>
        <w:tabs>
          <w:tab w:leader="none" w:pos="14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Desmoid Tumors: </w:t>
      </w:r>
      <w:r>
        <w:rPr>
          <w:rFonts w:ascii="Times New Roman" w:cs="Times New Roman" w:eastAsia="Times New Roman" w:hAnsi="Times New Roman"/>
          <w:sz w:val="13"/>
          <w:szCs w:val="13"/>
          <w:color w:val="auto"/>
        </w:rPr>
        <w:t>Our lead indication for zolucatetide is desmoid tumors, which are rare, locally invasive soft tissue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tumors driven by somatic or germline </w:t>
      </w:r>
      <w:r>
        <w:rPr>
          <w:rFonts w:ascii="Arial" w:cs="Arial" w:eastAsia="Arial" w:hAnsi="Arial"/>
          <w:sz w:val="13"/>
          <w:szCs w:val="13"/>
          <w:b w:val="1"/>
          <w:bCs w:val="1"/>
          <w:color w:val="auto"/>
        </w:rPr>
        <w:t>b</w:t>
      </w:r>
      <w:r>
        <w:rPr>
          <w:rFonts w:ascii="Times New Roman" w:cs="Times New Roman" w:eastAsia="Times New Roman" w:hAnsi="Times New Roman"/>
          <w:sz w:val="13"/>
          <w:szCs w:val="13"/>
          <w:color w:val="auto"/>
        </w:rPr>
        <w:t>-catenin pathway mutations. We estimate that approximately 11,000 desmoid tumor patients in the United States are actively managed under physician care. Desmoid tumors impose substantial and long-term morbidity, including pain, functional and mobility impairment, and the potential for life-threatening complications depending on tumor location. Given the chronic nature of the disease and onset in a predominantly young patient demographic with a near-normal life expectancy, prolonged or lifelong management is typically required. The only existing U.S. Food and Drug Administration (“ FDA”) approved therapy for desmoid tumors, a GSI, does not address the underlying Wnt/</w:t>
      </w:r>
      <w:r>
        <w:rPr>
          <w:rFonts w:ascii="Arial" w:cs="Arial" w:eastAsia="Arial" w:hAnsi="Arial"/>
          <w:sz w:val="13"/>
          <w:szCs w:val="13"/>
          <w:b w:val="1"/>
          <w:bCs w:val="1"/>
          <w:color w:val="auto"/>
        </w:rPr>
        <w:t>b</w:t>
      </w:r>
      <w:r>
        <w:rPr>
          <w:rFonts w:ascii="Times New Roman" w:cs="Times New Roman" w:eastAsia="Times New Roman" w:hAnsi="Times New Roman"/>
          <w:sz w:val="13"/>
          <w:szCs w:val="13"/>
          <w:color w:val="auto"/>
        </w:rPr>
        <w:t>-catenin-driven disease biology. In our ongoing clinical trials, as of February 16, 2026, 38 desmoid patients have been enrolled and treated with zolucatetide, of which 25 had sufficient follow up to be response-evaluable, and all 25 patients showed tumor reductions (disease control rate (“DCR”) of 100%). Of the 19 patients with at least two post-baseline scans, 74% (14/19) had an objective response per RECIST 1.1. We have observed responses in patients naive to GSI therapy, those who had progressed on GSI therapy, as well as patients that discontinued GSI therapy due to tolerability issues. To date, we have observed a tolerability profile that we believe compares favorably to the tolerability profile associated with GSIs and other off-label therapies, and supports continued development. We believe a medicine for the treatment of desmoid tumors with a superior efficacy and safety profile, compared to the existing systemic therapy, could significantly improve patient outcomes and expand the desmoid tumor commercial opportunity. We plan to initiate a registrational Phase 3 trial for zolucatetide in patients with desmoid tumors in the first half of 2027.</w:t>
      </w:r>
    </w:p>
    <w:p>
      <w:pPr>
        <w:spacing w:after="0" w:line="222" w:lineRule="exact"/>
        <w:rPr>
          <w:rFonts w:ascii="Times New Roman" w:cs="Times New Roman" w:eastAsia="Times New Roman" w:hAnsi="Times New Roman"/>
          <w:sz w:val="13"/>
          <w:szCs w:val="13"/>
          <w:color w:val="auto"/>
        </w:rPr>
      </w:pPr>
    </w:p>
    <w:p>
      <w:pPr>
        <w:ind w:left="1440" w:right="819" w:hanging="217"/>
        <w:spacing w:after="0" w:line="256" w:lineRule="auto"/>
        <w:tabs>
          <w:tab w:leader="none" w:pos="1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Familial Adenomatous Polyposis (“FAP”): </w:t>
      </w:r>
      <w:r>
        <w:rPr>
          <w:rFonts w:ascii="Times New Roman" w:cs="Times New Roman" w:eastAsia="Times New Roman" w:hAnsi="Times New Roman"/>
          <w:sz w:val="14"/>
          <w:szCs w:val="14"/>
          <w:color w:val="auto"/>
        </w:rPr>
        <w:t>We are evaluating zolucatetide’s potential in FAP, an orphan disease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impacts an estimated 34,000 people in the United States. FAP is characterized by extensive precancerous polyps in the gastrointestinal tract, with a near-inevitable risk of polyp progression to colorectal cancer in the absence of life-altering colon-removal surgery. There is currently no approved treatment for FAP. Desmoid tumors and FAP share common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biology, and approximately 10% of desmoid tumor patients also have underlying FAP. In the desmoid tumor cohort of our ongoing Phase 1/2 clinical trial, administration of zolucatetide in two patients with FAP and an associated desmoid tumor demonstrated significant improvement in duodenal polyposis burden at 10 and 60 weeks, respectively, following initiation of treatment. As of February 16, 2026, we have enrolled six desmoid tumor patients with FAP in our ongoing clinical trial and are also planning to enroll a separate dedicated cohort of patients with FAP beginning in the second half of 2026.</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6" w:name="page7"/>
    <w:bookmarkEnd w:id="6"/>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7122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6025" cy="712216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40" w:right="779" w:hanging="217"/>
        <w:spacing w:after="0" w:line="260"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Hepatocellular Carcinoma (“HCC”): </w:t>
      </w:r>
      <w:r>
        <w:rPr>
          <w:rFonts w:ascii="Times New Roman" w:cs="Times New Roman" w:eastAsia="Times New Roman" w:hAnsi="Times New Roman"/>
          <w:sz w:val="14"/>
          <w:szCs w:val="14"/>
          <w:color w:val="auto"/>
        </w:rPr>
        <w:t>We are evaluating zolucatetide’s potential in HCC, the most common type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primary liver cancer. HCC accounts for approximately 80-90% of liver cancer cases globally, with an estimated 38,000 new HCC cases annually in the United States and approximately 700,000–800,000 new cases worldwide. Approximately 30% of HCC tumors harbor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and are otherwise relatively low in mutational burden. In a heavily pre-treated patient with CTNNB1-mutant HCC treated with zolucatetide, we observed a confirmed partial response for nine months. Based on this observation, we began enrolling an HCC-specific cohort in our ongoing Phase 1/2 clinical trial.</w:t>
      </w:r>
    </w:p>
    <w:p>
      <w:pPr>
        <w:spacing w:after="0" w:line="67" w:lineRule="exact"/>
        <w:rPr>
          <w:rFonts w:ascii="Times New Roman" w:cs="Times New Roman" w:eastAsia="Times New Roman" w:hAnsi="Times New Roman"/>
          <w:sz w:val="14"/>
          <w:szCs w:val="14"/>
          <w:color w:val="auto"/>
        </w:rPr>
      </w:pPr>
    </w:p>
    <w:p>
      <w:pPr>
        <w:ind w:left="1440" w:right="779" w:hanging="217"/>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Additional Rare Tumors: </w:t>
      </w:r>
      <w:r>
        <w:rPr>
          <w:rFonts w:ascii="Times New Roman" w:cs="Times New Roman" w:eastAsia="Times New Roman" w:hAnsi="Times New Roman"/>
          <w:sz w:val="14"/>
          <w:szCs w:val="14"/>
          <w:color w:val="auto"/>
        </w:rPr>
        <w:t>There are over 70 different cancer types with documented APC or</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equating to approximately 10% of all tumors and a prevalence in the United States of approximately 1.8 million patients. In pursuit of this significant opportunity, we are evaluating zolucatetide in additional rare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-catenin-driven tumors that harbor APC loss or activating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including adamantinomatous craniopharyngioma (“ACP”), solid pseudopapillary neoplasm, salivary gland tumors, and ameloblastoma where we have observed partial responses to date. For these and potentially other rare tumor types, we are evaluating various regulatory strategies, including potentially accelerated development approaches based on a shared genomic signature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activation or, where appropriate, histologic characteristic clustering. Tumor-agnostic or molecularly defined approval pathways have been used selectively in oncology, and we believe targeting the root genetic cause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activation-driven disease may support a similar approach.</w:t>
      </w:r>
    </w:p>
    <w:p>
      <w:pPr>
        <w:spacing w:after="0" w:line="54" w:lineRule="exact"/>
        <w:rPr>
          <w:rFonts w:ascii="Times New Roman" w:cs="Times New Roman" w:eastAsia="Times New Roman" w:hAnsi="Times New Roman"/>
          <w:sz w:val="14"/>
          <w:szCs w:val="14"/>
          <w:color w:val="auto"/>
        </w:rPr>
      </w:pPr>
    </w:p>
    <w:p>
      <w:pPr>
        <w:ind w:left="1440" w:right="819" w:hanging="217"/>
        <w:spacing w:after="0" w:line="256"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Colorectal Cancer (“CRC”): </w:t>
      </w:r>
      <w:r>
        <w:rPr>
          <w:rFonts w:ascii="Times New Roman" w:cs="Times New Roman" w:eastAsia="Times New Roman" w:hAnsi="Times New Roman"/>
          <w:sz w:val="14"/>
          <w:szCs w:val="14"/>
          <w:color w:val="auto"/>
        </w:rPr>
        <w:t>We are also evaluating the potential for zolucatetide in CRC, the third most commonly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diagnosed cancer globally with approximately two million new cases annually. APC mutations, which drive aberrant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activation, occur in more than 80% of microsatellite stable CRC patients, representing the most prevalent mutations observed in this tumor type. In our ongoing clinical trials, we have observed disease stabilization and ctDNA reductions in a subset of CRC patients treated with zolucatetide monotherapy, and we are currently evaluating multiple rational combination regimens, based on the results of paired tumor biopsies showing tumor differentiation and a dose responsive functional pathway inhibition. Our ongoing rational combination regimen includes anti-Vascular Endothelial Growth Factor (“VEGF”), DNA-damaging chemotherapy, and anti-programmed cell death protein 1 (“PD-1”) agents, as supported by preclinical and early translational data. We have also generated preclinical evidence for a rational combination with a RAS inhibitor.</w:t>
      </w:r>
    </w:p>
    <w:p>
      <w:pPr>
        <w:spacing w:after="0" w:line="145" w:lineRule="exact"/>
        <w:rPr>
          <w:sz w:val="20"/>
          <w:szCs w:val="20"/>
          <w:color w:val="auto"/>
        </w:rPr>
      </w:pPr>
    </w:p>
    <w:p>
      <w:pPr>
        <w:ind w:left="700" w:right="1139" w:firstLine="343"/>
        <w:spacing w:after="0" w:line="261" w:lineRule="auto"/>
        <w:rPr>
          <w:sz w:val="20"/>
          <w:szCs w:val="20"/>
          <w:color w:val="auto"/>
        </w:rPr>
      </w:pPr>
      <w:r>
        <w:rPr>
          <w:rFonts w:ascii="Times New Roman" w:cs="Times New Roman" w:eastAsia="Times New Roman" w:hAnsi="Times New Roman"/>
          <w:sz w:val="14"/>
          <w:szCs w:val="14"/>
          <w:color w:val="auto"/>
        </w:rPr>
        <w:t>Taken together, we believe the breadth of clinical activity and tolerability profile observed to date reinforce zolucatetide’s potential as a pipeline-in-a-product with the ability to address significant unmet need across multiple tumor types. We expect to generate substantial additional clinical data as we advance zolucatetide into registrational development in desmoid tumors and continue to expand our understanding of its therapeutic potential across additional indications.</w:t>
      </w:r>
    </w:p>
    <w:p>
      <w:pPr>
        <w:spacing w:after="0" w:line="141" w:lineRule="exact"/>
        <w:rPr>
          <w:sz w:val="20"/>
          <w:szCs w:val="20"/>
          <w:color w:val="auto"/>
        </w:rPr>
      </w:pPr>
    </w:p>
    <w:p>
      <w:pPr>
        <w:ind w:left="700" w:right="799" w:firstLine="343"/>
        <w:spacing w:after="0" w:line="245" w:lineRule="auto"/>
        <w:rPr>
          <w:sz w:val="20"/>
          <w:szCs w:val="20"/>
          <w:color w:val="auto"/>
        </w:rPr>
      </w:pPr>
      <w:r>
        <w:rPr>
          <w:rFonts w:ascii="Times New Roman" w:cs="Times New Roman" w:eastAsia="Times New Roman" w:hAnsi="Times New Roman"/>
          <w:sz w:val="14"/>
          <w:szCs w:val="14"/>
          <w:color w:val="auto"/>
        </w:rPr>
        <w:t>Beyond zolucatetide, we are advancing two preclinical stage Helicon programs in prostate cancer: an ERG degrader and an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Both programs seek to leverage the unique properties of Helicons to address areas of unmet need in prostate cancer treatment by targeting degradation of the historically undruggable ERG protein, an oncogenic driver present in approximately 40-50% of prostate cancer patients, and of AR via a novel AR binding site that seeks to overcome the primary drivers of resistance to AR targeted therapies.</w:t>
      </w:r>
    </w:p>
    <w:p>
      <w:pPr>
        <w:spacing w:after="0" w:line="65" w:lineRule="exact"/>
        <w:rPr>
          <w:sz w:val="20"/>
          <w:szCs w:val="20"/>
          <w:color w:val="auto"/>
        </w:rPr>
      </w:pPr>
    </w:p>
    <w:p>
      <w:pPr>
        <w:ind w:left="1440" w:right="879" w:hanging="217"/>
        <w:spacing w:after="0" w:line="257" w:lineRule="auto"/>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ERG</w:t>
      </w:r>
      <w:r>
        <w:rPr>
          <w:rFonts w:ascii="Times New Roman" w:cs="Times New Roman" w:eastAsia="Times New Roman" w:hAnsi="Times New Roman"/>
          <w:sz w:val="14"/>
          <w:szCs w:val="14"/>
          <w:color w:val="auto"/>
        </w:rPr>
        <w:t>: We have identified novel peptide binding sites on ERG and developed bifunctional degraders that have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observed to drive potent, selective ERG degradation in cells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tumor models. We have observed that patient-derived tumor models are dependent on ERG protein expression and activity for growth, which we believe supports the clinical therapeutic potential of our ERG degrader in ERG fusion-positive prostate cancer. We are now testing our lead Helicon in Investigational New Drug (“IND”)-enabling studies and continue to advance additional Helicons for optionality.</w:t>
      </w:r>
    </w:p>
    <w:p>
      <w:pPr>
        <w:spacing w:after="0" w:line="64" w:lineRule="exact"/>
        <w:rPr>
          <w:rFonts w:ascii="Times New Roman" w:cs="Times New Roman" w:eastAsia="Times New Roman" w:hAnsi="Times New Roman"/>
          <w:sz w:val="14"/>
          <w:szCs w:val="14"/>
          <w:color w:val="auto"/>
        </w:rPr>
      </w:pPr>
    </w:p>
    <w:p>
      <w:pPr>
        <w:ind w:left="1440" w:right="739" w:hanging="217"/>
        <w:spacing w:after="0" w:line="241" w:lineRule="auto"/>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w:t>
      </w:r>
      <w:r>
        <w:rPr>
          <w:rFonts w:ascii="Times New Roman" w:cs="Times New Roman" w:eastAsia="Times New Roman" w:hAnsi="Times New Roman"/>
          <w:sz w:val="18"/>
          <w:szCs w:val="18"/>
          <w:b w:val="1"/>
          <w:bCs w:val="1"/>
          <w:color w:val="auto"/>
          <w:vertAlign w:val="superscript"/>
        </w:rPr>
        <w:t>ON</w:t>
      </w:r>
      <w:r>
        <w:rPr>
          <w:rFonts w:ascii="Times New Roman" w:cs="Times New Roman" w:eastAsia="Times New Roman" w:hAnsi="Times New Roman"/>
          <w:sz w:val="14"/>
          <w:szCs w:val="14"/>
          <w:color w:val="auto"/>
        </w:rPr>
        <w:t>: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degrader is designed to overcome resistance driven by AR mutations and amplification,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 the effectiveness of current AR-targeted therapies. In approximately 80% of patients, resistance to AR-targeted therapies is associated with amplification of the AR gene and point mutations at the drug binding site of AR. Approved AR antagonists and clinical-stage AR degraders of which we are aware target the same ligand binding pocket, making them non-combinable and vulnerable to the same resistance mechanisms. Our AR degrader binds to a historically undruggable allosteric co-activator protein binding site that is accessible only when androgen is bound to the receptor. As we are binding to this allosteric site and are not competitive with the binding site of all approved AR antagonists, we believe we will avoid the frequent mutations that occur within the ligand binding domain. By selectively targeting this active pool of AR, we believe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can more effectively address AR amplification, which we consider the most clinically significant driver of resistance in metastatic castration-resistant prostate cancer (“mCRPC”). Importantly, because it binds at the allosteric co-activator protein binding site,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is uniquely suited for combination with existing AR antagonists. These therapies all bind the androgen-binding pocket and are not currently combinable with one another. We believe that such a combination therapy approach could slow the development of resistance, improve efficacy, and meaningfully extend treatment duration.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program is in late lead optimization and advancing toward IND-enabling studies.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7" w:name="page8"/>
    <w:bookmarkEnd w:id="7"/>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607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6025" cy="66078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00" w:right="999" w:firstLine="343"/>
        <w:spacing w:after="0" w:line="282" w:lineRule="auto"/>
        <w:rPr>
          <w:sz w:val="20"/>
          <w:szCs w:val="20"/>
          <w:color w:val="auto"/>
        </w:rPr>
      </w:pPr>
      <w:r>
        <w:rPr>
          <w:rFonts w:ascii="Times New Roman" w:cs="Times New Roman" w:eastAsia="Times New Roman" w:hAnsi="Times New Roman"/>
          <w:sz w:val="14"/>
          <w:szCs w:val="14"/>
          <w:color w:val="auto"/>
        </w:rPr>
        <w:t xml:space="preserve">In addition to pursuing additional targets, we are continuing to develop novel approaches to target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building on the foundational biology established with zolucatetide within Parabilis.</w:t>
      </w:r>
    </w:p>
    <w:p>
      <w:pPr>
        <w:spacing w:after="0" w:line="50" w:lineRule="exact"/>
        <w:rPr>
          <w:sz w:val="20"/>
          <w:szCs w:val="20"/>
          <w:color w:val="auto"/>
        </w:rPr>
      </w:pPr>
    </w:p>
    <w:p>
      <w:pPr>
        <w:ind w:left="1440" w:right="759" w:hanging="217"/>
        <w:spacing w:after="0" w:line="264" w:lineRule="auto"/>
        <w:tabs>
          <w:tab w:leader="none" w:pos="144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color w:val="auto"/>
        </w:rPr>
        <w:t>-catenin Degrader</w:t>
      </w:r>
      <w:r>
        <w:rPr>
          <w:rFonts w:ascii="Times New Roman" w:cs="Times New Roman" w:eastAsia="Times New Roman" w:hAnsi="Times New Roman"/>
          <w:sz w:val="14"/>
          <w:szCs w:val="14"/>
          <w:color w:val="auto"/>
        </w:rPr>
        <w:t>: Two avenues have emerged from our efforts to maximize the clinical potential of</w:t>
      </w:r>
      <w:r>
        <w:rPr>
          <w:rFonts w:ascii="Arial" w:cs="Arial" w:eastAsia="Arial" w:hAnsi="Arial"/>
          <w:sz w:val="14"/>
          <w:szCs w:val="14"/>
          <w:b w:val="1"/>
          <w:bCs w:val="1"/>
          <w:color w:val="auto"/>
        </w:rPr>
        <w:t xml:space="preserve"> b</w:t>
      </w:r>
      <w:r>
        <w:rPr>
          <w:rFonts w:ascii="Times New Roman" w:cs="Times New Roman" w:eastAsia="Times New Roman" w:hAnsi="Times New Roman"/>
          <w:sz w:val="14"/>
          <w:szCs w:val="14"/>
          <w:color w:val="auto"/>
        </w:rPr>
        <w:t>-catenin</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 xml:space="preserve">targeting agents. First, we have identified multiple binding sites 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beyond the site leveraged by zolucatetide and are exploring how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target engagement at these sites may impact different aspects of tumor biology. The downstream biology affected by Helicon binding to these sites is dependent on the multitude of intracellular protein complexes in which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resides within the tumor cell. Second, we have successfully applied our bifunctional degrader technology to develop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degraders using both zolucatetide and the additional binding site Helicons as the anchor for this approach. The degrader functionality has the potential for improved potency via a catalytic mechanism of action and has the potential to drive unique biology by virtue of removing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protein rather than inhibiting protein-protein interactions.</w:t>
      </w:r>
    </w:p>
    <w:p>
      <w:pPr>
        <w:spacing w:after="0" w:line="139" w:lineRule="exact"/>
        <w:rPr>
          <w:sz w:val="20"/>
          <w:szCs w:val="20"/>
          <w:color w:val="auto"/>
        </w:rPr>
      </w:pPr>
    </w:p>
    <w:p>
      <w:pPr>
        <w:ind w:left="700" w:right="739" w:firstLine="343"/>
        <w:spacing w:after="0" w:line="254" w:lineRule="auto"/>
        <w:rPr>
          <w:sz w:val="20"/>
          <w:szCs w:val="20"/>
          <w:color w:val="auto"/>
        </w:rPr>
      </w:pPr>
      <w:r>
        <w:rPr>
          <w:rFonts w:ascii="Times New Roman" w:cs="Times New Roman" w:eastAsia="Times New Roman" w:hAnsi="Times New Roman"/>
          <w:sz w:val="14"/>
          <w:szCs w:val="14"/>
          <w:color w:val="auto"/>
        </w:rPr>
        <w:t>We intend to advance multiple additional discovery-stage programs that target genetically validated, historically undruggable proteins where we believe Helicons may offer a meaningful advantage over existing modalities. We apply a rigorous framework to evaluate and prioritize programs that may result in substantial therapeutic and commercial opportunities before committing substantial resources toward those that we believe have the highest probability of clinical and commercial success. Given the versatility of the Helicon platform, we also believe there may be opportunities to selectively explore additional therapeutic approaches on our own and through strategic collaborations where a partner’s complementary expertise could be leveraged. We recently entered into a collaboration with Regeneron with a focus on evaluating Antibody-Helicon Conjugates (“AHCs”), a potentially novel approach that combines antibody targeting capabilities with Helicon payloads designed to modulate intracellular proteins. We view this collaboration as an opportunity to explore the broader applicability of Helicons in a focused and capital-efficient manner alongside a leading partner.</w:t>
      </w: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700" w:right="1099" w:firstLine="343"/>
        <w:spacing w:after="0" w:line="267" w:lineRule="auto"/>
        <w:rPr>
          <w:sz w:val="20"/>
          <w:szCs w:val="20"/>
          <w:color w:val="auto"/>
        </w:rPr>
      </w:pPr>
      <w:r>
        <w:rPr>
          <w:rFonts w:ascii="Times New Roman" w:cs="Times New Roman" w:eastAsia="Times New Roman" w:hAnsi="Times New Roman"/>
          <w:sz w:val="14"/>
          <w:szCs w:val="14"/>
          <w:color w:val="auto"/>
        </w:rPr>
        <w:t>We intend to advance differentiated and potentially high value Helicon medicines that address genetically validated, yet historically undruggable, targets in areas of high unmet medical need. To pursue our vision, we are focused on the following key priorities:</w:t>
      </w:r>
    </w:p>
    <w:p>
      <w:pPr>
        <w:spacing w:after="0" w:line="51" w:lineRule="exact"/>
        <w:rPr>
          <w:sz w:val="20"/>
          <w:szCs w:val="20"/>
          <w:color w:val="auto"/>
        </w:rPr>
      </w:pPr>
    </w:p>
    <w:p>
      <w:pPr>
        <w:ind w:left="1440" w:hanging="217"/>
        <w:spacing w:after="0"/>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clinical development of, and, if approved, commercialize zolucatetide in desmoid tumors globally.</w:t>
      </w:r>
    </w:p>
    <w:p>
      <w:pPr>
        <w:spacing w:after="0" w:line="91" w:lineRule="exact"/>
        <w:rPr>
          <w:rFonts w:ascii="Times New Roman" w:cs="Times New Roman" w:eastAsia="Times New Roman" w:hAnsi="Times New Roman"/>
          <w:sz w:val="14"/>
          <w:szCs w:val="14"/>
          <w:color w:val="auto"/>
        </w:rPr>
      </w:pPr>
    </w:p>
    <w:p>
      <w:pPr>
        <w:ind w:left="1440" w:right="759" w:hanging="217"/>
        <w:spacing w:after="0" w:line="267"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developing zolucatetide in FAP through both our current Phase 1/2 enrollment of FAP-desmoid patients as well as a dedicated FAP cohort. Evaluate registrational path with regulatory agencies, and, if approved, commercialize zolucatetide in FAP.</w:t>
      </w:r>
    </w:p>
    <w:p>
      <w:pPr>
        <w:spacing w:after="0" w:line="61" w:lineRule="exact"/>
        <w:rPr>
          <w:rFonts w:ascii="Times New Roman" w:cs="Times New Roman" w:eastAsia="Times New Roman" w:hAnsi="Times New Roman"/>
          <w:sz w:val="14"/>
          <w:szCs w:val="14"/>
          <w:color w:val="auto"/>
        </w:rPr>
      </w:pPr>
    </w:p>
    <w:p>
      <w:pPr>
        <w:ind w:left="1440" w:right="1459" w:hanging="217"/>
        <w:spacing w:after="0" w:line="282"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Continue developing zolucatetide in HCC and other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APC-driven diseases, including ACP and ameloblastoma.</w:t>
      </w:r>
    </w:p>
    <w:p>
      <w:pPr>
        <w:spacing w:after="0" w:line="51" w:lineRule="exact"/>
        <w:rPr>
          <w:rFonts w:ascii="Times New Roman" w:cs="Times New Roman" w:eastAsia="Times New Roman" w:hAnsi="Times New Roman"/>
          <w:sz w:val="14"/>
          <w:szCs w:val="14"/>
          <w:color w:val="auto"/>
        </w:rPr>
      </w:pPr>
    </w:p>
    <w:p>
      <w:pPr>
        <w:ind w:left="1440" w:hanging="217"/>
        <w:spacing w:after="0"/>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expand our position as a leader in drugging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w:t>
      </w:r>
    </w:p>
    <w:p>
      <w:pPr>
        <w:spacing w:after="0" w:line="95" w:lineRule="exact"/>
        <w:rPr>
          <w:rFonts w:ascii="Times New Roman" w:cs="Times New Roman" w:eastAsia="Times New Roman" w:hAnsi="Times New Roman"/>
          <w:sz w:val="14"/>
          <w:szCs w:val="14"/>
          <w:color w:val="auto"/>
        </w:rPr>
      </w:pPr>
    </w:p>
    <w:p>
      <w:pPr>
        <w:ind w:left="1440" w:right="799" w:hanging="217"/>
        <w:spacing w:after="0" w:line="239"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 our ERG and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degraders, the next two programs in our pipeline of Helicon drug candidates, into IND-enabling toxicology studies.</w:t>
      </w:r>
    </w:p>
    <w:p>
      <w:pPr>
        <w:spacing w:after="0" w:line="69" w:lineRule="exact"/>
        <w:rPr>
          <w:rFonts w:ascii="Times New Roman" w:cs="Times New Roman" w:eastAsia="Times New Roman" w:hAnsi="Times New Roman"/>
          <w:sz w:val="14"/>
          <w:szCs w:val="14"/>
          <w:color w:val="auto"/>
        </w:rPr>
      </w:pPr>
    </w:p>
    <w:p>
      <w:pPr>
        <w:ind w:left="1440" w:hanging="217"/>
        <w:spacing w:after="0"/>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expand our pipeline of product candidates leveraging our proprietary Helicon discovery platform.</w:t>
      </w:r>
    </w:p>
    <w:p>
      <w:pPr>
        <w:spacing w:after="0" w:line="91" w:lineRule="exact"/>
        <w:rPr>
          <w:rFonts w:ascii="Times New Roman" w:cs="Times New Roman" w:eastAsia="Times New Roman" w:hAnsi="Times New Roman"/>
          <w:sz w:val="14"/>
          <w:szCs w:val="14"/>
          <w:color w:val="auto"/>
        </w:rPr>
      </w:pPr>
    </w:p>
    <w:p>
      <w:pPr>
        <w:ind w:left="1440" w:hanging="217"/>
        <w:spacing w:after="0"/>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improve our Helicon discovery platform to protect and extend our competitive advantage.</w:t>
      </w:r>
    </w:p>
    <w:p>
      <w:pPr>
        <w:spacing w:after="0" w:line="91" w:lineRule="exact"/>
        <w:rPr>
          <w:rFonts w:ascii="Times New Roman" w:cs="Times New Roman" w:eastAsia="Times New Roman" w:hAnsi="Times New Roman"/>
          <w:sz w:val="14"/>
          <w:szCs w:val="14"/>
          <w:color w:val="auto"/>
        </w:rPr>
      </w:pPr>
    </w:p>
    <w:p>
      <w:pPr>
        <w:ind w:left="1440" w:right="859" w:hanging="217"/>
        <w:spacing w:after="0" w:line="283"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integrated computational, translational, and clinical capabilities to efficiently, precisely, and effectively progress our product candidates through internal development.</w:t>
      </w:r>
    </w:p>
    <w:p>
      <w:pPr>
        <w:spacing w:after="0" w:line="40" w:lineRule="exact"/>
        <w:rPr>
          <w:rFonts w:ascii="Times New Roman" w:cs="Times New Roman" w:eastAsia="Times New Roman" w:hAnsi="Times New Roman"/>
          <w:sz w:val="14"/>
          <w:szCs w:val="14"/>
          <w:color w:val="auto"/>
        </w:rPr>
      </w:pPr>
    </w:p>
    <w:p>
      <w:pPr>
        <w:ind w:left="1440" w:right="1119" w:hanging="217"/>
        <w:spacing w:after="0" w:line="283"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Explore and deliver on opportunities to extend the reach of our platform and capabilities through selective strategic partnerships.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93" w:lineRule="exact"/>
        <w:rPr>
          <w:sz w:val="20"/>
          <w:szCs w:val="20"/>
          <w:color w:val="auto"/>
        </w:rPr>
      </w:pPr>
    </w:p>
    <w:p>
      <w:pPr>
        <w:ind w:left="700" w:right="939" w:firstLine="343"/>
        <w:spacing w:after="0" w:line="258" w:lineRule="auto"/>
        <w:rPr>
          <w:sz w:val="20"/>
          <w:szCs w:val="20"/>
          <w:color w:val="auto"/>
        </w:rPr>
      </w:pPr>
      <w:r>
        <w:rPr>
          <w:rFonts w:ascii="Times New Roman" w:cs="Times New Roman" w:eastAsia="Times New Roman" w:hAnsi="Times New Roman"/>
          <w:sz w:val="14"/>
          <w:szCs w:val="14"/>
          <w:color w:val="auto"/>
        </w:rPr>
        <w:t>Our work requires a unique kind of organization. Tackling high-difficulty biology and building a new therapeutic modality demands a team with the judgment to identify the right problems, the technical depth to solve them, and the persistence to see them through. We apply a first principles approach to solve the complex issues that impact our business and are unafraid to challenge industry norms in our pursuit. At Parabilis, we have built a deeply integrated team of drug hunters, data scientists, and clinical and operational experts who are aligned around a shared goal of translating ambitious science into real medicines for patients.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8" w:name="page9"/>
    <w:bookmarkEnd w:id="8"/>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93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6025" cy="69348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 w:right="799" w:firstLine="343"/>
        <w:spacing w:after="0" w:line="234" w:lineRule="auto"/>
        <w:rPr>
          <w:sz w:val="20"/>
          <w:szCs w:val="20"/>
          <w:color w:val="auto"/>
        </w:rPr>
      </w:pPr>
      <w:r>
        <w:rPr>
          <w:rFonts w:ascii="Times New Roman" w:cs="Times New Roman" w:eastAsia="Times New Roman" w:hAnsi="Times New Roman"/>
          <w:sz w:val="14"/>
          <w:szCs w:val="14"/>
          <w:color w:val="auto"/>
        </w:rPr>
        <w:t>Our team is led by Mathai Mammen, M.D., Ph.D., President, Chairman, and CEO of Parabilis. Previously, Dr. Mammen served as Global Head of R&amp;D and a member of the Executive Committee at Johnson &amp; Johnson. There, he led and evolved one of the world’s largest pharmaceutical research and development organizations and spearheaded the strategic integration of data science and AI across the company’s portfolio. During his tenure, his team secured global approvals for nine medicines, including Darzalex Faspro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Balversa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Carvykti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Rybrevant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Tecvayli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oncology; Tremfya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Ponvory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immunology; and Spravato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Invega Hafyera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neuroscience. Before Johnson &amp; Johnson, Dr. Mammen was a Senior Vice President at Merck, and contributed to the development of Keytruda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the discovery of enlicitide. Earlier in his career, he co-founded Theravance, Inc., where he led R&amp;D toward five approved therapies. In total, he has led the discovery/development of 19 approved medicines.</w:t>
      </w:r>
    </w:p>
    <w:p>
      <w:pPr>
        <w:spacing w:after="0" w:line="155" w:lineRule="exact"/>
        <w:rPr>
          <w:sz w:val="20"/>
          <w:szCs w:val="20"/>
          <w:color w:val="auto"/>
        </w:rPr>
      </w:pPr>
    </w:p>
    <w:p>
      <w:pPr>
        <w:ind w:left="700" w:right="719" w:firstLine="343"/>
        <w:spacing w:after="0" w:line="248" w:lineRule="auto"/>
        <w:rPr>
          <w:sz w:val="20"/>
          <w:szCs w:val="20"/>
          <w:color w:val="auto"/>
        </w:rPr>
      </w:pPr>
      <w:r>
        <w:rPr>
          <w:rFonts w:ascii="Times New Roman" w:cs="Times New Roman" w:eastAsia="Times New Roman" w:hAnsi="Times New Roman"/>
          <w:sz w:val="14"/>
          <w:szCs w:val="14"/>
          <w:color w:val="auto"/>
        </w:rPr>
        <w:t>Our leadership team includes additional members with deep domain expertise, such as our Chief Medical Officer, Fawzi Benzaghou, M.D., who most recently served as Senior Vice President and Global Head of Oncology R&amp;D at Ipsen, where he contributed to the development and approval of multiple oncology therapies, including Cabometyx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Onivyde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Our Scientific Co-founder and Executive Vice President of Platform Technology, John McGee, holds a Ph.D. in biochemistry from Harvard University, where he worked on both the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screening and multiplexing platforms that form the core of Parabilis’ discovery engine. Our Chief Financial Officer, Tom Kotarakos, previously led two biotechnology companies through initial public offerings. Our Chief Business and Strategy Officer, Helen Ho, Ph.D., previously served as Chief Business Officer at Blueprint Medicines, where she, among other responsibilities, oversaw portfolio strategy and new product planning. Our Executive Vice President of Discovery Science, Markus Haeberlein, Ph.D., previously served as Head of Research at Alkermes. Our Executive Vice President of Discovery Biology, Jonathan Hurov, Ph.D., previously worked at Agios Pharmaceuticals and Cygnal Therapeutics, where he oversaw platform development and the company’s early research.</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Company History</w:t>
      </w:r>
    </w:p>
    <w:p>
      <w:pPr>
        <w:spacing w:after="0" w:line="93" w:lineRule="exact"/>
        <w:rPr>
          <w:sz w:val="20"/>
          <w:szCs w:val="20"/>
          <w:color w:val="auto"/>
        </w:rPr>
      </w:pPr>
    </w:p>
    <w:p>
      <w:pPr>
        <w:ind w:left="700" w:right="819" w:firstLine="343"/>
        <w:spacing w:after="0" w:line="257" w:lineRule="auto"/>
        <w:rPr>
          <w:sz w:val="20"/>
          <w:szCs w:val="20"/>
          <w:color w:val="auto"/>
        </w:rPr>
      </w:pPr>
      <w:r>
        <w:rPr>
          <w:rFonts w:ascii="Times New Roman" w:cs="Times New Roman" w:eastAsia="Times New Roman" w:hAnsi="Times New Roman"/>
          <w:sz w:val="14"/>
          <w:szCs w:val="14"/>
          <w:color w:val="auto"/>
        </w:rPr>
        <w:t>We were founded in 2015 based on technology in-licensed from the laboratory of Greg Verdine, Ph.D., at Harvard University. This technology served as the foundation of our Helicon discovery platform, which we have subsequently advanced and expanded through continued internal development, as we advance our proprietary capabilities and pursue our mission to develop transformative medicines for patients in need. Since our founding, we have developed a substantial portfolio of wholly owned intellectual property, including patents and proprietary trade secrets. The current state and operation of the Helicon platform are not dependent on the continued use of the originally in-licensed technology or any other third party intellectual property.</w:t>
      </w:r>
    </w:p>
    <w:p>
      <w:pPr>
        <w:spacing w:after="0" w:line="143" w:lineRule="exact"/>
        <w:rPr>
          <w:sz w:val="20"/>
          <w:szCs w:val="20"/>
          <w:color w:val="auto"/>
        </w:rPr>
      </w:pPr>
    </w:p>
    <w:p>
      <w:pPr>
        <w:ind w:left="700" w:right="719" w:firstLine="343"/>
        <w:spacing w:after="0" w:line="255" w:lineRule="auto"/>
        <w:rPr>
          <w:sz w:val="20"/>
          <w:szCs w:val="20"/>
          <w:color w:val="auto"/>
        </w:rPr>
      </w:pPr>
      <w:r>
        <w:rPr>
          <w:rFonts w:ascii="Times New Roman" w:cs="Times New Roman" w:eastAsia="Times New Roman" w:hAnsi="Times New Roman"/>
          <w:sz w:val="14"/>
          <w:szCs w:val="14"/>
          <w:color w:val="auto"/>
        </w:rPr>
        <w:t>Our platform was purpose-built over a decade to enable Helicon discovery. The first five years were devoted to developing and scaling high-throughput synthesis and data collection methods, generating proprietary datasets comprising millions of data points across hundreds of thousands of Helicons and dozens of drug-like properties. Over the subsequent five years, we leveraged these data to build a suite of custom AI- and physics-based computational models, and to rigorously test and refine them in the context of active discovery programs. These models are now deployed at every stage of discovery, from target selection through lead optimization. Each program we pursue feeds new data back into model training, creating a continuous learning loop. The result is a fully integrated discovery engine that has delivered repeated success against challenging targets and that we believe represents a durable competitive moat.</w:t>
      </w:r>
    </w:p>
    <w:p>
      <w:pPr>
        <w:spacing w:after="0" w:line="145" w:lineRule="exact"/>
        <w:rPr>
          <w:sz w:val="20"/>
          <w:szCs w:val="20"/>
          <w:color w:val="auto"/>
        </w:rPr>
      </w:pPr>
    </w:p>
    <w:p>
      <w:pPr>
        <w:ind w:left="700" w:right="799" w:firstLine="343"/>
        <w:spacing w:after="0" w:line="258" w:lineRule="auto"/>
        <w:rPr>
          <w:sz w:val="20"/>
          <w:szCs w:val="20"/>
          <w:color w:val="auto"/>
        </w:rPr>
      </w:pPr>
      <w:r>
        <w:rPr>
          <w:rFonts w:ascii="Times New Roman" w:cs="Times New Roman" w:eastAsia="Times New Roman" w:hAnsi="Times New Roman"/>
          <w:sz w:val="14"/>
          <w:szCs w:val="14"/>
          <w:color w:val="auto"/>
        </w:rPr>
        <w:t>Since our inception, we have raised over $800 million in financing from world class investors, including ARCH Venture Partners, Cormorant Asset Management, Fidelity Investments, GV, Milky Way Investments Group Limited, Nextech, RA Capital and venBio. Prospective investors should not rely on the investment decisions of our existing investors, as these investors may have different risk tolerances and in certain cases received their shares in prior offerings at prices lower than the price offered to the public in this offering.</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93" w:lineRule="exact"/>
        <w:rPr>
          <w:sz w:val="20"/>
          <w:szCs w:val="20"/>
          <w:color w:val="auto"/>
        </w:rPr>
      </w:pPr>
    </w:p>
    <w:p>
      <w:pPr>
        <w:ind w:left="700" w:right="939" w:firstLine="343"/>
        <w:spacing w:after="0" w:line="283" w:lineRule="auto"/>
        <w:rPr>
          <w:sz w:val="20"/>
          <w:szCs w:val="20"/>
          <w:color w:val="auto"/>
        </w:rPr>
      </w:pPr>
      <w:r>
        <w:rPr>
          <w:rFonts w:ascii="Times New Roman" w:cs="Times New Roman" w:eastAsia="Times New Roman" w:hAnsi="Times New Roman"/>
          <w:sz w:val="14"/>
          <w:szCs w:val="14"/>
          <w:color w:val="auto"/>
        </w:rPr>
        <w:t>Our business is subject to a number of risks of which you should be aware before making an investment decision. These risks include, but are not limited to, the following:</w:t>
      </w:r>
    </w:p>
    <w:p>
      <w:pPr>
        <w:spacing w:after="0" w:line="41" w:lineRule="exact"/>
        <w:rPr>
          <w:sz w:val="20"/>
          <w:szCs w:val="20"/>
          <w:color w:val="auto"/>
        </w:rPr>
      </w:pPr>
    </w:p>
    <w:p>
      <w:pPr>
        <w:ind w:left="1440" w:right="859" w:hanging="217"/>
        <w:spacing w:after="0" w:line="283"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40" w:lineRule="exact"/>
        <w:rPr>
          <w:rFonts w:ascii="Times New Roman" w:cs="Times New Roman" w:eastAsia="Times New Roman" w:hAnsi="Times New Roman"/>
          <w:sz w:val="14"/>
          <w:szCs w:val="14"/>
          <w:color w:val="auto"/>
        </w:rPr>
      </w:pPr>
    </w:p>
    <w:p>
      <w:pPr>
        <w:ind w:left="1440" w:right="779" w:hanging="217"/>
        <w:spacing w:after="0" w:line="261"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this offering and the concurrent private placement are completed, we will require substantial additional capital to finance our operations in the future. If we are unable to raise such capital when needed, or on acceptable terms, we may be forced to delay, reduce or eliminate programs, product candidates (including clinical trials), investment in our Helicon discovery platform, or future commercialization efforts.</w:t>
      </w:r>
    </w:p>
    <w:p>
      <w:pPr>
        <w:spacing w:after="0" w:line="56" w:lineRule="exact"/>
        <w:rPr>
          <w:rFonts w:ascii="Times New Roman" w:cs="Times New Roman" w:eastAsia="Times New Roman" w:hAnsi="Times New Roman"/>
          <w:sz w:val="14"/>
          <w:szCs w:val="14"/>
          <w:color w:val="auto"/>
        </w:rPr>
      </w:pPr>
    </w:p>
    <w:p>
      <w:pPr>
        <w:ind w:left="1440" w:right="779" w:hanging="217"/>
        <w:spacing w:after="0" w:line="283"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our inception and anticipate that we will continue to incur significant losses for the foreseeable future.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9" w:name="page10"/>
    <w:bookmarkEnd w:id="9"/>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37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6025" cy="637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40" w:right="75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the success of our product candidates, including zolucatetide, and our ongoing and anticipated trials may not be successful.</w:t>
      </w:r>
    </w:p>
    <w:p>
      <w:pPr>
        <w:spacing w:after="0" w:line="40" w:lineRule="exact"/>
        <w:rPr>
          <w:rFonts w:ascii="Times New Roman" w:cs="Times New Roman" w:eastAsia="Times New Roman" w:hAnsi="Times New Roman"/>
          <w:sz w:val="14"/>
          <w:szCs w:val="14"/>
          <w:color w:val="auto"/>
        </w:rPr>
      </w:pPr>
    </w:p>
    <w:p>
      <w:pPr>
        <w:ind w:left="1440" w:right="81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51" w:lineRule="exact"/>
        <w:rPr>
          <w:rFonts w:ascii="Times New Roman" w:cs="Times New Roman" w:eastAsia="Times New Roman" w:hAnsi="Times New Roman"/>
          <w:sz w:val="14"/>
          <w:szCs w:val="14"/>
          <w:color w:val="auto"/>
        </w:rPr>
      </w:pPr>
    </w:p>
    <w:p>
      <w:pPr>
        <w:ind w:left="1440" w:right="81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and clinical development is inherently lengthy and uncertain. Preclinical and clinical trials of our product candidates may be delayed, and certain programs may never advance in the clinic or may be more costly to conduct than we anticipate, any of which would have a material adverse impact on our Helicon discovery platform or our business.</w:t>
      </w:r>
    </w:p>
    <w:p>
      <w:pPr>
        <w:spacing w:after="0" w:line="51" w:lineRule="exact"/>
        <w:rPr>
          <w:rFonts w:ascii="Times New Roman" w:cs="Times New Roman" w:eastAsia="Times New Roman" w:hAnsi="Times New Roman"/>
          <w:sz w:val="14"/>
          <w:szCs w:val="14"/>
          <w:color w:val="auto"/>
        </w:rPr>
      </w:pPr>
    </w:p>
    <w:p>
      <w:pPr>
        <w:ind w:left="1440" w:right="1339" w:hanging="217"/>
        <w:spacing w:after="0" w:line="323" w:lineRule="auto"/>
        <w:tabs>
          <w:tab w:leader="none" w:pos="14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that in the future we will conduct clinical trials for product candidates outside the United States, and Regulatory Authorities (as defined in the section 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may not accept data from such trials.</w:t>
      </w:r>
    </w:p>
    <w:p>
      <w:pPr>
        <w:spacing w:after="0" w:line="18" w:lineRule="exact"/>
        <w:rPr>
          <w:rFonts w:ascii="Times New Roman" w:cs="Times New Roman" w:eastAsia="Times New Roman" w:hAnsi="Times New Roman"/>
          <w:sz w:val="13"/>
          <w:szCs w:val="13"/>
          <w:color w:val="auto"/>
        </w:rPr>
      </w:pPr>
    </w:p>
    <w:p>
      <w:pPr>
        <w:jc w:val="both"/>
        <w:ind w:left="1440" w:right="97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51" w:lineRule="exact"/>
        <w:rPr>
          <w:rFonts w:ascii="Times New Roman" w:cs="Times New Roman" w:eastAsia="Times New Roman" w:hAnsi="Times New Roman"/>
          <w:sz w:val="14"/>
          <w:szCs w:val="14"/>
          <w:color w:val="auto"/>
        </w:rPr>
      </w:pPr>
    </w:p>
    <w:p>
      <w:pPr>
        <w:ind w:left="1440" w:right="87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rFonts w:ascii="Times New Roman" w:cs="Times New Roman" w:eastAsia="Times New Roman" w:hAnsi="Times New Roman"/>
          <w:sz w:val="14"/>
          <w:szCs w:val="14"/>
          <w:color w:val="auto"/>
        </w:rPr>
      </w:pPr>
    </w:p>
    <w:p>
      <w:pPr>
        <w:jc w:val="both"/>
        <w:ind w:left="1440" w:right="73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 processes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51" w:lineRule="exact"/>
        <w:rPr>
          <w:rFonts w:ascii="Times New Roman" w:cs="Times New Roman" w:eastAsia="Times New Roman" w:hAnsi="Times New Roman"/>
          <w:sz w:val="14"/>
          <w:szCs w:val="14"/>
          <w:color w:val="auto"/>
        </w:rPr>
      </w:pPr>
    </w:p>
    <w:p>
      <w:pPr>
        <w:jc w:val="both"/>
        <w:ind w:left="1440" w:right="1039" w:hanging="217"/>
        <w:spacing w:after="0" w:line="267"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the engineering and development of our programs is unproven, and we may not be successful in our efforts to identify and develop any programs and product candidates of commercial value by leveraging our Helicon discovery platform.</w:t>
      </w:r>
    </w:p>
    <w:p>
      <w:pPr>
        <w:spacing w:after="0" w:line="51" w:lineRule="exact"/>
        <w:rPr>
          <w:rFonts w:ascii="Times New Roman" w:cs="Times New Roman" w:eastAsia="Times New Roman" w:hAnsi="Times New Roman"/>
          <w:sz w:val="14"/>
          <w:szCs w:val="14"/>
          <w:color w:val="auto"/>
        </w:rPr>
      </w:pPr>
    </w:p>
    <w:p>
      <w:pPr>
        <w:ind w:left="1440" w:right="79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successful application of our Helicon discovery platform to develop programs and product candidates that can be commercialized by us or our current or future collaboration partners.</w:t>
      </w:r>
    </w:p>
    <w:p>
      <w:pPr>
        <w:spacing w:after="0" w:line="40" w:lineRule="exact"/>
        <w:rPr>
          <w:rFonts w:ascii="Times New Roman" w:cs="Times New Roman" w:eastAsia="Times New Roman" w:hAnsi="Times New Roman"/>
          <w:sz w:val="14"/>
          <w:szCs w:val="14"/>
          <w:color w:val="auto"/>
        </w:rPr>
      </w:pPr>
    </w:p>
    <w:p>
      <w:pPr>
        <w:ind w:left="1440" w:right="79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relating to our use of AI in the identification of our programs and the engineering and development of our product candidates could adversely affect our business and operating results.</w:t>
      </w:r>
    </w:p>
    <w:p>
      <w:pPr>
        <w:spacing w:after="0" w:line="40" w:lineRule="exact"/>
        <w:rPr>
          <w:rFonts w:ascii="Times New Roman" w:cs="Times New Roman" w:eastAsia="Times New Roman" w:hAnsi="Times New Roman"/>
          <w:sz w:val="14"/>
          <w:szCs w:val="14"/>
          <w:color w:val="auto"/>
        </w:rPr>
      </w:pPr>
    </w:p>
    <w:p>
      <w:pPr>
        <w:ind w:left="1440" w:right="71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for the supply and manufacture of our product candidates for our research, preclinical and clinical activities, and may do the same for commercial supplies of our products, if approved.</w:t>
      </w:r>
    </w:p>
    <w:p>
      <w:pPr>
        <w:spacing w:after="0" w:line="40" w:lineRule="exact"/>
        <w:rPr>
          <w:rFonts w:ascii="Times New Roman" w:cs="Times New Roman" w:eastAsia="Times New Roman" w:hAnsi="Times New Roman"/>
          <w:sz w:val="14"/>
          <w:szCs w:val="14"/>
          <w:color w:val="auto"/>
        </w:rPr>
      </w:pPr>
    </w:p>
    <w:p>
      <w:pPr>
        <w:ind w:left="1440" w:right="71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sole source and limited source suppliers for certain drug substances, drug products, raw materials, samples, components, and other materials used in our product candidates.</w:t>
      </w:r>
    </w:p>
    <w:p>
      <w:pPr>
        <w:spacing w:after="0" w:line="40" w:lineRule="exact"/>
        <w:rPr>
          <w:rFonts w:ascii="Times New Roman" w:cs="Times New Roman" w:eastAsia="Times New Roman" w:hAnsi="Times New Roman"/>
          <w:sz w:val="14"/>
          <w:szCs w:val="14"/>
          <w:color w:val="auto"/>
        </w:rPr>
      </w:pPr>
    </w:p>
    <w:p>
      <w:pPr>
        <w:ind w:left="1440" w:right="85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and expect to continue to rely on third parties to conduct aspects of our research, preclinical studies, clinical protocol development, and clinical trials for our programs and product candidates.</w:t>
      </w:r>
    </w:p>
    <w:p>
      <w:pPr>
        <w:spacing w:after="0" w:line="40" w:lineRule="exact"/>
        <w:rPr>
          <w:rFonts w:ascii="Times New Roman" w:cs="Times New Roman" w:eastAsia="Times New Roman" w:hAnsi="Times New Roman"/>
          <w:sz w:val="14"/>
          <w:szCs w:val="14"/>
          <w:color w:val="auto"/>
        </w:rPr>
      </w:pPr>
    </w:p>
    <w:p>
      <w:pPr>
        <w:ind w:left="1440" w:right="117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is largely based upon our intellectual property and proprietary technologies, and we may be unable to adequately protect and/or enforce our intellectual property.</w:t>
      </w:r>
    </w:p>
    <w:p>
      <w:pPr>
        <w:spacing w:after="0" w:line="40" w:lineRule="exact"/>
        <w:rPr>
          <w:rFonts w:ascii="Times New Roman" w:cs="Times New Roman" w:eastAsia="Times New Roman" w:hAnsi="Times New Roman"/>
          <w:sz w:val="14"/>
          <w:szCs w:val="14"/>
          <w:color w:val="auto"/>
        </w:rPr>
      </w:pPr>
    </w:p>
    <w:p>
      <w:pPr>
        <w:ind w:left="1440" w:right="81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biopharmaceutical market is intensely competitive. If we are unable to compete effectively with existing drugs, new treatment methods and new technologies, we may be unable to successfully commercialize any drugs that we develop.</w:t>
      </w:r>
    </w:p>
    <w:p>
      <w:pPr>
        <w:spacing w:after="0" w:line="40" w:lineRule="exact"/>
        <w:rPr>
          <w:rFonts w:ascii="Times New Roman" w:cs="Times New Roman" w:eastAsia="Times New Roman" w:hAnsi="Times New Roman"/>
          <w:sz w:val="14"/>
          <w:szCs w:val="14"/>
          <w:color w:val="auto"/>
        </w:rPr>
      </w:pPr>
    </w:p>
    <w:p>
      <w:pPr>
        <w:ind w:left="1440" w:hanging="217"/>
        <w:spacing w:after="0"/>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active trading market for our common stock may not develop.</w:t>
      </w:r>
    </w:p>
    <w:p>
      <w:pPr>
        <w:spacing w:after="0" w:line="91" w:lineRule="exact"/>
        <w:rPr>
          <w:rFonts w:ascii="Times New Roman" w:cs="Times New Roman" w:eastAsia="Times New Roman" w:hAnsi="Times New Roman"/>
          <w:sz w:val="14"/>
          <w:szCs w:val="14"/>
          <w:color w:val="auto"/>
        </w:rPr>
      </w:pPr>
    </w:p>
    <w:p>
      <w:pPr>
        <w:ind w:left="1440" w:right="959" w:hanging="217"/>
        <w:spacing w:after="0" w:line="283"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common stock may be volatile and fluctuate substantially, which could result in substantial losses for purchasers of our common stock in this offering.</w:t>
      </w:r>
    </w:p>
    <w:p>
      <w:pPr>
        <w:spacing w:after="0" w:line="123" w:lineRule="exact"/>
        <w:rPr>
          <w:sz w:val="20"/>
          <w:szCs w:val="20"/>
          <w:color w:val="auto"/>
        </w:rPr>
      </w:pPr>
    </w:p>
    <w:p>
      <w:pPr>
        <w:ind w:left="700" w:right="739" w:firstLine="343"/>
        <w:spacing w:after="0" w:line="257" w:lineRule="auto"/>
        <w:rPr>
          <w:sz w:val="20"/>
          <w:szCs w:val="20"/>
          <w:color w:val="auto"/>
        </w:rPr>
      </w:pPr>
      <w:r>
        <w:rPr>
          <w:rFonts w:ascii="Times New Roman" w:cs="Times New Roman" w:eastAsia="Times New Roman" w:hAnsi="Times New Roman"/>
          <w:sz w:val="14"/>
          <w:szCs w:val="14"/>
          <w:color w:val="auto"/>
        </w:rPr>
        <w:t>The summary risk factors described above should be read together with the text of the full risk factors in the section titled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and the other information set forth in this prospectus, including our consolidated financial statements and the related notes,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in other documents that we file with the Securities and Exchange Commission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0" w:name="page11"/>
    <w:bookmarkEnd w:id="10"/>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481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6025" cy="648144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700" w:right="7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We were incorporated under the laws of the State of Delaware in July 2015 under the name FOG Pharmaceuticals, Inc. We changed our name to Parabilis Medicines, Inc. in October 2024. Our principal executive offices are located at 30 Acorn Park Drive, Cambridge, MA 02140, and our telephone number is (617) 945-9510. We have two subsidiaries, Parabilis Security Corporation, formed in December 2018 under the laws of the Commonwealth of Massachusetts, and Parabilis Medicines (Shanghai) Ltd Co, formed in March 2026 under the laws of Shanghai, China. Our website address is </w:t>
      </w:r>
      <w:r>
        <w:rPr>
          <w:rFonts w:ascii="Times New Roman" w:cs="Times New Roman" w:eastAsia="Times New Roman" w:hAnsi="Times New Roman"/>
          <w:sz w:val="14"/>
          <w:szCs w:val="14"/>
          <w:i w:val="1"/>
          <w:iCs w:val="1"/>
          <w:color w:val="auto"/>
        </w:rPr>
        <w:t>www.parabilismed.com</w:t>
      </w:r>
      <w:r>
        <w:rPr>
          <w:rFonts w:ascii="Times New Roman" w:cs="Times New Roman" w:eastAsia="Times New Roman" w:hAnsi="Times New Roman"/>
          <w:sz w:val="14"/>
          <w:szCs w:val="14"/>
          <w:color w:val="auto"/>
        </w:rPr>
        <w:t>.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Concurrent Private Placement</w:t>
      </w:r>
    </w:p>
    <w:p>
      <w:pPr>
        <w:spacing w:after="0" w:line="93" w:lineRule="exact"/>
        <w:rPr>
          <w:sz w:val="20"/>
          <w:szCs w:val="20"/>
          <w:color w:val="auto"/>
        </w:rPr>
      </w:pPr>
    </w:p>
    <w:p>
      <w:pPr>
        <w:ind w:left="700" w:right="81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our strategic research collaboration, Regeneron Pharmaceuticals, Inc. (“Regeneron”) has agreed to purchase approximately $75.0 million of shares of our common stock in a concurrent private placement exempt from the registration requirements of the Securities Act of 1933, as amended (the “Securities Act”), at a per share price equal to 90% of the initial public</w:t>
      </w:r>
    </w:p>
    <w:p>
      <w:pPr>
        <w:ind w:left="700" w:right="759"/>
        <w:spacing w:after="0" w:line="253" w:lineRule="auto"/>
        <w:rPr>
          <w:sz w:val="20"/>
          <w:szCs w:val="20"/>
          <w:color w:val="auto"/>
        </w:rPr>
      </w:pPr>
      <w:r>
        <w:rPr>
          <w:rFonts w:ascii="Times New Roman" w:cs="Times New Roman" w:eastAsia="Times New Roman" w:hAnsi="Times New Roman"/>
          <w:sz w:val="14"/>
          <w:szCs w:val="14"/>
          <w:color w:val="auto"/>
        </w:rPr>
        <w:t>offering price (or shares based on the assumed initial public offering price of $ per share, which is the midpoint of the price range set forth above). The private placement would close concurrently with, and be contingent and conditioned upon consummation of, this offering; however, this offering is not contingent on the consummation of the concurrent private placement. In connection with the concurrent private placement, we expect to enter into a stock purchase agreement with Regeneron. The underwriters of this offering will not receive any fee in connection with the concurrent private placement.</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93" w:lineRule="exact"/>
        <w:rPr>
          <w:sz w:val="20"/>
          <w:szCs w:val="20"/>
          <w:color w:val="auto"/>
        </w:rPr>
      </w:pPr>
    </w:p>
    <w:p>
      <w:pPr>
        <w:ind w:left="700" w:right="1119" w:firstLine="343"/>
        <w:spacing w:after="0" w:line="267" w:lineRule="auto"/>
        <w:rPr>
          <w:sz w:val="20"/>
          <w:szCs w:val="20"/>
          <w:color w:val="auto"/>
        </w:rPr>
      </w:pPr>
      <w:r>
        <w:rPr>
          <w:rFonts w:ascii="Times New Roman" w:cs="Times New Roman" w:eastAsia="Times New Roman" w:hAnsi="Times New Roman"/>
          <w:sz w:val="14"/>
          <w:szCs w:val="14"/>
          <w:color w:val="auto"/>
        </w:rPr>
        <w:t>We qualify as an “emerging growth company” (“EGC”) as defined in the Jumpstart Our Business Startups Act of 2012, as amended (“JOBS Act”). As an emerging growth company, we may take advantage of specified reduced disclosure and other requirements that are otherwise applicable generally to public companies. These provisions include:</w:t>
      </w:r>
    </w:p>
    <w:p>
      <w:pPr>
        <w:spacing w:after="0" w:line="51" w:lineRule="exact"/>
        <w:rPr>
          <w:sz w:val="20"/>
          <w:szCs w:val="20"/>
          <w:color w:val="auto"/>
        </w:rPr>
      </w:pPr>
    </w:p>
    <w:p>
      <w:pPr>
        <w:ind w:left="1440" w:right="839" w:hanging="217"/>
        <w:spacing w:after="0" w:line="267"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51" w:lineRule="exact"/>
        <w:rPr>
          <w:rFonts w:ascii="Times New Roman" w:cs="Times New Roman" w:eastAsia="Times New Roman" w:hAnsi="Times New Roman"/>
          <w:sz w:val="14"/>
          <w:szCs w:val="14"/>
          <w:color w:val="auto"/>
        </w:rPr>
      </w:pPr>
    </w:p>
    <w:p>
      <w:pPr>
        <w:ind w:left="1440" w:hanging="217"/>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91" w:lineRule="exact"/>
        <w:rPr>
          <w:rFonts w:ascii="Times New Roman" w:cs="Times New Roman" w:eastAsia="Times New Roman" w:hAnsi="Times New Roman"/>
          <w:sz w:val="14"/>
          <w:szCs w:val="14"/>
          <w:color w:val="auto"/>
        </w:rPr>
      </w:pPr>
    </w:p>
    <w:p>
      <w:pPr>
        <w:ind w:left="1440" w:right="1019" w:hanging="217"/>
        <w:spacing w:after="0" w:line="283"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w:t>
      </w:r>
    </w:p>
    <w:p>
      <w:pPr>
        <w:spacing w:after="0" w:line="40" w:lineRule="exact"/>
        <w:rPr>
          <w:rFonts w:ascii="Times New Roman" w:cs="Times New Roman" w:eastAsia="Times New Roman" w:hAnsi="Times New Roman"/>
          <w:sz w:val="14"/>
          <w:szCs w:val="14"/>
          <w:color w:val="auto"/>
        </w:rPr>
      </w:pPr>
    </w:p>
    <w:p>
      <w:pPr>
        <w:ind w:left="1440" w:right="919" w:hanging="217"/>
        <w:spacing w:after="0" w:line="283"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 pursuant to Section 404 of the Sarbanes-Oxley Act of 2002 (“Sarbanes-Oxley Act”); and</w:t>
      </w:r>
    </w:p>
    <w:p>
      <w:pPr>
        <w:spacing w:after="0" w:line="40" w:lineRule="exact"/>
        <w:rPr>
          <w:rFonts w:ascii="Times New Roman" w:cs="Times New Roman" w:eastAsia="Times New Roman" w:hAnsi="Times New Roman"/>
          <w:sz w:val="14"/>
          <w:szCs w:val="14"/>
          <w:color w:val="auto"/>
        </w:rPr>
      </w:pPr>
    </w:p>
    <w:p>
      <w:pPr>
        <w:ind w:left="1440" w:right="799" w:hanging="217"/>
        <w:spacing w:after="0" w:line="283"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ind w:left="700" w:right="739" w:firstLine="343"/>
        <w:spacing w:after="0" w:line="253" w:lineRule="auto"/>
        <w:rPr>
          <w:sz w:val="20"/>
          <w:szCs w:val="20"/>
          <w:color w:val="auto"/>
        </w:rPr>
      </w:pPr>
      <w:r>
        <w:rPr>
          <w:rFonts w:ascii="Times New Roman" w:cs="Times New Roman" w:eastAsia="Times New Roman" w:hAnsi="Times New Roman"/>
          <w:sz w:val="14"/>
          <w:szCs w:val="14"/>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may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 is permitted.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1" w:name="page12"/>
    <w:bookmarkEnd w:id="11"/>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1728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6025" cy="17284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 w:right="719" w:firstLine="343"/>
        <w:spacing w:after="0" w:line="254"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plus the proposed aggregate amount of gross proceeds to us as a result of this offering is less than $700.0 million and our annual revenue was less than $100.0 million during the most recently completed fiscal year. We may continue to be a smaller reporting company after this offering if either (i) the market value of our voting and non-voting common stock held by non-affiliates is less than $250.0 million or (ii) our annual revenue was less than $100.0 million during the most recently completed fiscal year and the market value of our voting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2" w:name="page13"/>
    <w:bookmarkEnd w:id="1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226060</wp:posOffset>
            </wp:positionV>
            <wp:extent cx="5026025" cy="6320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6025" cy="632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9019"/>
          </w:cols>
          <w:pgMar w:left="1440" w:top="123" w:right="1440" w:bottom="1440" w:gutter="0" w:footer="0" w:header="0"/>
        </w:sectPr>
      </w:pP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Common stock offered by us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Overallotment option</w:t>
      </w:r>
    </w:p>
    <w:p>
      <w:pPr>
        <w:spacing w:after="0" w:line="200" w:lineRule="exact"/>
        <w:rPr>
          <w:sz w:val="20"/>
          <w:szCs w:val="20"/>
          <w:color w:val="auto"/>
        </w:rPr>
      </w:pPr>
    </w:p>
    <w:p>
      <w:pPr>
        <w:spacing w:after="0" w:line="3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4"/>
          <w:szCs w:val="14"/>
          <w:color w:val="auto"/>
        </w:rPr>
        <w:t>Common stock to be outstanding immediately after this offering and the concurrent private placement</w:t>
      </w:r>
    </w:p>
    <w:p>
      <w:pPr>
        <w:ind w:left="700" w:right="80"/>
        <w:spacing w:after="0" w:line="261" w:lineRule="auto"/>
        <w:rPr>
          <w:sz w:val="20"/>
          <w:szCs w:val="20"/>
          <w:color w:val="auto"/>
        </w:rPr>
      </w:pPr>
      <w:r>
        <w:rPr>
          <w:rFonts w:ascii="Times New Roman" w:cs="Times New Roman" w:eastAsia="Times New Roman" w:hAnsi="Times New Roman"/>
          <w:sz w:val="14"/>
          <w:szCs w:val="14"/>
          <w:color w:val="auto"/>
        </w:rPr>
        <w:t>Non-voting common stock to be outstanding immediately after this offering</w:t>
      </w:r>
    </w:p>
    <w:p>
      <w:pPr>
        <w:spacing w:after="0" w:line="140" w:lineRule="exact"/>
        <w:rPr>
          <w:sz w:val="20"/>
          <w:szCs w:val="20"/>
          <w:color w:val="auto"/>
        </w:rPr>
      </w:pPr>
    </w:p>
    <w:p>
      <w:pPr>
        <w:jc w:val="both"/>
        <w:ind w:left="700" w:right="20"/>
        <w:spacing w:after="0" w:line="267" w:lineRule="auto"/>
        <w:rPr>
          <w:sz w:val="20"/>
          <w:szCs w:val="20"/>
          <w:color w:val="auto"/>
        </w:rPr>
      </w:pPr>
      <w:r>
        <w:rPr>
          <w:rFonts w:ascii="Times New Roman" w:cs="Times New Roman" w:eastAsia="Times New Roman" w:hAnsi="Times New Roman"/>
          <w:sz w:val="14"/>
          <w:szCs w:val="14"/>
          <w:color w:val="auto"/>
        </w:rPr>
        <w:t>Total common stock and non-voting common stock to be outstanding immediately after this offering</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shares</w:t>
      </w:r>
    </w:p>
    <w:p>
      <w:pPr>
        <w:spacing w:after="0" w:line="175" w:lineRule="exact"/>
        <w:rPr>
          <w:sz w:val="20"/>
          <w:szCs w:val="20"/>
          <w:color w:val="auto"/>
        </w:rPr>
      </w:pPr>
    </w:p>
    <w:p>
      <w:pPr>
        <w:ind w:right="759"/>
        <w:spacing w:after="0" w:line="256" w:lineRule="auto"/>
        <w:rPr>
          <w:sz w:val="20"/>
          <w:szCs w:val="20"/>
          <w:color w:val="auto"/>
        </w:rPr>
      </w:pPr>
      <w:r>
        <w:rPr>
          <w:rFonts w:ascii="Times New Roman" w:cs="Times New Roman" w:eastAsia="Times New Roman" w:hAnsi="Times New Roman"/>
          <w:sz w:val="14"/>
          <w:szCs w:val="14"/>
          <w:color w:val="auto"/>
        </w:rPr>
        <w:t>We have granted the underwriters an option for a period of 30 days to purchase up to     additional shares of common stock from us at the public offering price, less underwriting discounts and commissions on the same terms as set forth in this prospectus.</w:t>
      </w:r>
    </w:p>
    <w:p>
      <w:pPr>
        <w:spacing w:after="0" w:line="1" w:lineRule="exact"/>
        <w:rPr>
          <w:sz w:val="20"/>
          <w:szCs w:val="20"/>
          <w:color w:val="auto"/>
        </w:rPr>
      </w:pPr>
    </w:p>
    <w:p>
      <w:pPr>
        <w:ind w:right="819"/>
        <w:spacing w:after="0" w:line="250" w:lineRule="auto"/>
        <w:rPr>
          <w:sz w:val="20"/>
          <w:szCs w:val="20"/>
          <w:color w:val="auto"/>
        </w:rPr>
      </w:pPr>
      <w:r>
        <w:rPr>
          <w:rFonts w:ascii="Times New Roman" w:cs="Times New Roman" w:eastAsia="Times New Roman" w:hAnsi="Times New Roman"/>
          <w:sz w:val="14"/>
          <w:szCs w:val="14"/>
          <w:color w:val="auto"/>
        </w:rPr>
        <w:t>In connection with our strategic research collaboration, Regeneron has agreed to purchase approximately $75.0 million in shares of our common stock in a concurrent private placement exempt from the registration requirements of the Securities Act, at a per share price equal to 90% of the initial public offering price</w:t>
      </w:r>
    </w:p>
    <w:p>
      <w:pPr>
        <w:spacing w:after="0" w:line="2" w:lineRule="exact"/>
        <w:rPr>
          <w:sz w:val="20"/>
          <w:szCs w:val="20"/>
          <w:color w:val="auto"/>
        </w:rPr>
      </w:pPr>
    </w:p>
    <w:p>
      <w:pPr>
        <w:ind w:right="779"/>
        <w:spacing w:after="0" w:line="252" w:lineRule="auto"/>
        <w:rPr>
          <w:sz w:val="20"/>
          <w:szCs w:val="20"/>
          <w:color w:val="auto"/>
        </w:rPr>
      </w:pPr>
      <w:r>
        <w:rPr>
          <w:rFonts w:ascii="Times New Roman" w:cs="Times New Roman" w:eastAsia="Times New Roman" w:hAnsi="Times New Roman"/>
          <w:sz w:val="14"/>
          <w:szCs w:val="14"/>
          <w:color w:val="auto"/>
        </w:rPr>
        <w:t>(or shares based on the assumed initial public offering price of $ per share, which is the midpoint of the price range set forth above). The private placement would close concurrently with, and be contingent and conditioned upon consummation of, this offering; however, this offering is not contingent on the consummation of the concurrent private placement. In connection with the concurrent private placement, we expect to enter into a stock purchase agreement with Regeneron.</w:t>
      </w:r>
    </w:p>
    <w:p>
      <w:pPr>
        <w:spacing w:after="0" w:line="163" w:lineRule="exact"/>
        <w:rPr>
          <w:sz w:val="20"/>
          <w:szCs w:val="20"/>
          <w:color w:val="auto"/>
        </w:rPr>
      </w:pPr>
    </w:p>
    <w:p>
      <w:pPr>
        <w:ind w:right="759" w:firstLine="105"/>
        <w:spacing w:after="0" w:line="261" w:lineRule="auto"/>
        <w:rPr>
          <w:sz w:val="20"/>
          <w:szCs w:val="20"/>
          <w:color w:val="auto"/>
        </w:rPr>
      </w:pPr>
      <w:r>
        <w:rPr>
          <w:rFonts w:ascii="Times New Roman" w:cs="Times New Roman" w:eastAsia="Times New Roman" w:hAnsi="Times New Roman"/>
          <w:sz w:val="14"/>
          <w:szCs w:val="14"/>
          <w:color w:val="auto"/>
        </w:rPr>
        <w:t>shares (or       shares if the underwriters exercise their overallotment option in full).</w:t>
      </w:r>
    </w:p>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shares.</w:t>
      </w:r>
    </w:p>
    <w:p>
      <w:pPr>
        <w:spacing w:after="0" w:line="344" w:lineRule="exact"/>
        <w:rPr>
          <w:sz w:val="20"/>
          <w:szCs w:val="20"/>
          <w:color w:val="auto"/>
        </w:rPr>
      </w:pPr>
    </w:p>
    <w:p>
      <w:pPr>
        <w:ind w:right="939" w:firstLine="455"/>
        <w:spacing w:after="0" w:line="283" w:lineRule="auto"/>
        <w:rPr>
          <w:sz w:val="20"/>
          <w:szCs w:val="20"/>
          <w:color w:val="auto"/>
        </w:rPr>
      </w:pPr>
      <w:r>
        <w:rPr>
          <w:rFonts w:ascii="Times New Roman" w:cs="Times New Roman" w:eastAsia="Times New Roman" w:hAnsi="Times New Roman"/>
          <w:sz w:val="14"/>
          <w:szCs w:val="14"/>
          <w:color w:val="auto"/>
        </w:rPr>
        <w:t>shares (or       shares if the underwriters exercise their overallotment option in full).</w:t>
      </w:r>
    </w:p>
    <w:p>
      <w:pPr>
        <w:spacing w:after="0" w:line="293" w:lineRule="exact"/>
        <w:rPr>
          <w:sz w:val="20"/>
          <w:szCs w:val="20"/>
          <w:color w:val="auto"/>
        </w:rPr>
      </w:pPr>
    </w:p>
    <w:p>
      <w:pPr>
        <w:ind w:right="719"/>
        <w:spacing w:after="0" w:line="254" w:lineRule="auto"/>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 be approximately $       million (or approximately $       million if the underwriters exercise in full their overallotment option), based on the assumed initial public offering price of $       per share, which is the midpoint of the price range set forth on the cover page of this prospectus, after deducting underwriting discounts and commissions and estimated offering expenses payable by us. In addition, we expect to receive an additional $ million in net proceeds from the sale of shares of our common stock in the concurrent private placement, after deducting estimated private placement expenses payable by us.</w:t>
      </w:r>
    </w:p>
    <w:p>
      <w:pPr>
        <w:spacing w:after="0" w:line="149" w:lineRule="exact"/>
        <w:rPr>
          <w:sz w:val="20"/>
          <w:szCs w:val="20"/>
          <w:color w:val="auto"/>
        </w:rPr>
      </w:pPr>
    </w:p>
    <w:p>
      <w:pPr>
        <w:ind w:right="759"/>
        <w:spacing w:after="0" w:line="277" w:lineRule="auto"/>
        <w:rPr>
          <w:sz w:val="20"/>
          <w:szCs w:val="20"/>
          <w:color w:val="auto"/>
        </w:rPr>
      </w:pPr>
      <w:r>
        <w:rPr>
          <w:rFonts w:ascii="Times New Roman" w:cs="Times New Roman" w:eastAsia="Times New Roman" w:hAnsi="Times New Roman"/>
          <w:sz w:val="13"/>
          <w:szCs w:val="13"/>
          <w:color w:val="auto"/>
        </w:rPr>
        <w:t>We currently intend to use the net proceeds we receive from this offering and the concurrent private placement, together with our existing cash and cash equivalents, to continue the ongoing clinical development of zolucatetide in desmoid tumors, to continue the ongoing clinical development of zolucatetide across several additional indications, to advance our pipeline of additional programs, and the remainder for continued evolution of the Helicon platform and for general corporate purposes, including additional development efforts, working capital and operating expenses. See the section titled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 for additional information.</w:t>
      </w:r>
    </w:p>
    <w:p>
      <w:pPr>
        <w:spacing w:after="0" w:line="134" w:lineRule="exact"/>
        <w:rPr>
          <w:sz w:val="20"/>
          <w:szCs w:val="20"/>
          <w:color w:val="auto"/>
        </w:rPr>
      </w:pPr>
    </w:p>
    <w:p>
      <w:pPr>
        <w:ind w:right="899"/>
        <w:spacing w:after="0" w:line="267" w:lineRule="auto"/>
        <w:rPr>
          <w:sz w:val="20"/>
          <w:szCs w:val="20"/>
          <w:color w:val="auto"/>
        </w:rPr>
      </w:pPr>
      <w:r>
        <w:rPr>
          <w:rFonts w:ascii="Times New Roman" w:cs="Times New Roman" w:eastAsia="Times New Roman" w:hAnsi="Times New Roman"/>
          <w:sz w:val="14"/>
          <w:szCs w:val="14"/>
          <w:color w:val="auto"/>
        </w:rPr>
        <w:t>Investment in our common stock involves substantial risks. See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a discussion of factors you should carefully consider before deciding whether to invest in our common stock.</w:t>
      </w:r>
    </w:p>
    <w:p>
      <w:pPr>
        <w:spacing w:after="0" w:line="136" w:lineRule="exact"/>
        <w:rPr>
          <w:sz w:val="20"/>
          <w:szCs w:val="20"/>
          <w:color w:val="auto"/>
        </w:rPr>
      </w:pPr>
    </w:p>
    <w:p>
      <w:pPr>
        <w:sectPr>
          <w:pgSz w:w="11900" w:h="16838" w:orient="portrait"/>
          <w:cols w:equalWidth="0" w:num="2">
            <w:col w:w="3300" w:space="300"/>
            <w:col w:w="5419"/>
          </w:cols>
          <w:pgMar w:left="1440" w:top="123" w:right="1440" w:bottom="1440" w:gutter="0" w:footer="0" w:header="0"/>
          <w:type w:val="continuous"/>
        </w:sectPr>
      </w:pPr>
    </w:p>
    <w:p>
      <w:pPr>
        <w:ind w:left="700"/>
        <w:spacing w:after="0"/>
        <w:tabs>
          <w:tab w:leader="none" w:pos="3580" w:val="left"/>
        </w:tabs>
        <w:rPr>
          <w:sz w:val="20"/>
          <w:szCs w:val="20"/>
          <w:color w:val="auto"/>
        </w:rPr>
      </w:pPr>
      <w:r>
        <w:rPr>
          <w:rFonts w:ascii="Times New Roman" w:cs="Times New Roman" w:eastAsia="Times New Roman" w:hAnsi="Times New Roman"/>
          <w:sz w:val="14"/>
          <w:szCs w:val="14"/>
          <w:color w:val="auto"/>
        </w:rPr>
        <w:t>Proposed Nasdaq Global Market trading symbol</w:t>
        <w:tab/>
        <w:t>“PBLS”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3" w:name="page14"/>
    <w:bookmarkEnd w:id="1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226060</wp:posOffset>
            </wp:positionV>
            <wp:extent cx="5026025" cy="6107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26025" cy="610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 w:right="799" w:firstLine="343"/>
        <w:spacing w:after="0" w:line="261" w:lineRule="auto"/>
        <w:rPr>
          <w:sz w:val="20"/>
          <w:szCs w:val="20"/>
          <w:color w:val="auto"/>
        </w:rPr>
      </w:pPr>
      <w:r>
        <w:rPr>
          <w:rFonts w:ascii="Times New Roman" w:cs="Times New Roman" w:eastAsia="Times New Roman" w:hAnsi="Times New Roman"/>
          <w:sz w:val="14"/>
          <w:szCs w:val="14"/>
          <w:color w:val="auto"/>
        </w:rPr>
        <w:t>Unless otherwise noted, the number of shares of our common stock and non-voting common stock that will be outstanding after this offering and the concurrent private placement is based on      shares of common stock outstanding as of March 31, 2026, after</w:t>
      </w:r>
    </w:p>
    <w:p>
      <w:pPr>
        <w:spacing w:after="0" w:line="1" w:lineRule="exact"/>
        <w:rPr>
          <w:sz w:val="20"/>
          <w:szCs w:val="20"/>
          <w:color w:val="auto"/>
        </w:rPr>
      </w:pPr>
    </w:p>
    <w:p>
      <w:pPr>
        <w:ind w:left="700" w:right="799"/>
        <w:spacing w:after="0" w:line="250" w:lineRule="auto"/>
        <w:rPr>
          <w:sz w:val="20"/>
          <w:szCs w:val="20"/>
          <w:color w:val="auto"/>
        </w:rPr>
      </w:pPr>
      <w:r>
        <w:rPr>
          <w:rFonts w:ascii="Times New Roman" w:cs="Times New Roman" w:eastAsia="Times New Roman" w:hAnsi="Times New Roman"/>
          <w:sz w:val="14"/>
          <w:szCs w:val="14"/>
          <w:color w:val="auto"/>
        </w:rPr>
        <w:t>giving effect to (1) the conversion of all outstanding shares of our convertible preferred stock into an aggregate of      shares of common stock and shares of non-voting common stock upon the closing of this offering and (2) the issuance of shares of</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common stock issuable upon the conversion of a Simple Agreement for Future Equity (“SAFE”), in the aggregate amount of $50.0</w:t>
      </w:r>
    </w:p>
    <w:tbl>
      <w:tblPr>
        <w:tblLayout w:type="fixed"/>
        <w:tblInd w:w="700" w:type="dxa"/>
        <w:tblCellMar>
          <w:top w:w="0" w:type="dxa"/>
          <w:left w:w="0" w:type="dxa"/>
          <w:bottom w:w="0" w:type="dxa"/>
          <w:right w:w="0" w:type="dxa"/>
        </w:tblCellMar>
      </w:tblPr>
      <w:tr>
        <w:trPr>
          <w:trHeight w:val="161"/>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million, based on the assumed initial offering price of $</w:t>
            </w:r>
          </w:p>
        </w:tc>
        <w:tc>
          <w:tcPr>
            <w:tcW w:w="4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 share, which is the midpoint of the price range set forth on the</w:t>
            </w:r>
          </w:p>
        </w:tc>
      </w:tr>
      <w:tr>
        <w:trPr>
          <w:trHeight w:val="183"/>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of this prospectus, and excludes:</w:t>
            </w:r>
          </w:p>
        </w:tc>
        <w:tc>
          <w:tcPr>
            <w:tcW w:w="4220" w:type="dxa"/>
            <w:vAlign w:val="bottom"/>
          </w:tcPr>
          <w:p>
            <w:pPr>
              <w:spacing w:after="0"/>
              <w:rPr>
                <w:sz w:val="15"/>
                <w:szCs w:val="15"/>
                <w:color w:val="auto"/>
              </w:rPr>
            </w:pP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w w:val="99"/>
              </w:rPr>
              <w:t>shares of common stock issuable upon exercise of stock options outstanding as of March 31, 2026 under our 2016</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Employee, Director and Consultant Equity Incentive Plan, as amended (“2016 Plan”), with a weighted average exercise</w:t>
            </w:r>
          </w:p>
        </w:tc>
      </w:tr>
      <w:tr>
        <w:trPr>
          <w:trHeight w:val="183"/>
        </w:trPr>
        <w:tc>
          <w:tcPr>
            <w:tcW w:w="660" w:type="dxa"/>
            <w:vAlign w:val="bottom"/>
          </w:tcPr>
          <w:p>
            <w:pPr>
              <w:spacing w:after="0"/>
              <w:rPr>
                <w:sz w:val="15"/>
                <w:szCs w:val="15"/>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price of $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 share;</w:t>
            </w:r>
          </w:p>
        </w:tc>
        <w:tc>
          <w:tcPr>
            <w:tcW w:w="4220" w:type="dxa"/>
            <w:vAlign w:val="bottom"/>
          </w:tcPr>
          <w:p>
            <w:pPr>
              <w:spacing w:after="0"/>
              <w:rPr>
                <w:sz w:val="15"/>
                <w:szCs w:val="15"/>
                <w:color w:val="auto"/>
              </w:rPr>
            </w:pP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w w:val="99"/>
              </w:rPr>
              <w:t>shares of common stock issuable upon exercise of stock options outstanding as of March 31, 2026 under our 2026</w:t>
            </w:r>
          </w:p>
        </w:tc>
      </w:tr>
      <w:tr>
        <w:trPr>
          <w:trHeight w:val="183"/>
        </w:trPr>
        <w:tc>
          <w:tcPr>
            <w:tcW w:w="660" w:type="dxa"/>
            <w:vAlign w:val="bottom"/>
          </w:tcPr>
          <w:p>
            <w:pPr>
              <w:spacing w:after="0"/>
              <w:rPr>
                <w:sz w:val="15"/>
                <w:szCs w:val="15"/>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Stock Option and Grant Plan (“January 2026 Plan”), with a weighted average exercise price of $            per share;</w:t>
            </w: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shares of common stock issuable upon exercise of outstanding stock options granted after March 31, 2026</w:t>
            </w:r>
          </w:p>
        </w:tc>
      </w:tr>
      <w:tr>
        <w:trPr>
          <w:trHeight w:val="183"/>
        </w:trPr>
        <w:tc>
          <w:tcPr>
            <w:tcW w:w="660" w:type="dxa"/>
            <w:vAlign w:val="bottom"/>
          </w:tcPr>
          <w:p>
            <w:pPr>
              <w:spacing w:after="0"/>
              <w:rPr>
                <w:sz w:val="15"/>
                <w:szCs w:val="15"/>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pursuant to our January 2026 Plan, with a weighted average exercise price of $            per share;</w:t>
            </w: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shares of common stock reserved for future issuance as of March 31, 2026 under the January 2026 Plan, which</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will cease to be available for issuance at the time that our 2026 Stock Option and Incentive Plan (“2026 Plan”) becomes</w:t>
            </w:r>
          </w:p>
        </w:tc>
      </w:tr>
      <w:tr>
        <w:trPr>
          <w:trHeight w:val="183"/>
        </w:trPr>
        <w:tc>
          <w:tcPr>
            <w:tcW w:w="660" w:type="dxa"/>
            <w:vAlign w:val="bottom"/>
          </w:tcPr>
          <w:p>
            <w:pPr>
              <w:spacing w:after="0"/>
              <w:rPr>
                <w:sz w:val="15"/>
                <w:szCs w:val="15"/>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effective;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20" w:type="dxa"/>
            <w:vAlign w:val="bottom"/>
          </w:tcPr>
          <w:p>
            <w:pPr>
              <w:spacing w:after="0"/>
              <w:rPr>
                <w:sz w:val="15"/>
                <w:szCs w:val="15"/>
                <w:color w:val="auto"/>
              </w:rPr>
            </w:pP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our 2026 Employee Stock Purchase Plan (“ESPP”),</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which will become effective on the date immediately prior to the effectiveness of the registration statement of which this</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prospectus forms a part, as well as any automatic increases in the number of shares of common stock reserved for future</w:t>
            </w:r>
          </w:p>
        </w:tc>
      </w:tr>
      <w:tr>
        <w:trPr>
          <w:trHeight w:val="183"/>
        </w:trPr>
        <w:tc>
          <w:tcPr>
            <w:tcW w:w="660" w:type="dxa"/>
            <w:vAlign w:val="bottom"/>
          </w:tcPr>
          <w:p>
            <w:pPr>
              <w:spacing w:after="0"/>
              <w:rPr>
                <w:sz w:val="15"/>
                <w:szCs w:val="15"/>
                <w:color w:val="auto"/>
              </w:rPr>
            </w:pP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issuance under the ESPP;</w:t>
            </w:r>
          </w:p>
        </w:tc>
        <w:tc>
          <w:tcPr>
            <w:tcW w:w="4220" w:type="dxa"/>
            <w:vAlign w:val="bottom"/>
          </w:tcPr>
          <w:p>
            <w:pPr>
              <w:spacing w:after="0"/>
              <w:rPr>
                <w:sz w:val="15"/>
                <w:szCs w:val="15"/>
                <w:color w:val="auto"/>
              </w:rPr>
            </w:pP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become effective on the date immediately prior to the effectiveness of the registration statement of which this prospectus</w:t>
            </w:r>
          </w:p>
        </w:tc>
      </w:tr>
      <w:tr>
        <w:trPr>
          <w:trHeight w:val="168"/>
        </w:trPr>
        <w:tc>
          <w:tcPr>
            <w:tcW w:w="660" w:type="dxa"/>
            <w:vAlign w:val="bottom"/>
          </w:tcPr>
          <w:p>
            <w:pPr>
              <w:spacing w:after="0"/>
              <w:rPr>
                <w:sz w:val="14"/>
                <w:szCs w:val="14"/>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forms a part, as well as any shares underlying outstanding stock awards granted under the January 2026 Plan and 2016</w:t>
            </w:r>
          </w:p>
        </w:tc>
      </w:tr>
      <w:tr>
        <w:trPr>
          <w:trHeight w:val="183"/>
        </w:trPr>
        <w:tc>
          <w:tcPr>
            <w:tcW w:w="660" w:type="dxa"/>
            <w:vAlign w:val="bottom"/>
          </w:tcPr>
          <w:p>
            <w:pPr>
              <w:spacing w:after="0"/>
              <w:rPr>
                <w:sz w:val="15"/>
                <w:szCs w:val="15"/>
                <w:color w:val="auto"/>
              </w:rPr>
            </w:pPr>
          </w:p>
        </w:tc>
        <w:tc>
          <w:tcPr>
            <w:tcW w:w="694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Plan that expire or are repurchased, forfeited, cancelled, or withheld; and</w:t>
            </w:r>
          </w:p>
        </w:tc>
      </w:tr>
      <w:tr>
        <w:trPr>
          <w:trHeight w:val="238"/>
        </w:trPr>
        <w:tc>
          <w:tcPr>
            <w:tcW w:w="6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shares of our common stock issuable upon exercise of warrants outstanding as of March 31, 2026 at an exercise</w:t>
            </w:r>
          </w:p>
        </w:tc>
      </w:tr>
      <w:tr>
        <w:trPr>
          <w:trHeight w:val="183"/>
        </w:trPr>
        <w:tc>
          <w:tcPr>
            <w:tcW w:w="660" w:type="dxa"/>
            <w:vAlign w:val="bottom"/>
          </w:tcPr>
          <w:p>
            <w:pPr>
              <w:spacing w:after="0"/>
              <w:rPr>
                <w:sz w:val="15"/>
                <w:szCs w:val="15"/>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price of $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 share.</w:t>
            </w:r>
          </w:p>
        </w:tc>
        <w:tc>
          <w:tcPr>
            <w:tcW w:w="4220" w:type="dxa"/>
            <w:vAlign w:val="bottom"/>
          </w:tcPr>
          <w:p>
            <w:pPr>
              <w:spacing w:after="0"/>
              <w:rPr>
                <w:sz w:val="15"/>
                <w:szCs w:val="15"/>
                <w:color w:val="auto"/>
              </w:rPr>
            </w:pPr>
          </w:p>
        </w:tc>
      </w:tr>
    </w:tbl>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Unless otherwise indicated, the information in this prospectus reflects or assumes the following:</w:t>
      </w:r>
    </w:p>
    <w:p>
      <w:pPr>
        <w:spacing w:after="0" w:line="91" w:lineRule="exact"/>
        <w:rPr>
          <w:sz w:val="20"/>
          <w:szCs w:val="20"/>
          <w:color w:val="auto"/>
        </w:rPr>
      </w:pPr>
    </w:p>
    <w:tbl>
      <w:tblPr>
        <w:tblLayout w:type="fixed"/>
        <w:tblInd w:w="1220" w:type="dxa"/>
        <w:tblCellMar>
          <w:top w:w="0" w:type="dxa"/>
          <w:left w:w="0" w:type="dxa"/>
          <w:bottom w:w="0" w:type="dxa"/>
          <w:right w:w="0" w:type="dxa"/>
        </w:tblCellMar>
      </w:tblPr>
      <w:tr>
        <w:trPr>
          <w:trHeight w:val="16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a 1-for-          </w:t>
            </w: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reverse stock split of our common stock, which will become effective prior to the completion of this</w:t>
            </w:r>
          </w:p>
        </w:tc>
      </w:tr>
      <w:tr>
        <w:trPr>
          <w:trHeight w:val="183"/>
        </w:trPr>
        <w:tc>
          <w:tcPr>
            <w:tcW w:w="1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offering;</w:t>
            </w:r>
          </w:p>
        </w:tc>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8"/>
              </w:rPr>
              <w:t>the conversion of all outstanding shares of our convertible preferred stock into an aggregate of  </w:t>
            </w:r>
          </w:p>
        </w:tc>
        <w:tc>
          <w:tcPr>
            <w:tcW w:w="136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5"/>
              </w:rPr>
              <w:t>      shares of common</w:t>
            </w:r>
          </w:p>
        </w:tc>
      </w:tr>
      <w:tr>
        <w:trPr>
          <w:trHeight w:val="183"/>
        </w:trPr>
        <w:tc>
          <w:tcPr>
            <w:tcW w:w="1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and</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shares of non-voting common stock upon the closing of this offering;</w:t>
            </w:r>
          </w:p>
        </w:tc>
        <w:tc>
          <w:tcPr>
            <w:tcW w:w="1360" w:type="dxa"/>
            <w:vAlign w:val="bottom"/>
          </w:tcPr>
          <w:p>
            <w:pPr>
              <w:spacing w:after="0"/>
              <w:rPr>
                <w:sz w:val="15"/>
                <w:szCs w:val="15"/>
                <w:color w:val="auto"/>
              </w:rPr>
            </w:pP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9"/>
              </w:rPr>
              <w:t>the issuance of  </w:t>
            </w: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shares of common stock issuable upon the conversion of a SAFE, in the aggregate amount of</w:t>
            </w:r>
          </w:p>
        </w:tc>
      </w:tr>
      <w:tr>
        <w:trPr>
          <w:trHeight w:val="168"/>
        </w:trPr>
        <w:tc>
          <w:tcPr>
            <w:tcW w:w="140" w:type="dxa"/>
            <w:vAlign w:val="bottom"/>
          </w:tcPr>
          <w:p>
            <w:pPr>
              <w:spacing w:after="0"/>
              <w:rPr>
                <w:sz w:val="14"/>
                <w:szCs w:val="14"/>
                <w:color w:val="auto"/>
              </w:rPr>
            </w:pPr>
          </w:p>
        </w:tc>
        <w:tc>
          <w:tcPr>
            <w:tcW w:w="68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$50.0 million, based on the assumed initial offering price of $            per share, which is the midpoint of the price</w:t>
            </w:r>
          </w:p>
        </w:tc>
      </w:tr>
      <w:tr>
        <w:trPr>
          <w:trHeight w:val="183"/>
        </w:trPr>
        <w:tc>
          <w:tcPr>
            <w:tcW w:w="140" w:type="dxa"/>
            <w:vAlign w:val="bottom"/>
          </w:tcPr>
          <w:p>
            <w:pPr>
              <w:spacing w:after="0"/>
              <w:rPr>
                <w:sz w:val="15"/>
                <w:szCs w:val="15"/>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range set forth on the cover page of this prospectus;</w:t>
            </w:r>
          </w:p>
        </w:tc>
        <w:tc>
          <w:tcPr>
            <w:tcW w:w="1360" w:type="dxa"/>
            <w:vAlign w:val="bottom"/>
          </w:tcPr>
          <w:p>
            <w:pPr>
              <w:spacing w:after="0"/>
              <w:rPr>
                <w:sz w:val="15"/>
                <w:szCs w:val="15"/>
                <w:color w:val="auto"/>
              </w:rPr>
            </w:pP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issuance of</w:t>
            </w:r>
          </w:p>
        </w:tc>
        <w:tc>
          <w:tcPr>
            <w:tcW w:w="4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of our common stock (assuming an initial public offering price of $</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 share, the midpoint</w:t>
            </w:r>
          </w:p>
        </w:tc>
      </w:tr>
    </w:tbl>
    <w:p>
      <w:pPr>
        <w:ind w:left="1440" w:right="1039"/>
        <w:spacing w:after="0" w:line="261" w:lineRule="auto"/>
        <w:rPr>
          <w:sz w:val="20"/>
          <w:szCs w:val="20"/>
          <w:color w:val="auto"/>
        </w:rPr>
      </w:pPr>
      <w:r>
        <w:rPr>
          <w:rFonts w:ascii="Times New Roman" w:cs="Times New Roman" w:eastAsia="Times New Roman" w:hAnsi="Times New Roman"/>
          <w:sz w:val="14"/>
          <w:szCs w:val="14"/>
          <w:color w:val="auto"/>
        </w:rPr>
        <w:t>of the price range set forth on the cover page of this prospectus) in the concurrent private placement, which is to be completed concurrently with, and be contingent and conditioned upon consummation of, the closing of this offering;</w:t>
      </w:r>
    </w:p>
    <w:p>
      <w:pPr>
        <w:spacing w:after="0" w:line="56" w:lineRule="exact"/>
        <w:rPr>
          <w:sz w:val="20"/>
          <w:szCs w:val="20"/>
          <w:color w:val="auto"/>
        </w:rPr>
      </w:pPr>
    </w:p>
    <w:p>
      <w:pPr>
        <w:ind w:left="1440" w:hanging="217"/>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outstanding stock options or warrants described above after March 31, 2026;</w:t>
      </w:r>
    </w:p>
    <w:p>
      <w:pPr>
        <w:spacing w:after="0" w:line="91" w:lineRule="exact"/>
        <w:rPr>
          <w:sz w:val="20"/>
          <w:szCs w:val="20"/>
          <w:color w:val="auto"/>
        </w:rPr>
      </w:pPr>
    </w:p>
    <w:p>
      <w:pPr>
        <w:ind w:left="1440" w:right="739" w:hanging="219"/>
        <w:spacing w:after="0" w:line="283" w:lineRule="auto"/>
        <w:tabs>
          <w:tab w:leader="none" w:pos="1420" w:val="left"/>
        </w:tabs>
        <w:rPr>
          <w:sz w:val="20"/>
          <w:szCs w:val="20"/>
          <w:color w:val="auto"/>
        </w:rPr>
      </w:pPr>
      <w:r>
        <w:rPr>
          <w:rFonts w:ascii="Times New Roman" w:cs="Times New Roman" w:eastAsia="Times New Roman" w:hAnsi="Times New Roman"/>
          <w:sz w:val="14"/>
          <w:szCs w:val="14"/>
          <w:color w:val="auto"/>
        </w:rPr>
        <w:t>•</w:t>
        <w:tab/>
        <w:t>no exercise of the underwriters’ overallotment option to purchase up to        shares of common stock in this offering; and</w:t>
      </w:r>
    </w:p>
    <w:p>
      <w:pPr>
        <w:spacing w:after="0" w:line="41" w:lineRule="exact"/>
        <w:rPr>
          <w:sz w:val="20"/>
          <w:szCs w:val="20"/>
          <w:color w:val="auto"/>
        </w:rPr>
      </w:pPr>
    </w:p>
    <w:p>
      <w:pPr>
        <w:ind w:left="1440" w:right="819" w:hanging="217"/>
        <w:spacing w:after="0" w:line="26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and effectiveness of our seventh amended and restated certificate of incorporation immediately prior to the closing of this offering and the adoption of our amended and restated bylaws to be in effect upon the effectiveness of the registration statement of which this prospectus forms a part.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226060</wp:posOffset>
            </wp:positionV>
            <wp:extent cx="5026025" cy="6561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6025" cy="656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75" w:lineRule="exact"/>
        <w:rPr>
          <w:sz w:val="20"/>
          <w:szCs w:val="20"/>
          <w:color w:val="auto"/>
        </w:rPr>
      </w:pPr>
    </w:p>
    <w:p>
      <w:pPr>
        <w:ind w:left="700" w:right="71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tables set forth our summary consolidated statements of operations for the years ended December 31, 2024 and 2025 and for the three months ended March 31, 2025 and 2026 and our summary consolidated balance sheet data as of March 31, 2026. We have derived the summary consolidated statements of operations data for the years ended December 31, 2024 and 2025 from our audited consolidated financial statements included elsewhere in this prospectus. We have derived the summary consolidated statements of operations data for the three months ended March 31, 2025 and 2026 and the summary consolidated balance sheet data as of March 31, 2026 from our unaudited condensed consolidated financial statements included elsewhere in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may be expected for any period in the future and our results for the three months ended March 31, 2026 are not necessarily indicative of the results that may be expected for the year ending December 31, 2026.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64"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amounts)</w:t>
            </w: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346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3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159"/>
        </w:trPr>
        <w:tc>
          <w:tcPr>
            <w:tcW w:w="3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100,829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125,583</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33,905</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37,753</w:t>
            </w:r>
          </w:p>
        </w:tc>
        <w:tc>
          <w:tcPr>
            <w:tcW w:w="0" w:type="dxa"/>
            <w:vAlign w:val="bottom"/>
          </w:tcPr>
          <w:p>
            <w:pPr>
              <w:spacing w:after="0"/>
              <w:rPr>
                <w:sz w:val="1"/>
                <w:szCs w:val="1"/>
                <w:color w:val="auto"/>
              </w:rPr>
            </w:pPr>
          </w:p>
        </w:tc>
      </w:tr>
      <w:tr>
        <w:trPr>
          <w:trHeight w:val="168"/>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26,496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6,336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9,700</w:t>
            </w:r>
          </w:p>
        </w:tc>
        <w:tc>
          <w:tcPr>
            <w:tcW w:w="0" w:type="dxa"/>
            <w:vAlign w:val="bottom"/>
          </w:tcPr>
          <w:p>
            <w:pPr>
              <w:spacing w:after="0"/>
              <w:rPr>
                <w:sz w:val="1"/>
                <w:szCs w:val="1"/>
                <w:color w:val="auto"/>
              </w:rPr>
            </w:pPr>
          </w:p>
        </w:tc>
      </w:tr>
      <w:tr>
        <w:trPr>
          <w:trHeight w:val="159"/>
        </w:trPr>
        <w:tc>
          <w:tcPr>
            <w:tcW w:w="34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152,079</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47,453</w:t>
            </w:r>
          </w:p>
        </w:tc>
        <w:tc>
          <w:tcPr>
            <w:tcW w:w="0" w:type="dxa"/>
            <w:vAlign w:val="bottom"/>
          </w:tcPr>
          <w:p>
            <w:pPr>
              <w:spacing w:after="0"/>
              <w:rPr>
                <w:sz w:val="1"/>
                <w:szCs w:val="1"/>
                <w:color w:val="auto"/>
              </w:rPr>
            </w:pPr>
          </w:p>
        </w:tc>
      </w:tr>
      <w:tr>
        <w:trPr>
          <w:trHeight w:val="159"/>
        </w:trPr>
        <w:tc>
          <w:tcPr>
            <w:tcW w:w="34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(152,079)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(47,453)</w:t>
            </w:r>
          </w:p>
        </w:tc>
        <w:tc>
          <w:tcPr>
            <w:tcW w:w="0" w:type="dxa"/>
            <w:vAlign w:val="bottom"/>
          </w:tcPr>
          <w:p>
            <w:pPr>
              <w:spacing w:after="0"/>
              <w:rPr>
                <w:sz w:val="1"/>
                <w:szCs w:val="1"/>
                <w:color w:val="auto"/>
              </w:rPr>
            </w:pPr>
          </w:p>
        </w:tc>
      </w:tr>
      <w:tr>
        <w:trPr>
          <w:trHeight w:val="16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68"/>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68"/>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Sublease income - related party</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460" w:type="dxa"/>
            <w:vAlign w:val="bottom"/>
            <w:shd w:val="clear" w:color="auto" w:fill="CFF0FC"/>
          </w:tcPr>
          <w:p>
            <w:pPr>
              <w:ind w:left="140"/>
              <w:spacing w:after="0" w:line="153" w:lineRule="exact"/>
              <w:rPr>
                <w:sz w:val="20"/>
                <w:szCs w:val="20"/>
                <w:color w:val="auto"/>
              </w:rPr>
            </w:pPr>
            <w:r>
              <w:rPr>
                <w:rFonts w:ascii="Times New Roman" w:cs="Times New Roman" w:eastAsia="Times New Roman" w:hAnsi="Times New Roman"/>
                <w:sz w:val="14"/>
                <w:szCs w:val="14"/>
                <w:color w:val="auto"/>
              </w:rPr>
              <w:t>Change in fair value of preferred stock tranche right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liability</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34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other income, net</w:t>
            </w: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8,211</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6,190</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1,915</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159"/>
        </w:trPr>
        <w:tc>
          <w:tcPr>
            <w:tcW w:w="34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2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c>
          <w:tcPr>
            <w:tcW w:w="18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(38,326)</w:t>
            </w:r>
          </w:p>
        </w:tc>
        <w:tc>
          <w:tcPr>
            <w:tcW w:w="18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(45,316)</w:t>
            </w:r>
          </w:p>
        </w:tc>
        <w:tc>
          <w:tcPr>
            <w:tcW w:w="0" w:type="dxa"/>
            <w:vAlign w:val="bottom"/>
          </w:tcPr>
          <w:p>
            <w:pPr>
              <w:spacing w:after="0"/>
              <w:rPr>
                <w:sz w:val="1"/>
                <w:szCs w:val="1"/>
                <w:color w:val="auto"/>
              </w:rPr>
            </w:pPr>
          </w:p>
        </w:tc>
      </w:tr>
      <w:tr>
        <w:trPr>
          <w:trHeight w:val="159"/>
        </w:trPr>
        <w:tc>
          <w:tcPr>
            <w:tcW w:w="346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Cumulative dividends on convertible preferred stock</w:t>
            </w: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(34,581)</w:t>
            </w: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(41,044)</w:t>
            </w: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(9,781)</w:t>
            </w: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(17,689)</w:t>
            </w:r>
          </w:p>
        </w:tc>
        <w:tc>
          <w:tcPr>
            <w:tcW w:w="0" w:type="dxa"/>
            <w:vAlign w:val="bottom"/>
          </w:tcPr>
          <w:p>
            <w:pPr>
              <w:spacing w:after="0"/>
              <w:rPr>
                <w:sz w:val="1"/>
                <w:szCs w:val="1"/>
                <w:color w:val="auto"/>
              </w:rPr>
            </w:pPr>
          </w:p>
        </w:tc>
      </w:tr>
      <w:tr>
        <w:trPr>
          <w:trHeight w:val="153"/>
        </w:trPr>
        <w:tc>
          <w:tcPr>
            <w:tcW w:w="346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Deemed dividend upon down round of convertible</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172"/>
        </w:trPr>
        <w:tc>
          <w:tcPr>
            <w:tcW w:w="3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allocable to common stockholders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(161,481)</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(186,933)</w:t>
            </w:r>
          </w:p>
        </w:tc>
        <w:tc>
          <w:tcPr>
            <w:tcW w:w="180" w:type="dxa"/>
            <w:vAlign w:val="bottom"/>
            <w:gridSpan w:val="2"/>
            <w:shd w:val="clear" w:color="auto" w:fill="CFF0FC"/>
          </w:tcPr>
          <w:p>
            <w:pPr>
              <w:ind w:lef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(48,107)</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(70,880)</w:t>
            </w:r>
          </w:p>
        </w:tc>
        <w:tc>
          <w:tcPr>
            <w:tcW w:w="0" w:type="dxa"/>
            <w:vAlign w:val="bottom"/>
          </w:tcPr>
          <w:p>
            <w:pPr>
              <w:spacing w:after="0"/>
              <w:rPr>
                <w:sz w:val="1"/>
                <w:szCs w:val="1"/>
                <w:color w:val="auto"/>
              </w:rPr>
            </w:pPr>
          </w:p>
        </w:tc>
      </w:tr>
      <w:tr>
        <w:trPr>
          <w:trHeight w:val="109"/>
        </w:trPr>
        <w:tc>
          <w:tcPr>
            <w:tcW w:w="3460" w:type="dxa"/>
            <w:vAlign w:val="bottom"/>
            <w:tcBorders>
              <w:top w:val="single" w:sz="8" w:color="CFF0FC"/>
            </w:tcBorders>
          </w:tcPr>
          <w:p>
            <w:pPr>
              <w:spacing w:after="0" w:line="109" w:lineRule="exact"/>
              <w:rPr>
                <w:sz w:val="20"/>
                <w:szCs w:val="20"/>
                <w:color w:val="auto"/>
              </w:rPr>
            </w:pPr>
            <w:r>
              <w:rPr>
                <w:rFonts w:ascii="Times New Roman" w:cs="Times New Roman" w:eastAsia="Times New Roman" w:hAnsi="Times New Roman"/>
                <w:sz w:val="12"/>
                <w:szCs w:val="12"/>
                <w:color w:val="auto"/>
              </w:rPr>
              <w:t>Net loss per share allocable to common stockholders,</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100"/>
              <w:spacing w:after="0" w:line="189" w:lineRule="exact"/>
              <w:rPr>
                <w:sz w:val="20"/>
                <w:szCs w:val="20"/>
                <w:color w:val="auto"/>
              </w:rPr>
            </w:pPr>
            <w:r>
              <w:rPr>
                <w:rFonts w:ascii="Times New Roman" w:cs="Times New Roman" w:eastAsia="Times New Roman" w:hAnsi="Times New Roman"/>
                <w:sz w:val="14"/>
                <w:szCs w:val="14"/>
                <w:color w:val="auto"/>
              </w:rPr>
              <w:t>basic and diluted</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28"/>
        </w:trPr>
        <w:tc>
          <w:tcPr>
            <w:tcW w:w="34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Weighted average common shares outstanding, basic</w:t>
            </w: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2,976,690</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3,113,464</w:t>
            </w: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3,104,900</w:t>
            </w: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3,154,788</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CFF0FC"/>
            </w:tcBorders>
            <w:shd w:val="clear" w:color="auto" w:fill="CFF0FC"/>
          </w:tcPr>
          <w:p>
            <w:pPr>
              <w:ind w:left="100"/>
              <w:spacing w:after="0" w:line="167" w:lineRule="exact"/>
              <w:rPr>
                <w:sz w:val="20"/>
                <w:szCs w:val="20"/>
                <w:color w:val="auto"/>
              </w:rPr>
            </w:pPr>
            <w:r>
              <w:rPr>
                <w:rFonts w:ascii="Times New Roman" w:cs="Times New Roman" w:eastAsia="Times New Roman" w:hAnsi="Times New Roman"/>
                <w:sz w:val="14"/>
                <w:szCs w:val="14"/>
                <w:color w:val="auto"/>
              </w:rPr>
              <w:t>and diluted</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Times New Roman" w:cs="Times New Roman" w:eastAsia="Times New Roman" w:hAnsi="Times New Roman"/>
          <w:sz w:val="14"/>
          <w:szCs w:val="14"/>
          <w:color w:val="auto"/>
        </w:rPr>
        <w:t>Pro forma net loss per share allocable to common</w:t>
      </w:r>
    </w:p>
    <w:p>
      <w:pPr>
        <w:ind w:left="1200"/>
        <w:spacing w:after="0" w:line="204" w:lineRule="auto"/>
        <w:rPr>
          <w:sz w:val="20"/>
          <w:szCs w:val="20"/>
          <w:color w:val="auto"/>
        </w:rPr>
      </w:pPr>
      <w:r>
        <w:rPr>
          <w:rFonts w:ascii="Times New Roman" w:cs="Times New Roman" w:eastAsia="Times New Roman" w:hAnsi="Times New Roman"/>
          <w:sz w:val="14"/>
          <w:szCs w:val="14"/>
          <w:color w:val="auto"/>
        </w:rPr>
        <w:t>stockholders, basic and diluted (unaudited)</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Pro forma weighted average common shares outstanding,</w:t>
      </w:r>
    </w:p>
    <w:p>
      <w:pPr>
        <w:ind w:left="1200"/>
        <w:spacing w:after="0" w:line="219" w:lineRule="auto"/>
        <w:rPr>
          <w:sz w:val="20"/>
          <w:szCs w:val="20"/>
          <w:color w:val="auto"/>
        </w:rPr>
      </w:pPr>
      <w:r>
        <w:rPr>
          <w:rFonts w:ascii="Times New Roman" w:cs="Times New Roman" w:eastAsia="Times New Roman" w:hAnsi="Times New Roman"/>
          <w:sz w:val="14"/>
          <w:szCs w:val="14"/>
          <w:color w:val="auto"/>
        </w:rPr>
        <w:t>basic and diluted (unaudited)</w:t>
      </w:r>
      <w:r>
        <w:rPr>
          <w:rFonts w:ascii="Times New Roman" w:cs="Times New Roman" w:eastAsia="Times New Roman" w:hAnsi="Times New Roman"/>
          <w:sz w:val="18"/>
          <w:szCs w:val="18"/>
          <w:color w:val="auto"/>
          <w:vertAlign w:val="superscript"/>
        </w:rPr>
        <w:t>(2)</w:t>
      </w:r>
    </w:p>
    <w:p>
      <w:pPr>
        <w:spacing w:after="0" w:line="160" w:lineRule="exact"/>
        <w:rPr>
          <w:sz w:val="20"/>
          <w:szCs w:val="20"/>
          <w:color w:val="auto"/>
        </w:rPr>
      </w:pPr>
    </w:p>
    <w:p>
      <w:pPr>
        <w:ind w:left="1020" w:right="779" w:hanging="311"/>
        <w:spacing w:after="0" w:line="258"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2 and 16 to our audited consolidated financial statements and Notes 2 and 14 to our unaudited condensed consolidated financial statements included elsewhere in this prospectus for a description of the method used to calculate net loss per share allocable to common stockholders, basic and diluted.</w:t>
      </w:r>
    </w:p>
    <w:p>
      <w:pPr>
        <w:ind w:left="1020" w:right="719" w:hanging="311"/>
        <w:spacing w:after="0" w:line="253"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loss per share allocable to common stockholders, basic and diluted for the year ended December 31, 2025 and three months ended March 31, 2026 was calculated using the weighted average number of shares of common stock and non-voting common stock outstanding, including the pro forma effect of the conversion of all outstanding shares of our convertible preferred stock into shares of our common stock and non-voting common stock, and the conversion of our outstanding SAFE into shares of our common stock, as if such conversion had occurred as of January 1, 2025, based on the assumed initial offering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 w:name="page16"/>
    <w:bookmarkEnd w:id="1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226060</wp:posOffset>
            </wp:positionV>
            <wp:extent cx="5026025" cy="4979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6025" cy="497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020" w:right="779"/>
        <w:spacing w:after="0" w:line="267" w:lineRule="auto"/>
        <w:rPr>
          <w:sz w:val="20"/>
          <w:szCs w:val="20"/>
          <w:color w:val="auto"/>
        </w:rPr>
      </w:pPr>
      <w:r>
        <w:rPr>
          <w:rFonts w:ascii="Times New Roman" w:cs="Times New Roman" w:eastAsia="Times New Roman" w:hAnsi="Times New Roman"/>
          <w:sz w:val="14"/>
          <w:szCs w:val="14"/>
          <w:color w:val="auto"/>
        </w:rPr>
        <w:t>price of $ per share, which is the midpoint of the price range set forth on the cover page of this prospectus. Pro forma net loss per share allocable to common stockholders, basic and diluted does not include the effect of the shares expected to be sold in this offering and the concurrent private placement.</w:t>
      </w:r>
    </w:p>
    <w:p>
      <w:pPr>
        <w:spacing w:after="0" w:line="152" w:lineRule="exact"/>
        <w:rPr>
          <w:sz w:val="20"/>
          <w:szCs w:val="20"/>
          <w:color w:val="auto"/>
        </w:rPr>
      </w:pPr>
    </w:p>
    <w:tbl>
      <w:tblPr>
        <w:tblLayout w:type="fixed"/>
        <w:tblInd w:w="1480" w:type="dxa"/>
        <w:tblCellMar>
          <w:top w:w="0" w:type="dxa"/>
          <w:left w:w="0" w:type="dxa"/>
          <w:bottom w:w="0" w:type="dxa"/>
          <w:right w:w="0" w:type="dxa"/>
        </w:tblCellMar>
      </w:tblPr>
      <w:tr>
        <w:trPr>
          <w:trHeight w:val="135"/>
        </w:trPr>
        <w:tc>
          <w:tcPr>
            <w:tcW w:w="2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Pro Forma</w:t>
            </w:r>
            <w:r>
              <w:rPr>
                <w:rFonts w:ascii="Times New Roman" w:cs="Times New Roman" w:eastAsia="Times New Roman" w:hAnsi="Times New Roman"/>
                <w:sz w:val="15"/>
                <w:szCs w:val="15"/>
                <w:b w:val="1"/>
                <w:bCs w:val="1"/>
                <w:color w:val="auto"/>
                <w:w w:val="97"/>
                <w:vertAlign w:val="superscript"/>
              </w:rPr>
              <w:t>(1)</w:t>
            </w:r>
          </w:p>
        </w:tc>
        <w:tc>
          <w:tcPr>
            <w:tcW w:w="760" w:type="dxa"/>
            <w:vAlign w:val="bottom"/>
          </w:tcPr>
          <w:p>
            <w:pPr>
              <w:jc w:val="center"/>
              <w:ind w:right="30"/>
              <w:spacing w:after="0" w:line="85" w:lineRule="exact"/>
              <w:rPr>
                <w:sz w:val="20"/>
                <w:szCs w:val="20"/>
                <w:color w:val="auto"/>
              </w:rPr>
            </w:pPr>
            <w:r>
              <w:rPr>
                <w:rFonts w:ascii="Times New Roman" w:cs="Times New Roman" w:eastAsia="Times New Roman" w:hAnsi="Times New Roman"/>
                <w:sz w:val="9"/>
                <w:szCs w:val="9"/>
                <w:b w:val="1"/>
                <w:bCs w:val="1"/>
                <w:color w:val="auto"/>
              </w:rPr>
              <w:t>Pro Forma,</w:t>
            </w:r>
          </w:p>
        </w:tc>
        <w:tc>
          <w:tcPr>
            <w:tcW w:w="0" w:type="dxa"/>
            <w:vAlign w:val="bottom"/>
          </w:tcPr>
          <w:p>
            <w:pPr>
              <w:spacing w:after="0"/>
              <w:rPr>
                <w:sz w:val="1"/>
                <w:szCs w:val="1"/>
                <w:color w:val="auto"/>
              </w:rPr>
            </w:pPr>
          </w:p>
        </w:tc>
      </w:tr>
      <w:tr>
        <w:trPr>
          <w:trHeight w:val="137"/>
        </w:trPr>
        <w:tc>
          <w:tcPr>
            <w:tcW w:w="2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7"/>
              </w:rPr>
              <w:t>As Adjusted</w:t>
            </w:r>
            <w:r>
              <w:rPr>
                <w:rFonts w:ascii="Times New Roman" w:cs="Times New Roman" w:eastAsia="Times New Roman" w:hAnsi="Times New Roman"/>
                <w:sz w:val="15"/>
                <w:szCs w:val="15"/>
                <w:b w:val="1"/>
                <w:bCs w:val="1"/>
                <w:color w:val="auto"/>
                <w:w w:val="97"/>
                <w:vertAlign w:val="superscript"/>
              </w:rPr>
              <w:t>(2)</w:t>
            </w:r>
          </w:p>
        </w:tc>
        <w:tc>
          <w:tcPr>
            <w:tcW w:w="0" w:type="dxa"/>
            <w:vAlign w:val="bottom"/>
          </w:tcPr>
          <w:p>
            <w:pPr>
              <w:spacing w:after="0"/>
              <w:rPr>
                <w:sz w:val="1"/>
                <w:szCs w:val="1"/>
                <w:color w:val="auto"/>
              </w:rPr>
            </w:pPr>
          </w:p>
        </w:tc>
      </w:tr>
      <w:tr>
        <w:trPr>
          <w:trHeight w:val="159"/>
        </w:trPr>
        <w:tc>
          <w:tcPr>
            <w:tcW w:w="27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7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329,039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Working capital</w:t>
            </w:r>
            <w:r>
              <w:rPr>
                <w:rFonts w:ascii="Times New Roman" w:cs="Times New Roman" w:eastAsia="Times New Roman" w:hAnsi="Times New Roman"/>
                <w:sz w:val="18"/>
                <w:szCs w:val="18"/>
                <w:color w:val="auto"/>
                <w:vertAlign w:val="superscript"/>
              </w:rPr>
              <w:t>(3)</w:t>
            </w: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277,832</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384,173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814,540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(586,820)</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(570,320)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20" w:hanging="31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consolidated balance sheet data give effect to (i) the conversion of all outstanding shares of our convertible</w:t>
      </w:r>
    </w:p>
    <w:p>
      <w:pPr>
        <w:spacing w:after="0" w:line="152" w:lineRule="exact"/>
        <w:rPr>
          <w:sz w:val="20"/>
          <w:szCs w:val="20"/>
          <w:color w:val="auto"/>
        </w:rPr>
      </w:pPr>
    </w:p>
    <w:p>
      <w:pPr>
        <w:ind w:left="1020" w:right="859"/>
        <w:spacing w:after="0" w:line="261" w:lineRule="auto"/>
        <w:rPr>
          <w:sz w:val="20"/>
          <w:szCs w:val="20"/>
          <w:color w:val="auto"/>
        </w:rPr>
      </w:pPr>
      <w:r>
        <w:rPr>
          <w:rFonts w:ascii="Times New Roman" w:cs="Times New Roman" w:eastAsia="Times New Roman" w:hAnsi="Times New Roman"/>
          <w:sz w:val="14"/>
          <w:szCs w:val="14"/>
          <w:color w:val="auto"/>
        </w:rPr>
        <w:t>preferred stock into an aggregate of shares of our common stock and shares of non-voting common stock upon the closing of this offering, (ii) the conversion of our outstanding SAFE into shares of our common stock, based on the</w:t>
      </w:r>
    </w:p>
    <w:p>
      <w:pPr>
        <w:spacing w:after="0" w:line="1" w:lineRule="exact"/>
        <w:rPr>
          <w:sz w:val="20"/>
          <w:szCs w:val="20"/>
          <w:color w:val="auto"/>
        </w:rPr>
      </w:pPr>
    </w:p>
    <w:p>
      <w:pPr>
        <w:ind w:left="1020" w:right="1059"/>
        <w:spacing w:after="0" w:line="250" w:lineRule="auto"/>
        <w:rPr>
          <w:sz w:val="20"/>
          <w:szCs w:val="20"/>
          <w:color w:val="auto"/>
        </w:rPr>
      </w:pPr>
      <w:r>
        <w:rPr>
          <w:rFonts w:ascii="Times New Roman" w:cs="Times New Roman" w:eastAsia="Times New Roman" w:hAnsi="Times New Roman"/>
          <w:sz w:val="14"/>
          <w:szCs w:val="14"/>
          <w:color w:val="auto"/>
        </w:rPr>
        <w:t>assumed initial offering price of $ per share, which is the midpoint of the price range set forth on the cover page of this prospectus, and (iii) the filing and effectiveness of our seventh amended and restated certificate of incorporation, which will occur immediately prior to the closing of this offering.</w:t>
      </w:r>
    </w:p>
    <w:p>
      <w:pPr>
        <w:spacing w:after="0" w:line="2" w:lineRule="exact"/>
        <w:rPr>
          <w:sz w:val="20"/>
          <w:szCs w:val="20"/>
          <w:color w:val="auto"/>
        </w:rPr>
      </w:pPr>
    </w:p>
    <w:p>
      <w:pPr>
        <w:ind w:left="1020" w:hanging="31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consolidated balance sheet data give effect to (i) the pro forma adjustments set forth in footnote (1)</w:t>
      </w:r>
    </w:p>
    <w:p>
      <w:pPr>
        <w:spacing w:after="0" w:line="7" w:lineRule="exact"/>
        <w:rPr>
          <w:sz w:val="20"/>
          <w:szCs w:val="20"/>
          <w:color w:val="auto"/>
        </w:rPr>
      </w:pPr>
    </w:p>
    <w:p>
      <w:pPr>
        <w:ind w:left="1020"/>
        <w:spacing w:after="0"/>
        <w:tabs>
          <w:tab w:leader="none" w:pos="3380" w:val="left"/>
        </w:tabs>
        <w:rPr>
          <w:sz w:val="20"/>
          <w:szCs w:val="20"/>
          <w:color w:val="auto"/>
        </w:rPr>
      </w:pPr>
      <w:r>
        <w:rPr>
          <w:rFonts w:ascii="Times New Roman" w:cs="Times New Roman" w:eastAsia="Times New Roman" w:hAnsi="Times New Roman"/>
          <w:sz w:val="14"/>
          <w:szCs w:val="14"/>
          <w:color w:val="auto"/>
        </w:rPr>
        <w:t>above, (ii) the issuance and sale of</w:t>
      </w:r>
      <w:r>
        <w:rPr>
          <w:sz w:val="20"/>
          <w:szCs w:val="20"/>
          <w:color w:val="auto"/>
        </w:rPr>
        <w:tab/>
      </w:r>
      <w:r>
        <w:rPr>
          <w:rFonts w:ascii="Times New Roman" w:cs="Times New Roman" w:eastAsia="Times New Roman" w:hAnsi="Times New Roman"/>
          <w:sz w:val="14"/>
          <w:szCs w:val="14"/>
          <w:color w:val="auto"/>
        </w:rPr>
        <w:t>shares of our common stock in this offering at an assumed initial public offering price</w:t>
      </w:r>
    </w:p>
    <w:p>
      <w:pPr>
        <w:spacing w:after="0" w:line="7"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4"/>
          <w:szCs w:val="14"/>
          <w:color w:val="auto"/>
        </w:rPr>
        <w:t>of $</w:t>
        <w:tab/>
        <w:t>per share, which is the midpoint of the price range set forth on the cover page of this prospectus, after deducting</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underwriting discounts and commissions and estimated offering expenses payable by us and (iii) the issuance and sale of</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shares of common stock in a concurrent private placement at a price per share equal to 90% of the assumed initial public offering</w:t>
      </w:r>
    </w:p>
    <w:p>
      <w:pPr>
        <w:spacing w:after="0" w:line="19" w:lineRule="exact"/>
        <w:rPr>
          <w:sz w:val="20"/>
          <w:szCs w:val="20"/>
          <w:color w:val="auto"/>
        </w:rPr>
      </w:pPr>
    </w:p>
    <w:p>
      <w:pPr>
        <w:ind w:left="1020"/>
        <w:spacing w:after="0"/>
        <w:tabs>
          <w:tab w:leader="none" w:pos="4340" w:val="left"/>
        </w:tabs>
        <w:rPr>
          <w:sz w:val="20"/>
          <w:szCs w:val="20"/>
          <w:color w:val="auto"/>
        </w:rPr>
      </w:pPr>
      <w:r>
        <w:rPr>
          <w:rFonts w:ascii="Times New Roman" w:cs="Times New Roman" w:eastAsia="Times New Roman" w:hAnsi="Times New Roman"/>
          <w:sz w:val="14"/>
          <w:szCs w:val="14"/>
          <w:color w:val="auto"/>
        </w:rPr>
        <w:t>price per share of the shares offered in this offering, or $</w:t>
      </w:r>
      <w:r>
        <w:rPr>
          <w:sz w:val="20"/>
          <w:szCs w:val="20"/>
          <w:color w:val="auto"/>
        </w:rPr>
        <w:tab/>
      </w:r>
      <w:r>
        <w:rPr>
          <w:rFonts w:ascii="Times New Roman" w:cs="Times New Roman" w:eastAsia="Times New Roman" w:hAnsi="Times New Roman"/>
          <w:sz w:val="13"/>
          <w:szCs w:val="13"/>
          <w:color w:val="auto"/>
        </w:rPr>
        <w:t>, which is the midpoint of the price range set forth on the cover page</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of this prospectus, after deducting estimated private placement expenses payable by us. Pro forma as adjusted balance sheet data</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is illustrative only and will change based on the actual initial public offering price and other terms of this offering and the</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concurrent private placement determined at pricing. Each $1.00 increase or decrease, as applicable, in the assumed initial public</w:t>
      </w:r>
    </w:p>
    <w:p>
      <w:pPr>
        <w:spacing w:after="0" w:line="7" w:lineRule="exact"/>
        <w:rPr>
          <w:sz w:val="20"/>
          <w:szCs w:val="20"/>
          <w:color w:val="auto"/>
        </w:rPr>
      </w:pPr>
    </w:p>
    <w:p>
      <w:pPr>
        <w:ind w:left="1020" w:right="779"/>
        <w:spacing w:after="0" w:line="250" w:lineRule="auto"/>
        <w:rPr>
          <w:sz w:val="20"/>
          <w:szCs w:val="20"/>
          <w:color w:val="auto"/>
        </w:rPr>
      </w:pPr>
      <w:r>
        <w:rPr>
          <w:rFonts w:ascii="Times New Roman" w:cs="Times New Roman" w:eastAsia="Times New Roman" w:hAnsi="Times New Roman"/>
          <w:sz w:val="14"/>
          <w:szCs w:val="14"/>
          <w:color w:val="auto"/>
        </w:rPr>
        <w:t>offering price of $ per share, which is the midpoint of the price range set forth on the cover page of this prospectus, would increase or decrease, as applicable, the pro forma as adjusted amounts of each of our cash and cash equivalents, working capital, total assets and total stockholders’ (deficit) equity by approximately $ million, assuming that the number of shares offered by us, as set forth on the cover page of this prospectus, remains the same, and after deducting underwriting discounts and commissions and estimated expenses payable by us. Similarly, each increase or decrease, as applicable, of 1.0 million shares in the number of shares of common stock offered by us would increase or decrease, as applicable, the pro forma as adjusted amounts of each of our cash and cash equivalents, working capital, total assets and total stockholders’ (deficit) equity by approximately $ million, assuming no change in the assumed initial offering price per share, and after deducting underwriting discounts and commissions and estimated expenses payable by us.</w:t>
      </w:r>
    </w:p>
    <w:p>
      <w:pPr>
        <w:spacing w:after="0" w:line="5" w:lineRule="exact"/>
        <w:rPr>
          <w:sz w:val="20"/>
          <w:szCs w:val="20"/>
          <w:color w:val="auto"/>
        </w:rPr>
      </w:pPr>
    </w:p>
    <w:p>
      <w:pPr>
        <w:ind w:left="1020" w:right="759" w:hanging="311"/>
        <w:spacing w:after="0" w:line="261"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321945</wp:posOffset>
            </wp:positionV>
            <wp:extent cx="54857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Certain statements below are forward-looking statements. See the section titled “Special Note Regarding Forward-Looking Statements” appearing elsewhere in this prospectus.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Our Business, Financial Position, and Capital Needs</w:t>
      </w:r>
    </w:p>
    <w:p>
      <w:pPr>
        <w:spacing w:after="0" w:line="91" w:lineRule="exact"/>
        <w:rPr>
          <w:sz w:val="20"/>
          <w:szCs w:val="20"/>
          <w:color w:val="auto"/>
        </w:rPr>
      </w:pPr>
    </w:p>
    <w:p>
      <w:pPr>
        <w:ind w:left="720" w:right="11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39"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Since our inception in 2015, we have focused substantially all of our efforts and financial resources on developing our Helicon discovery platform and researching and developing programs and product candidates, including our lead product candidate, zolucatetide. All of our programs and product candidates are still in the research, preclinical development or clinical development stages. We have not yet demonstrated our ability to successfully initiate or complete Phase 3 or other pivotal clinical trials, obtain regulatory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spacing w:after="0" w:line="149"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for the foreseeable future. Biopharmaceutical product development is a highly speculative undertaking and involves a substantial degree of risk. If we do not address these risks and difficulties successfully, our business will suffer.</w:t>
      </w:r>
    </w:p>
    <w:p>
      <w:pPr>
        <w:spacing w:after="0" w:line="226" w:lineRule="exact"/>
        <w:rPr>
          <w:sz w:val="20"/>
          <w:szCs w:val="20"/>
          <w:color w:val="auto"/>
        </w:rPr>
      </w:pPr>
    </w:p>
    <w:p>
      <w:pPr>
        <w:ind w:left="720" w:right="7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Even if this offering and the concurrent private placement are completed, we will require substantial additional capital to finance our operations in the future. If we are unable to raise such capital when needed, or on acceptable terms, we may be forced to delay, reduce or eliminate programs, product candidates (including clinical trials), investment in our Helicon discovery platform, or future commercialization efforts.</w:t>
      </w:r>
    </w:p>
    <w:p>
      <w:pPr>
        <w:spacing w:after="0" w:line="56"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Developing biopharmaceutical products, including conducting preclinical studies and clinical trials, is a time-consuming, expensive and uncertain process that takes years to complete. We expect to spend substantial amounts to (i) continue our research and development activities, perform preclinical studies, and conduct clinical trials of our current and future programs and product candidates, (ii) continue to develop our Helicon discovery platform, (iii) seek regulatory approvals for our product candidates, including zolucatetide and (iv) launch and commercialize any product candidates for which we receive regulatory approval, including potentially building our own commercial sales, marketing, and distribution organization.</w:t>
      </w:r>
    </w:p>
    <w:p>
      <w:pPr>
        <w:spacing w:after="0" w:line="143"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As of March 31, 2026, we had approximately $329.0 million in cash and cash equivalents. In May 2026, we entered into a License and Collaboration Agreement with Regeneron (the “Regeneron Agreement”), and in connection therewith, we will receive a non-refundable upfront payment in the amount of $50.0 million. In addition, Regeneron has agreed to purchase $75.0 million of our common stock in the concurrent private placement. We estimate that the net proceeds from this offering will be approximately</w:t>
      </w:r>
    </w:p>
    <w:p>
      <w:pPr>
        <w:spacing w:after="0" w:line="1" w:lineRule="exact"/>
        <w:rPr>
          <w:sz w:val="20"/>
          <w:szCs w:val="20"/>
          <w:color w:val="auto"/>
        </w:rPr>
      </w:pPr>
    </w:p>
    <w:p>
      <w:pPr>
        <w:ind w:left="720" w:right="839"/>
        <w:spacing w:after="0" w:line="250" w:lineRule="auto"/>
        <w:rPr>
          <w:sz w:val="20"/>
          <w:szCs w:val="20"/>
          <w:color w:val="auto"/>
        </w:rPr>
      </w:pPr>
      <w:r>
        <w:rPr>
          <w:rFonts w:ascii="Times New Roman" w:cs="Times New Roman" w:eastAsia="Times New Roman" w:hAnsi="Times New Roman"/>
          <w:sz w:val="14"/>
          <w:szCs w:val="14"/>
          <w:color w:val="auto"/>
        </w:rPr>
        <w:t>$        million, based on an assumed initial public offering price of $        per share, which is the midpoint of the price range set forth on the cover of this prospectus, after deducting underwriting discounts and commissions and estimated offering expenses payable by us. In addition, we expect to receive an additional $ million in net proceeds from the sale of shares of our common stock in the concurrent private placement, after deducting estimated private placement expenses payable by us. We believe, based on our current operating plan, that the net proceeds from this offering and the concurrent private placement together with our existing cash and cash equivalents, and an upfront payment of $50.0 million we will receive from Regeneron, will be sufficient to fund our</w:t>
      </w:r>
    </w:p>
    <w:p>
      <w:pPr>
        <w:spacing w:after="0" w:line="3" w:lineRule="exact"/>
        <w:rPr>
          <w:sz w:val="20"/>
          <w:szCs w:val="20"/>
          <w:color w:val="auto"/>
        </w:rPr>
      </w:pPr>
    </w:p>
    <w:p>
      <w:pPr>
        <w:ind w:left="720" w:right="739"/>
        <w:spacing w:after="0" w:line="252" w:lineRule="auto"/>
        <w:rPr>
          <w:sz w:val="20"/>
          <w:szCs w:val="20"/>
          <w:color w:val="auto"/>
        </w:rPr>
      </w:pPr>
      <w:r>
        <w:rPr>
          <w:rFonts w:ascii="Times New Roman" w:cs="Times New Roman" w:eastAsia="Times New Roman" w:hAnsi="Times New Roman"/>
          <w:sz w:val="14"/>
          <w:szCs w:val="14"/>
          <w:color w:val="auto"/>
        </w:rPr>
        <w:t>operations through  . However, our operating plan may change as a result of many factors currently unknown to us, and we may need to seek additional funds sooner than planned, through public or private equity or debt financings, royalty financings, government or other third-party grants, asset sales, partnership, collaboration, or licensing arrangements, such as our collaboration with Regeneron Pharmaceuticals, Inc. (“Regeneron”), or a combination of these approaches. Even if we believe we have sufficient funds for our current or future operating plans, we may seek additional capital if market conditions are favorable or if we have specific strategic considerations. Our spending will vary based on new and ongoing research and development and corporate activities. Because the length of time and activities associated with research and development of our programs and product candidates are highly uncertain, we are unable to estimate the actual funds we will require for research, development, marketing, and commercialization activities. Our future funding requirements, both near and long term, will depend on many factors, including, but not limited to the:</w:t>
      </w:r>
    </w:p>
    <w:p>
      <w:pPr>
        <w:spacing w:after="0" w:line="62" w:lineRule="exact"/>
        <w:rPr>
          <w:sz w:val="20"/>
          <w:szCs w:val="20"/>
          <w:color w:val="auto"/>
        </w:rPr>
      </w:pPr>
    </w:p>
    <w:p>
      <w:pPr>
        <w:ind w:left="4440" w:right="2859" w:hanging="3206"/>
        <w:spacing w:after="0" w:line="534" w:lineRule="auto"/>
        <w:tabs>
          <w:tab w:leader="none" w:pos="14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programs that result in product candidates we choose to develop further;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236220</wp:posOffset>
            </wp:positionV>
            <wp:extent cx="54857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1119" w:hanging="246"/>
        <w:spacing w:after="0" w:line="283"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progress, timing, costs, and results of preclinical or nonclinical studies and clinical trials for our product candidates;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resources required to further develop our Helicon discovery platform;</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development plans we establish for our product candidates;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of any agreements with our current or future collaboration partners;</w:t>
      </w:r>
    </w:p>
    <w:p>
      <w:pPr>
        <w:spacing w:after="0" w:line="91" w:lineRule="exact"/>
        <w:rPr>
          <w:rFonts w:ascii="Times New Roman" w:cs="Times New Roman" w:eastAsia="Times New Roman" w:hAnsi="Times New Roman"/>
          <w:sz w:val="14"/>
          <w:szCs w:val="14"/>
          <w:color w:val="auto"/>
        </w:rPr>
      </w:pPr>
    </w:p>
    <w:p>
      <w:pPr>
        <w:ind w:left="1480" w:right="979" w:hanging="246"/>
        <w:spacing w:after="0" w:line="261"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outcome, timing, and cost of meeting regulatory requirements established by the U.S. Food and Drug Administration (the “FDA”), the Medicines and Healthcare products Regulatory Agency (the “MHRA”), the European Medicines Agency (the “EMA”), the Pharmaceuticals and Medical Devices Agency, and other comparable foreign regulatory authorities (collectively, the “Regulatory Authorities”);</w:t>
      </w:r>
    </w:p>
    <w:p>
      <w:pPr>
        <w:spacing w:after="0" w:line="56"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filing, prosecuting, maintaining, defending, and enforcing our patent claims and other intellectual property (“IP”) rights,</w:t>
      </w:r>
    </w:p>
    <w:p>
      <w:pPr>
        <w:spacing w:after="0" w:line="40" w:lineRule="exact"/>
        <w:rPr>
          <w:rFonts w:ascii="Times New Roman" w:cs="Times New Roman" w:eastAsia="Times New Roman" w:hAnsi="Times New Roman"/>
          <w:sz w:val="14"/>
          <w:szCs w:val="14"/>
          <w:color w:val="auto"/>
        </w:rPr>
      </w:pPr>
    </w:p>
    <w:p>
      <w:pPr>
        <w:ind w:left="1480" w:right="1019" w:hanging="246"/>
        <w:spacing w:after="0" w:line="283"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competing technological and market developments, including other products that may compete with one or more of our product candidates;</w:t>
      </w:r>
    </w:p>
    <w:p>
      <w:pPr>
        <w:spacing w:after="0" w:line="40"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and timing of completion and further expansion of clinical and commercial scale manufacturing activities sufficient to support all of our current and future product candidates; and</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establishing sales, marketing, and distribution capabilities for any product candidates for which we may receive marketing approval and reimbursement in regions where we choose to commercialize our products on our own.</w:t>
      </w:r>
    </w:p>
    <w:p>
      <w:pPr>
        <w:spacing w:after="0" w:line="125"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To date, we have financed our operations primarily with proceeds from sales of our convertible preferred stock, borrowings under a term loan and the issuance of a SAFE. In May 2026, we entered into the Regeneron Agreement with Regeneron, and in connection therewith, we will receive a non-refundable upfront payment in the amount of $50.0 million. In addition, Regeneron has agreed to purchase $75.0 million of our stock in the concurrent private placement.</w:t>
      </w:r>
    </w:p>
    <w:p>
      <w:pPr>
        <w:spacing w:after="0" w:line="14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We cannot be certain that additional funding will be available on favorable terms, or at all. Any fundraising efforts may divert our management from their day-to-day activities, which may adversely affect our ability to develop our programs, develop and, if approved, commercialize our product candidates, or develop our Helicon discovery platform. In addition, we cannot guarantee that future financing will be available in sufficient amounts, at the right time, on favorable terms, or at all. Among other possibilities, negative clinical trial data or setbacks, or perceived setbacks, in our programs or product candidates, or with respect to our Helicon discovery platform, could impair our ability to raise additional financing or grants, or our ability to enter into partnership, collaboration, and licensing arrangements, in each case, on favorable terms, or at all. Moreover, the terms of any equity or debt financing may adversely affect the holdings or the rights of our stockholders and the issuance of additional securities, or the possibility of such issuance, may cause the market price of our shares to decline. If we raise additional funds through public or private equity offerings, the terms of these securities may include liquidation or other preferences that may adversely affect our stockholders’ rights.</w:t>
      </w:r>
    </w:p>
    <w:p>
      <w:pPr>
        <w:spacing w:after="0" w:line="146"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Further, to the extent that we raise additional capital through the sale of common stock or securities convertible into or exchangeable for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 If we raise additional capital from third parties through public or private equity or debt financings, government or other third-party grants, asset sales, royalty financings, partnership, collaboration and licensing arrangements, or a combination of these approaches, we may have to relinquish certain valuable rights to our programs or product candidates, technologies, or future revenue streams. We also could be required to seek collaboration partners for one or more of our current or future programs and product candidates at an earlier stage than otherwise would be desirable or relinquish our rights to programs and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of one or more of our programs, the development and commercialization of one or more of our product candidates, if approved, or one or more of our other research and development initiatives. Any of the above events could significantly harm our business, prospects, financial condition, and results of operations, cause the price of our common stock to decline, and negatively impact our ability to fund operations.</w:t>
      </w:r>
    </w:p>
    <w:p>
      <w:pPr>
        <w:spacing w:after="0" w:line="147"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We may decide to collaborate for the future development and potential commercialization of our product candidates, and such collaborations may include funding for which we are responsible. However, we cannot guarantee that either we or any collaboration partners will have the available funds to fund the research and development activities contemplated by such agreements. If we determine to fund development or commercialization activities on our own, we will need to obtain additional capital, which may not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spacing w:after="0" w:line="283" w:lineRule="auto"/>
        <w:rPr>
          <w:sz w:val="20"/>
          <w:szCs w:val="20"/>
          <w:color w:val="auto"/>
        </w:rPr>
      </w:pPr>
      <w:r>
        <w:rPr>
          <w:rFonts w:ascii="Times New Roman" w:cs="Times New Roman" w:eastAsia="Times New Roman" w:hAnsi="Times New Roman"/>
          <w:sz w:val="14"/>
          <w:szCs w:val="14"/>
          <w:color w:val="auto"/>
        </w:rPr>
        <w:t>be available to us on acceptable terms or at all. If we do not have sufficient funds, we may not be able to further develop our programs and product candidates or bring them to market and generate product revenue.</w:t>
      </w:r>
    </w:p>
    <w:p>
      <w:pPr>
        <w:spacing w:after="0" w:line="207" w:lineRule="exact"/>
        <w:rPr>
          <w:sz w:val="20"/>
          <w:szCs w:val="20"/>
          <w:color w:val="auto"/>
        </w:rPr>
      </w:pPr>
    </w:p>
    <w:p>
      <w:pPr>
        <w:ind w:left="720" w:right="10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our inception and anticipate that we will continue to incur significant losses for the foreseeable future.</w:t>
      </w:r>
    </w:p>
    <w:p>
      <w:pPr>
        <w:spacing w:after="0" w:line="39"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from product sales. We will continue to incur significant research and development and other expenses related to our programs, product candidates, Helicon discovery platform, and ongoing operations. Net losses and negative cash flows have had, and will continue to have, an adverse effect on our stockholders’ equity (deficit) and working capital. We have incurred net losses in each year since our inception in 2015, including net losses of $117.9 million and $145.9 million for the years ended December 31, 2024 and 2025, respectively and $38.3 million and $45.3 million for the three months ended March 31, 2025 and 2026, respectively. As of March 31, 2026, we had an accumulated deficit of $586.8 million.</w:t>
      </w:r>
    </w:p>
    <w:p>
      <w:pPr>
        <w:spacing w:after="0" w:line="144"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We have devoted most of our financial resources to research and development, including our clinical and preclinical development activities and the development of our Helicon discovery platform. The amount of our future net losses will depend, in part, on the rate of our future expenditures and our ability to obtain funding, including through our licensing and collaboration arrangements. We have not initiated pivotal clinical trials for any of our product candidates, and it will be several years, if ever, before we or a collaboration partner have a product candidate ready for commercialization. Even if we or a collaboration partner obtain regulatory approval to market a product, our future revenues will depend upon the size of any markets in which such product have received approval, and our ability to achieve sufficient market acceptance, reimbursement from third-party payors, and adequate market share in those markets. We may never achieve profitability.</w:t>
      </w:r>
    </w:p>
    <w:p>
      <w:pPr>
        <w:spacing w:after="0" w:line="145"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We expect to continue to incur significant expenses and increasing operating losses for the foreseeable future. We anticipate that our expenses will increase substantially if and as we:</w:t>
      </w:r>
    </w:p>
    <w:p>
      <w:pPr>
        <w:spacing w:after="0" w:line="41" w:lineRule="exact"/>
        <w:rPr>
          <w:sz w:val="20"/>
          <w:szCs w:val="20"/>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the number of our research and development programs;</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our scope of research or development of our current programs and product candidates in preclinical development;</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the scope of our clinical trials for our product candidates;</w:t>
      </w:r>
    </w:p>
    <w:p>
      <w:pPr>
        <w:spacing w:after="0" w:line="91"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additional preclinical, clinical, or other studies or trials for our programs and product candidates, including pursuant to our licensing and collaboration arrangements;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or add additional manufacturers or suppliers, or create and scale internal manufacturing capabilities;</w:t>
      </w:r>
    </w:p>
    <w:p>
      <w:pPr>
        <w:spacing w:after="0" w:line="9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infrastructure to our quality control and quality assurance groups to support our operations as we progress our product candidates toward commercialization;</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personnel;</w:t>
      </w:r>
    </w:p>
    <w:p>
      <w:pPr>
        <w:spacing w:after="0" w:line="91"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additional infrastructure to support our operations as a public company and our product development and planned future commercialization efforts;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and reimbursement for our product candidates and products;</w:t>
      </w:r>
    </w:p>
    <w:p>
      <w:pPr>
        <w:spacing w:after="0" w:line="91" w:lineRule="exact"/>
        <w:rPr>
          <w:rFonts w:ascii="Times New Roman" w:cs="Times New Roman" w:eastAsia="Times New Roman" w:hAnsi="Times New Roman"/>
          <w:sz w:val="14"/>
          <w:szCs w:val="14"/>
          <w:color w:val="auto"/>
        </w:rPr>
      </w:pPr>
    </w:p>
    <w:p>
      <w:pPr>
        <w:ind w:left="1480" w:right="1059" w:hanging="246"/>
        <w:spacing w:after="0" w:line="283" w:lineRule="auto"/>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products for which we may obtain marketing approval;</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technologies;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under any in-license agreements;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75"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Biopharmaceutical product development entails substantial upfront capital expenditures and significant risk that any program or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carefully consider our prospects, factoring in the costs, uncertainties, delays, and difficulties frequently encountered by companies in clinical development, especially clinical-stage biotechnology companies such as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959"/>
        <w:spacing w:after="0" w:line="296" w:lineRule="auto"/>
        <w:rPr>
          <w:sz w:val="20"/>
          <w:szCs w:val="20"/>
          <w:color w:val="auto"/>
        </w:rPr>
      </w:pPr>
      <w:r>
        <w:rPr>
          <w:rFonts w:ascii="Times New Roman" w:cs="Times New Roman" w:eastAsia="Times New Roman" w:hAnsi="Times New Roman"/>
          <w:sz w:val="13"/>
          <w:szCs w:val="13"/>
          <w:color w:val="auto"/>
        </w:rPr>
        <w:t>ours. Any predictions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p>
    <w:p>
      <w:pPr>
        <w:spacing w:after="0" w:line="120"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Additionally, our expenses could increase beyond our expectations if we are required by any Regulatory Authorities to perform clinical trials in addition to those that we currently expect, or if there are any delays in the development of zolucatetide and our other product candidates, such as delays in completing clinical trials.</w:t>
      </w:r>
    </w:p>
    <w:p>
      <w:pPr>
        <w:spacing w:after="0" w:line="218" w:lineRule="exact"/>
        <w:rPr>
          <w:sz w:val="20"/>
          <w:szCs w:val="20"/>
          <w:color w:val="auto"/>
        </w:rPr>
      </w:pPr>
    </w:p>
    <w:p>
      <w:pPr>
        <w:ind w:left="72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the success of our product candidates, including zolucatetide, and our ongoing and anticipated trials may not be successful.</w:t>
      </w:r>
    </w:p>
    <w:p>
      <w:pPr>
        <w:spacing w:after="0" w:line="39"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Our future success is dependent on our ability to timely obtain marketing approval for, and then successfully commercialize, our product candidates, including zolucatetide. We are investing a majority of our financial resources into the research and development of our product candidates, including our clinical trial for zolucatetide for desmoid tumors and across additional indications. We may not be able to successfully develop or obtain regulatory approval for zolucatetide in any of these indications.</w:t>
      </w:r>
    </w:p>
    <w:p>
      <w:pPr>
        <w:spacing w:after="0" w:line="141"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product candidates before we receive marketing approval from the applicable Regulatory Authorities, and we may never receive such marketing approvals.</w:t>
      </w:r>
    </w:p>
    <w:p>
      <w:pPr>
        <w:spacing w:after="0" w:line="141"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of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commercializing zolucatetide or any other product candidate, or are significantly delayed in doing so, our business will be materially harmed.</w:t>
      </w:r>
    </w:p>
    <w:p>
      <w:pPr>
        <w:spacing w:after="0" w:line="226" w:lineRule="exact"/>
        <w:rPr>
          <w:sz w:val="20"/>
          <w:szCs w:val="20"/>
          <w:color w:val="auto"/>
        </w:rPr>
      </w:pPr>
    </w:p>
    <w:p>
      <w:pPr>
        <w:ind w:left="720" w:right="9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51" w:lineRule="exact"/>
        <w:rPr>
          <w:sz w:val="20"/>
          <w:szCs w:val="20"/>
          <w:color w:val="auto"/>
        </w:rPr>
      </w:pPr>
    </w:p>
    <w:p>
      <w:pPr>
        <w:jc w:val="both"/>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humans. </w:t>
      </w:r>
    </w:p>
    <w:p>
      <w:pPr>
        <w:spacing w:after="0" w:line="14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Even though there may be approved therapies to treat the conditions we are targeting, our product candidates are being developed to direct our therapies to a novel target, or to target a different binding site on a known target.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44"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Regulatory approval of novel product candidates such as ours can be more expensive, riskier, and take longer than for other, more well-known or extensively studied pharmaceutical or biopharmaceutical product candidates due to our and Regulatory Authorities’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Because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20" w:right="819"/>
        <w:spacing w:after="0" w:line="258" w:lineRule="auto"/>
        <w:rPr>
          <w:sz w:val="20"/>
          <w:szCs w:val="20"/>
          <w:color w:val="auto"/>
        </w:rPr>
      </w:pPr>
      <w:r>
        <w:rPr>
          <w:rFonts w:ascii="Times New Roman" w:cs="Times New Roman" w:eastAsia="Times New Roman" w:hAnsi="Times New Roman"/>
          <w:sz w:val="14"/>
          <w:szCs w:val="14"/>
          <w:color w:val="auto"/>
        </w:rPr>
        <w:t>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Because our product candidates are designed to target novel protein binding sites, we may be required to provide more preclinical and clinical data to demonstrate the potential of our product candidates. Any such events could adversely impact our business prospects, operating results, and financial condition.</w:t>
      </w:r>
    </w:p>
    <w:p>
      <w:pPr>
        <w:spacing w:after="0" w:line="226" w:lineRule="exact"/>
        <w:rPr>
          <w:sz w:val="20"/>
          <w:szCs w:val="20"/>
          <w:color w:val="auto"/>
        </w:rPr>
      </w:pPr>
    </w:p>
    <w:p>
      <w:pPr>
        <w:ind w:left="720" w:right="9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goals in the time frames we announce and expect, the commercialization of our product candidates may be delayed and, as a result, our stock price may decline.</w:t>
      </w:r>
    </w:p>
    <w:p>
      <w:pPr>
        <w:spacing w:after="0" w:line="39"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the submission of regulatory filings or commercialization objectives, such as the expected timing of a potential Phase 3 registrational trial of zolucatetide for the treatment of desmoid tumors or our submission of an Investigational New Drug (“IND”) application for any of our other product candidates. From time to time, we may publicly announce the expected timing of some of these milestones. All of these milestones are based on a variety of assumptions which, if not realized as expected, may cause the timing of achievement of the milestones to vary considerably from our estimates, in some cases for reasons beyond our control, including:</w:t>
      </w:r>
    </w:p>
    <w:p>
      <w:pPr>
        <w:spacing w:after="0" w:line="61" w:lineRule="exact"/>
        <w:rPr>
          <w:sz w:val="20"/>
          <w:szCs w:val="20"/>
          <w:color w:val="auto"/>
        </w:rPr>
      </w:pPr>
    </w:p>
    <w:p>
      <w:pPr>
        <w:ind w:left="1480" w:hanging="246"/>
        <w:spacing w:after="0"/>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capital resources or capital constraints we experience;</w:t>
      </w:r>
    </w:p>
    <w:p>
      <w:pPr>
        <w:spacing w:after="0" w:line="91"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40" w:lineRule="exact"/>
        <w:rPr>
          <w:rFonts w:ascii="Times New Roman" w:cs="Times New Roman" w:eastAsia="Times New Roman" w:hAnsi="Times New Roman"/>
          <w:sz w:val="14"/>
          <w:szCs w:val="14"/>
          <w:color w:val="auto"/>
        </w:rPr>
      </w:pPr>
    </w:p>
    <w:p>
      <w:pPr>
        <w:ind w:left="1480" w:right="839" w:hanging="246"/>
        <w:spacing w:after="0" w:line="267"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reliance on third-party contract research organizations (“CROs”) for the performance of certain research activities, including synthesis, biology, drug metabolism and pharmacokinetics (“DMPK”), toxicology, and other research activities for the discovery and development of products;</w:t>
      </w:r>
    </w:p>
    <w:p>
      <w:pPr>
        <w:spacing w:after="0" w:line="51" w:lineRule="exact"/>
        <w:rPr>
          <w:rFonts w:ascii="Times New Roman" w:cs="Times New Roman" w:eastAsia="Times New Roman" w:hAnsi="Times New Roman"/>
          <w:sz w:val="14"/>
          <w:szCs w:val="14"/>
          <w:color w:val="auto"/>
        </w:rPr>
      </w:pPr>
    </w:p>
    <w:p>
      <w:pPr>
        <w:ind w:left="1480" w:right="105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reliance on third-party CROs to engage, qualify, and prepare clinical trial sites, complete these trials successfully, in compliance with regulatory requirements, and on schedule;</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enroll patients who meet clinical trial eligibility criteria;</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of approvals by Regulatory Authorities and the timing thereof;</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actions, decisions, or rules issued by regulators;</w:t>
      </w:r>
    </w:p>
    <w:p>
      <w:pPr>
        <w:spacing w:after="0" w:line="91" w:lineRule="exact"/>
        <w:rPr>
          <w:rFonts w:ascii="Times New Roman" w:cs="Times New Roman" w:eastAsia="Times New Roman" w:hAnsi="Times New Roman"/>
          <w:sz w:val="14"/>
          <w:szCs w:val="14"/>
          <w:color w:val="auto"/>
        </w:rPr>
      </w:pPr>
    </w:p>
    <w:p>
      <w:pPr>
        <w:ind w:left="1480" w:right="141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reliance on third-party contract development and manufacturing organizations (“CDMOs”) to manufacture our product candidates;</w:t>
      </w:r>
    </w:p>
    <w:p>
      <w:pPr>
        <w:spacing w:after="0" w:line="40" w:lineRule="exact"/>
        <w:rPr>
          <w:rFonts w:ascii="Times New Roman" w:cs="Times New Roman" w:eastAsia="Times New Roman" w:hAnsi="Times New Roman"/>
          <w:sz w:val="14"/>
          <w:szCs w:val="14"/>
          <w:color w:val="auto"/>
        </w:rPr>
      </w:pPr>
    </w:p>
    <w:p>
      <w:pPr>
        <w:ind w:left="1480" w:right="125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CDMOs’ access to sufficient, reliable, and affordable supplies of materials used to manufacture our product candidates;</w:t>
      </w:r>
    </w:p>
    <w:p>
      <w:pPr>
        <w:spacing w:after="0" w:line="40" w:lineRule="exact"/>
        <w:rPr>
          <w:rFonts w:ascii="Times New Roman" w:cs="Times New Roman" w:eastAsia="Times New Roman" w:hAnsi="Times New Roman"/>
          <w:sz w:val="14"/>
          <w:szCs w:val="14"/>
          <w:color w:val="auto"/>
        </w:rPr>
      </w:pPr>
    </w:p>
    <w:p>
      <w:pPr>
        <w:ind w:left="1480" w:right="91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of any collaboration partners with respect to the development, manufacturing and commercialization of our product candidates; and</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securing of, costs related to, and timing issues associated with, product manufacturing as well as sales and marketing activities.</w:t>
      </w:r>
    </w:p>
    <w:p>
      <w:pPr>
        <w:spacing w:after="0" w:line="125"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Any inability to meet milestones as publicly announced, or at all, may delay the commercialization of our product candidates or result in commercialization never being achieved and, as a result, our stock price may decline. Additionally, delays relative to our projected timelines are likely to cause overall expenses to increase, which may require us to raise additional capital sooner than expected and potentially on less favorable terms and prior to achieving targeted development milestones, and may decrease the attractiveness of our product candidates relative to competitive products expected to be approved by the applicable Regulatory Authorities prior to our product candidates.</w:t>
      </w:r>
    </w:p>
    <w:p>
      <w:pPr>
        <w:spacing w:after="0" w:line="225" w:lineRule="exact"/>
        <w:rPr>
          <w:sz w:val="20"/>
          <w:szCs w:val="20"/>
          <w:color w:val="auto"/>
        </w:rPr>
      </w:pPr>
    </w:p>
    <w:p>
      <w:pPr>
        <w:ind w:left="720" w:right="7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51" w:lineRule="exact"/>
        <w:rPr>
          <w:sz w:val="20"/>
          <w:szCs w:val="20"/>
          <w:color w:val="auto"/>
        </w:rPr>
      </w:pPr>
    </w:p>
    <w:p>
      <w:pPr>
        <w:jc w:val="both"/>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prospectus:</w:t>
      </w:r>
    </w:p>
    <w:p>
      <w:pPr>
        <w:spacing w:after="0" w:line="51" w:lineRule="exact"/>
        <w:rPr>
          <w:sz w:val="20"/>
          <w:szCs w:val="20"/>
          <w:color w:val="auto"/>
        </w:rPr>
      </w:pPr>
    </w:p>
    <w:p>
      <w:pPr>
        <w:ind w:left="1480" w:hanging="246"/>
        <w:spacing w:after="0"/>
        <w:tabs>
          <w:tab w:leader="none" w:pos="1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develop promising programs;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failures in advancement of existing or future product candidates into the clinic or in clinical trials;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feasibility of developing, manufacturing, and commercializing our product candidates;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w:t>
      </w:r>
    </w:p>
    <w:p>
      <w:pPr>
        <w:spacing w:after="0" w:line="91"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outcomes of research programs, clinical trials, or other product development or approval processes conducted by us and any collaboration partners;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or successfully commercialize product candidates;</w:t>
      </w:r>
    </w:p>
    <w:p>
      <w:pPr>
        <w:spacing w:after="0" w:line="91" w:lineRule="exact"/>
        <w:rPr>
          <w:rFonts w:ascii="Times New Roman" w:cs="Times New Roman" w:eastAsia="Times New Roman" w:hAnsi="Times New Roman"/>
          <w:sz w:val="14"/>
          <w:szCs w:val="14"/>
          <w:color w:val="auto"/>
        </w:rPr>
      </w:pPr>
    </w:p>
    <w:p>
      <w:pPr>
        <w:ind w:left="1480" w:right="123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current or any future collaboration partners to develop and successfully commercialize product candidates;</w:t>
      </w:r>
    </w:p>
    <w:p>
      <w:pPr>
        <w:spacing w:after="0" w:line="40"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and any associated exclusivity terms, with any current or future collaboration partners, including Regeneron;</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or other obligations to provide resources to fund our programs and product candidates;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 in a net loss position for the foreseeable future;</w:t>
      </w:r>
    </w:p>
    <w:p>
      <w:pPr>
        <w:spacing w:after="0" w:line="91" w:lineRule="exact"/>
        <w:rPr>
          <w:rFonts w:ascii="Times New Roman" w:cs="Times New Roman" w:eastAsia="Times New Roman" w:hAnsi="Times New Roman"/>
          <w:sz w:val="14"/>
          <w:szCs w:val="14"/>
          <w:color w:val="auto"/>
        </w:rPr>
      </w:pPr>
    </w:p>
    <w:p>
      <w:pPr>
        <w:ind w:left="1480" w:right="101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international aspects of our business, including the conduct of clinical trials in international locations and potential commercialization in such locations, including in China;</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report our financial results in a timely manner;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and the need to attract and retain, key management and other personnel;</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protect, maintain, and enforce our IP rights;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the theft or misappropriation of our IP and know-how or proprietary technologies;</w:t>
      </w:r>
    </w:p>
    <w:p>
      <w:pPr>
        <w:spacing w:after="0" w:line="91" w:lineRule="exact"/>
        <w:rPr>
          <w:rFonts w:ascii="Times New Roman" w:cs="Times New Roman" w:eastAsia="Times New Roman" w:hAnsi="Times New Roman"/>
          <w:sz w:val="14"/>
          <w:szCs w:val="14"/>
          <w:color w:val="auto"/>
        </w:rPr>
      </w:pPr>
    </w:p>
    <w:p>
      <w:pPr>
        <w:ind w:left="1480" w:right="121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advantages that our competitors and potential competitors may have in securing funding, obtaining and maintaining the rights to critical IP, or developing competing technologies or products;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capital that may be necessary to expand our business;</w:t>
      </w:r>
    </w:p>
    <w:p>
      <w:pPr>
        <w:spacing w:after="0" w:line="91"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collaboration partners’ ability to obtain additional capital that may be necessary to develop programs and develop and commercialize product candidates pursuant to our partnership, collaboration, and licensing arrangements;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government regulation;</w:t>
      </w:r>
    </w:p>
    <w:p>
      <w:pPr>
        <w:spacing w:after="0" w:line="91" w:lineRule="exact"/>
        <w:rPr>
          <w:rFonts w:ascii="Times New Roman" w:cs="Times New Roman" w:eastAsia="Times New Roman" w:hAnsi="Times New Roman"/>
          <w:sz w:val="14"/>
          <w:szCs w:val="14"/>
          <w:color w:val="auto"/>
        </w:rPr>
      </w:pPr>
    </w:p>
    <w:p>
      <w:pPr>
        <w:ind w:left="1480" w:right="1099" w:hanging="246"/>
        <w:spacing w:after="0" w:line="283" w:lineRule="auto"/>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breaches and other business interruptions such as power outages, strikes, acts of terrorism, or natural disasters;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policy and our ability to use our net operating loss (“NOL”) carryforwards to offset future taxable income.</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Our term loan contains restrictive covenants that may impair our ability to conduct business.</w:t>
      </w:r>
    </w:p>
    <w:p>
      <w:pPr>
        <w:spacing w:after="0" w:line="93" w:lineRule="exact"/>
        <w:rPr>
          <w:sz w:val="20"/>
          <w:szCs w:val="20"/>
          <w:color w:val="auto"/>
        </w:rPr>
      </w:pPr>
    </w:p>
    <w:p>
      <w:pPr>
        <w:ind w:left="720" w:right="839" w:firstLine="343"/>
        <w:spacing w:after="0" w:line="254" w:lineRule="auto"/>
        <w:rPr>
          <w:sz w:val="20"/>
          <w:szCs w:val="20"/>
          <w:color w:val="auto"/>
        </w:rPr>
      </w:pPr>
      <w:r>
        <w:rPr>
          <w:rFonts w:ascii="Times New Roman" w:cs="Times New Roman" w:eastAsia="Times New Roman" w:hAnsi="Times New Roman"/>
          <w:sz w:val="14"/>
          <w:szCs w:val="14"/>
          <w:color w:val="auto"/>
        </w:rPr>
        <w:t>Our term loan with Silicon Valley Bank (“SVB”) contains a number of customary affirmative and negative covenants that, among other things, limit or restrict our ability to: sell assets; change our line of business; enter into mergers or consolidations; incur certain additional indebtedness; incur liens; pay dividends and make other distributions or payments in respect of capital stock; make certain investments; engage in certain transactions with affiliates; or become an investment company. As a result of these covenants and restrictions, we are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term loan and may impair our ability to conduct business. We may not be able to maintain compliance with these covenants in the future and, if we fail to do so, we may not be able to obtain a waiver from the lender or amend the covenants, which may adversely affect our financial condition.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the Research, Development, Regulatory Review, and Approval of Our Product Candidates</w:t>
      </w:r>
    </w:p>
    <w:p>
      <w:pPr>
        <w:spacing w:after="0" w:line="91" w:lineRule="exact"/>
        <w:rPr>
          <w:sz w:val="20"/>
          <w:szCs w:val="20"/>
          <w:color w:val="auto"/>
        </w:rPr>
      </w:pPr>
    </w:p>
    <w:p>
      <w:pPr>
        <w:ind w:left="720" w:right="8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 is inherently lengthy and uncertain. Preclinical and clinical trials of our product candidates may be delayed, and certain programs may never advance into or through the clinic or may be more costly to conduct than we anticipate, any of which would have a material adverse impact on our business.</w:t>
      </w:r>
    </w:p>
    <w:p>
      <w:pPr>
        <w:spacing w:after="0" w:line="51"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Preclinical and clinical testing is expensive and complex and can take many years to complete, and its outcome is inherently uncertain. We or our collaboration partner may not be able to initiate, may experience delays in, or may have to discontinue preclinical studies and clinical trials for our product candidates.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Before we can initiate clinical trials for a product candidate, we must first complete extensive preclinical studies, including IND-enabling good laboratory practices (“GLP”) toxicology testing, which support our planned INDs in the United States, or similar applications in other jurisdictions. We cannot be certain of the timely completion or outcome of our preclinical testing and studies. For example, while Regulatory Authorities like the FDA have signaled through draft guidance a movement away from animal testing for monoclonal antibodies, we have thus far depended on the availability of non-human primates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in NHPs or other laboratory animals occur in the future, this could significantly increase the costs of obtaining, or decrease the availability of, NHPs or other laboratory animals for our future preclinical studies if regulators continue to require NHP data, or we require other laboratory animals, to support our preclinical and clinical development programs. This could also result in delays in our development and approval timelines.</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We must also complete extensive work on Chemistry, Manufacturing and Controls (“CMC”) activities (including yield, purity, and stability data) to be included in any IND filing. CMC activities require extensive manufacturing processes and analytical development, which is uncertain and lengthy. For instance, batch failures have occurred and may occur in the future as we scale up our manufacturing. In addition, we may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w:t>
      </w:r>
    </w:p>
    <w:p>
      <w:pPr>
        <w:spacing w:after="0" w:line="143" w:lineRule="exact"/>
        <w:rPr>
          <w:sz w:val="20"/>
          <w:szCs w:val="20"/>
          <w:color w:val="auto"/>
        </w:rPr>
      </w:pPr>
    </w:p>
    <w:p>
      <w:pPr>
        <w:ind w:left="720" w:right="899" w:firstLine="343"/>
        <w:spacing w:after="0" w:line="258" w:lineRule="auto"/>
        <w:rPr>
          <w:sz w:val="20"/>
          <w:szCs w:val="20"/>
          <w:color w:val="auto"/>
        </w:rPr>
      </w:pPr>
      <w:r>
        <w:rPr>
          <w:rFonts w:ascii="Times New Roman" w:cs="Times New Roman" w:eastAsia="Times New Roman" w:hAnsi="Times New Roman"/>
          <w:sz w:val="14"/>
          <w:szCs w:val="14"/>
          <w:color w:val="auto"/>
        </w:rPr>
        <w:t>We cannot predict whether Regulatory Authorities will accept the results of our preclinical testing or our proposed clinical programs or whether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Regulatory Authorities allowing clinical trials to begin.</w:t>
      </w:r>
    </w:p>
    <w:p>
      <w:pPr>
        <w:spacing w:after="0" w:line="144" w:lineRule="exact"/>
        <w:rPr>
          <w:sz w:val="20"/>
          <w:szCs w:val="20"/>
          <w:color w:val="auto"/>
        </w:rPr>
      </w:pPr>
    </w:p>
    <w:p>
      <w:pPr>
        <w:ind w:left="720" w:right="779" w:firstLine="343"/>
        <w:spacing w:after="0" w:line="280" w:lineRule="auto"/>
        <w:rPr>
          <w:sz w:val="20"/>
          <w:szCs w:val="20"/>
          <w:color w:val="auto"/>
        </w:rPr>
      </w:pPr>
      <w:r>
        <w:rPr>
          <w:rFonts w:ascii="Times New Roman" w:cs="Times New Roman" w:eastAsia="Times New Roman" w:hAnsi="Times New Roman"/>
          <w:sz w:val="13"/>
          <w:szCs w:val="13"/>
          <w:color w:val="auto"/>
        </w:rPr>
        <w:t>Our failure to successfully initiate and complete clinical trials and to demonstrate the efficacy and safety necessary to obtain regulatory approval to market our product candidates would significantly harm our business. Our development costs will also increase if we experience delays in testing or obtaining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Regulatory Authorities may require us to submit additional data, such as long-term toxicology studies, or impose other requirements before permitting us to initiate a clinical trial.</w:t>
      </w:r>
    </w:p>
    <w:p>
      <w:pPr>
        <w:spacing w:after="0" w:line="131"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We or our collaboration partner also may experience numerous unforeseen events during, or as a result of, any clinical trials that we conduct, which could delay or prevent us or our collaboration partner from successfully developing our product candidates, including:</w:t>
      </w:r>
    </w:p>
    <w:p>
      <w:pPr>
        <w:spacing w:after="0" w:line="51" w:lineRule="exact"/>
        <w:rPr>
          <w:sz w:val="20"/>
          <w:szCs w:val="20"/>
          <w:color w:val="auto"/>
        </w:rPr>
      </w:pPr>
    </w:p>
    <w:p>
      <w:pPr>
        <w:ind w:left="1480" w:right="839" w:hanging="246"/>
        <w:spacing w:after="0" w:line="267"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institutional review boards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51" w:lineRule="exact"/>
        <w:rPr>
          <w:rFonts w:ascii="Times New Roman" w:cs="Times New Roman" w:eastAsia="Times New Roman" w:hAnsi="Times New Roman"/>
          <w:sz w:val="14"/>
          <w:szCs w:val="14"/>
          <w:color w:val="auto"/>
        </w:rPr>
      </w:pPr>
    </w:p>
    <w:p>
      <w:pPr>
        <w:ind w:left="1480" w:right="1019" w:hanging="246"/>
        <w:spacing w:after="0" w:line="267"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5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challenges in manufacturing sufficient quantities of our product candidates, or obtaining sufficient quantities of combination therapies for use in clinical trials;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challenges or delays in recruiting principal investigators or study sites to lead our clinical trials;</w:t>
      </w:r>
    </w:p>
    <w:p>
      <w:pPr>
        <w:spacing w:after="0" w:line="91" w:lineRule="exact"/>
        <w:rPr>
          <w:rFonts w:ascii="Times New Roman" w:cs="Times New Roman" w:eastAsia="Times New Roman" w:hAnsi="Times New Roman"/>
          <w:sz w:val="14"/>
          <w:szCs w:val="14"/>
          <w:color w:val="auto"/>
        </w:rPr>
      </w:pPr>
    </w:p>
    <w:p>
      <w:pPr>
        <w:ind w:left="1480" w:right="759" w:hanging="246"/>
        <w:spacing w:after="0" w:line="261"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56"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our preclinical studies and our early clinical trials may not be predictive of the success of later clinical trials, and interim results of a clinical trial do not necessarily predict final results;</w:t>
      </w:r>
    </w:p>
    <w:p>
      <w:pPr>
        <w:spacing w:after="0" w:line="40" w:lineRule="exact"/>
        <w:rPr>
          <w:rFonts w:ascii="Times New Roman" w:cs="Times New Roman" w:eastAsia="Times New Roman" w:hAnsi="Times New Roman"/>
          <w:sz w:val="14"/>
          <w:szCs w:val="14"/>
          <w:color w:val="auto"/>
        </w:rPr>
      </w:pPr>
    </w:p>
    <w:p>
      <w:pPr>
        <w:ind w:left="1480" w:right="879" w:hanging="246"/>
        <w:spacing w:after="0" w:line="267" w:lineRule="auto"/>
        <w:tabs>
          <w:tab w:leader="none" w:pos="1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or add additional cohorts to reflect changes in regulatory requirements or guidance, which may be required to resubmit to an IRB, ethics committee and Regulatory Authorities for re-examination;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480" w:right="799" w:hanging="246"/>
        <w:spacing w:after="0" w:line="267"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any product candidates may fail to show safety or efficacy, or produce negative or inconclusive results, and we may decide, or Regulatory Authorities may require us, to conduct additional nonclinical studies or clinical trials, or we may decide to abandon development programs;</w:t>
      </w:r>
    </w:p>
    <w:p>
      <w:pPr>
        <w:spacing w:after="0" w:line="51" w:lineRule="exact"/>
        <w:rPr>
          <w:rFonts w:ascii="Times New Roman" w:cs="Times New Roman" w:eastAsia="Times New Roman" w:hAnsi="Times New Roman"/>
          <w:sz w:val="14"/>
          <w:szCs w:val="14"/>
          <w:color w:val="auto"/>
        </w:rPr>
      </w:pPr>
    </w:p>
    <w:p>
      <w:pPr>
        <w:ind w:left="1480" w:right="739" w:hanging="246"/>
        <w:spacing w:after="0" w:line="267"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5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clinical trial design between early-stage clinical trials and later-stage clinical trials may make it difficult to extrapolate the results of earlier clinical trials to later clinical trials;</w:t>
      </w:r>
    </w:p>
    <w:p>
      <w:pPr>
        <w:spacing w:after="0" w:line="40" w:lineRule="exact"/>
        <w:rPr>
          <w:rFonts w:ascii="Times New Roman" w:cs="Times New Roman" w:eastAsia="Times New Roman" w:hAnsi="Times New Roman"/>
          <w:sz w:val="14"/>
          <w:szCs w:val="14"/>
          <w:color w:val="auto"/>
        </w:rPr>
      </w:pPr>
    </w:p>
    <w:p>
      <w:pPr>
        <w:ind w:left="1480" w:right="899" w:hanging="246"/>
        <w:spacing w:after="0" w:line="267"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51" w:lineRule="exact"/>
        <w:rPr>
          <w:rFonts w:ascii="Times New Roman" w:cs="Times New Roman" w:eastAsia="Times New Roman" w:hAnsi="Times New Roman"/>
          <w:sz w:val="14"/>
          <w:szCs w:val="14"/>
          <w:color w:val="auto"/>
        </w:rPr>
      </w:pPr>
    </w:p>
    <w:p>
      <w:pPr>
        <w:jc w:val="both"/>
        <w:ind w:left="1480" w:right="819" w:hanging="246"/>
        <w:spacing w:after="0" w:line="261"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or other reviewing bodies may find deficiencies with, fail to approve, or subsequently find fault with the manufacturing processes or facilities of our CDMOs, or the supply or quality of any product candidate or other materials necessary to conduct clinical trials of our product candidates may be insufficient, inadequate, or not available at an acceptable cost, or we may experience interruptions in supply;</w:t>
      </w:r>
    </w:p>
    <w:p>
      <w:pPr>
        <w:spacing w:after="0" w:line="56"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may have undesirable side effects or degradation products, any of which could lead to serious adverse events (“SAEs”) or other unexpected characteristics;</w:t>
      </w:r>
    </w:p>
    <w:p>
      <w:pPr>
        <w:spacing w:after="0" w:line="40" w:lineRule="exact"/>
        <w:rPr>
          <w:rFonts w:ascii="Times New Roman" w:cs="Times New Roman" w:eastAsia="Times New Roman" w:hAnsi="Times New Roman"/>
          <w:sz w:val="14"/>
          <w:szCs w:val="14"/>
          <w:color w:val="auto"/>
        </w:rPr>
      </w:pPr>
    </w:p>
    <w:p>
      <w:pPr>
        <w:ind w:left="1480" w:right="1219" w:hanging="246"/>
        <w:spacing w:after="0" w:line="283"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SAEs in trials of the same class of product candidates conducted by other companies that could be considered similar to our product candidates; and</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Regulatory Authorities to significantly change in a manner rendering our clinical data insufficient for approval.</w:t>
      </w:r>
    </w:p>
    <w:p>
      <w:pPr>
        <w:spacing w:after="0" w:line="125"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For example, we are developing a new formulation of zolucatetide in a self-administered injectable formulation (the “Injectable Formulation”) for ease of use. All patients in our current Phase 1/2 trial are dosed using an intravenous (“IV”) infusion presentation. We intend ultimately to transition to an Injectable Formulation that will be delivered through an autoinjector, a pre-filled syringe or an on-body device for ease of patient dosing and for what we believe will be a greater commercial opportunity. In March 2026, in our healthy volunteers trial to bridge IV to injectable formulations, we observed several injection site reactions (“ISRs”), all at low levels (Grade 1 and Grade 2) with a first generation formulation. Although we plan to continue working toward an Injectable Formulation, we intend to conduct a pivotal Phase 3 trial of zolucatetide in desmoid tumors initially using only the IV infusion presentation. We expect Regulatory Authorities will require us to conduct, among other things, pharmacokinetic (“PK”) compatibility studies to bridge the IV infusion presentation to these new planned injection presentations, human factors testing to support self-administration of zolucatetide, and potentially a separate Phase 2 trial to validate the equivalence of the current IV formulation to the Injectable Formulation. Any of these additional steps could delay marketing approval of zolucatetide in one or more formulations and jeopardize our ability to commence product sales and generate revenue from zolucatetide, if approved. There is no assurance that we will be successful in developing an Injectable Formulation or demonstrating the equivalence of any of these delivery methods in clinical trials, any other studies, or at all, and any failure would impede our development and commercialization strategy for zolucatetide.</w:t>
      </w:r>
    </w:p>
    <w:p>
      <w:pPr>
        <w:spacing w:after="0" w:line="147"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We could also encounter delays if a clinical trial is suspended or terminated by us or any Regulatory Authority, ethics committee or the IRBs of the institutions in which such trials are being conducted, or if such trial is recommended for suspension or termination by the Data Safety Monitoring Board (“DSMB”) for such trial. We may experience delays in gaining clearance from Regulatory Authorities to initiate clinical trials through the imposition of a clinical hold in order to address comments from such Regulatory Authorities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a Regulatory Authority, unforeseen safety issues or adverse side effects, failure to demonstrate a benefit or adequate benefit 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Further, conducting clinical trials in foreign countries, as we intend to do for zolucatetide and as we may in the future for our other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44" w:lineRule="exact"/>
        <w:rPr>
          <w:sz w:val="20"/>
          <w:szCs w:val="20"/>
          <w:color w:val="auto"/>
        </w:rPr>
      </w:pPr>
    </w:p>
    <w:p>
      <w:pPr>
        <w:ind w:left="720" w:right="999" w:firstLine="343"/>
        <w:spacing w:after="0" w:line="283" w:lineRule="auto"/>
        <w:rPr>
          <w:sz w:val="20"/>
          <w:szCs w:val="20"/>
          <w:color w:val="auto"/>
        </w:rPr>
      </w:pPr>
      <w:r>
        <w:rPr>
          <w:rFonts w:ascii="Times New Roman" w:cs="Times New Roman" w:eastAsia="Times New Roman" w:hAnsi="Times New Roman"/>
          <w:sz w:val="14"/>
          <w:szCs w:val="14"/>
          <w:color w:val="auto"/>
        </w:rPr>
        <w:t>In addition, our ability to access and use clinical trial data for ongoing trials and any new trials conducted in China will be highly dependent on acceptance and approvals from Human Genetic Resources Administration of China (“HGRAC”). There is no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spacing w:after="0" w:line="258" w:lineRule="auto"/>
        <w:rPr>
          <w:sz w:val="20"/>
          <w:szCs w:val="20"/>
          <w:color w:val="auto"/>
        </w:rPr>
      </w:pPr>
      <w:r>
        <w:rPr>
          <w:rFonts w:ascii="Times New Roman" w:cs="Times New Roman" w:eastAsia="Times New Roman" w:hAnsi="Times New Roman"/>
          <w:sz w:val="14"/>
          <w:szCs w:val="14"/>
          <w:color w:val="auto"/>
        </w:rPr>
        <w:t>guarantee that the HGRAC will not impede our ability to obtain and use clinical trial data for trials conducted in China in a timely manner or in a way that facilitates our use of such data. We intend to rely on our sites in China to provide us with significant data and other information related to our product candidates, including preclinical and clinical data. We may not be able to independently verify or audit all of such data (including possibly material portions thereof). As a result, such data may be inaccurate, misleading, or incomplete.</w:t>
      </w:r>
    </w:p>
    <w:p>
      <w:pPr>
        <w:spacing w:after="0" w:line="144"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Regulatory Authorities. A Regulatory Authority may conclude that a financial relationship between us and a principal investigator has created a conflict of interest or otherwise affected interpretation of the study. The Regulatory Authority may therefore question the integrity of the data generated at the applicable clinical trial site and the utility of the clinical trial itself may be jeopardized. This could result in a delay in approval, or rejection, of our marketing applications by the applicable Regulatory Authority, as the case may be, and may ultimately lead to the denial of regulatory approval of one or more of our product candidates.</w:t>
      </w:r>
    </w:p>
    <w:p>
      <w:pPr>
        <w:spacing w:after="0" w:line="144"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Significant clinical trial delays also could shorten any periods during which we may have the exclusive right to commercialize zolucatetide or any other product candidates or allow our competitors to bring products to market before we do and impair our ability to successfully commercialize our product candidates, which may harm our business, financial condition, results of operations, and growth prospects. In addition, many of the factors that cause, or lead to, delays of clinical trials may ultimately lead to the denial of regulatory approval of our product candidates. Any delays in the development of our product candidates may harm our business, financial condition, and prospects significantly.</w:t>
      </w:r>
    </w:p>
    <w:p>
      <w:pPr>
        <w:spacing w:after="0" w:line="225" w:lineRule="exact"/>
        <w:rPr>
          <w:sz w:val="20"/>
          <w:szCs w:val="20"/>
          <w:color w:val="auto"/>
        </w:rPr>
      </w:pPr>
    </w:p>
    <w:p>
      <w:pPr>
        <w:ind w:left="720" w:right="11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expect that in the future we will conduct clinical trials for product candidates outside the United States, and Regulatory Authorities may not accept data from such trials.</w:t>
      </w:r>
    </w:p>
    <w:p>
      <w:pPr>
        <w:spacing w:after="0" w:line="39"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We expect to conduct future clinical trials and arms of our clinical trials for our product candidates internationally in the future. The acceptance of data from clinical trials conducted outside the United States or another jurisdiction by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Regulatory Authorities will accept data from trials conducted outside of the United States or the applicable jurisdiction. If Regulatory Authorities do not accept such data, it would result in the need for additional trials, which could be costly and time-consuming, and which may result in any product candidates that we develop being delayed or not receiving approval for commercialization in the applicable jurisdiction. Additionally, recent policy proposals in the United States may make acceptance by the FDA or inclusion in a marketing application of foreign data more difficult or costly.</w:t>
      </w:r>
    </w:p>
    <w:p>
      <w:pPr>
        <w:spacing w:after="0" w:line="229" w:lineRule="exact"/>
        <w:rPr>
          <w:sz w:val="20"/>
          <w:szCs w:val="20"/>
          <w:color w:val="auto"/>
        </w:rPr>
      </w:pPr>
    </w:p>
    <w:p>
      <w:pPr>
        <w:jc w:val="both"/>
        <w:ind w:left="720" w:right="1179"/>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16"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 results observed from preclinical studies or early-stage clinical trials of zolucatetide or any other product candidates may not necessarily be predictive of the results of later-stage clinical trials that we conduct. Similarly, positive results from preclinical studies or early-stage clinical trials may not be replicated in our subsequent preclinical studies or clinical trials. For example, results seen in our Phase 1/2 clinical trial for zolucatetide in patients with desmoid tumors may not translate to similar results in our planned registrational Phase 3 trial or in other future clinical trials in patients with such tumors and may not be predictive of outcomes for zolucatetide in other indications. Furthermore, our product candidates may not be able to demonstrate similar activity or adverse event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or methods of delivery that have not been tested in prior clinical trials.</w:t>
      </w:r>
    </w:p>
    <w:p>
      <w:pPr>
        <w:spacing w:after="0" w:line="146"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There can be no assurance that any of our clinical trials will ultimately be successful or support further clinical development of zolucatetide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Additionally, we intend to utilize an “open-label” clinical trial design for certain of our clinical trials, and are currently using such design in our Phase 1/2 clinical trial of zolucatetide for the treatment of advanced solid tumors.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44"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approval from Regulatory Authorities.</w:t>
      </w:r>
    </w:p>
    <w:p>
      <w:pPr>
        <w:spacing w:after="0" w:line="218" w:lineRule="exact"/>
        <w:rPr>
          <w:sz w:val="20"/>
          <w:szCs w:val="20"/>
          <w:color w:val="auto"/>
        </w:rPr>
      </w:pPr>
    </w:p>
    <w:p>
      <w:pPr>
        <w:ind w:left="720" w:right="7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evaluate all data fully and carefully. As a result, the topline or preliminary results that we report may differ from future results of the same studies or trials, or different conclusions or considerations may qualify such results once additional data have been received and fully evaluated. Therefore, topline data should be viewed with caution until the final data are available.</w:t>
      </w:r>
    </w:p>
    <w:p>
      <w:pPr>
        <w:spacing w:after="0" w:line="144"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Similarly, we may disclose data from a small initial number of patients, or a single patient, in a particular indication as we continue to accrue data, and while initial data may be positive, the final data in a larger number of participants may not ultimately support further development in that indication. For example, we disclose elsewhere in this prospectus that, in our Phase 1/2 clinical trial studying desmoid tumor effect, administration with zolucatetide in two patients who also had Familial Adenomatous Polyposis (“FAP”) associated with desmoid tumor led to a significant improvement in duodenal polyp burden in these FAP patients including substantial reduction in polyp number and size. There can be no guarantee that these two patients will continue to show improvement or that we will see similar results in a well-controlled, multi-patient clinical trial designed to study zolucatetide for the treatment of FAP. Adverse differences between interim data and final data, and between limited data and more expanded data as it becomes available, could result in abandonment of a program or a product candidate and/or otherwise significantly harm our business prospects.</w:t>
      </w:r>
    </w:p>
    <w:p>
      <w:pPr>
        <w:spacing w:after="0" w:line="14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Further, others, including Regulatory Authorities, may not accept or agree with our assumptions, estimates, calculations, conclusions, study population size, safety database size, or interpretations of data or analyses or may interpret or weigh the importance of data differently, which could impact the value of the particular product candidate or the approvability or commercialization of the particular product candidate and could adversely affect the success of our business. In addition, the information we choose to publicly disclose regarding a particular study or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growth prospects. Further, disclosure of interim, topline, or preliminary data by us or by our competitors could result in volatility in the price of our common stock.</w:t>
      </w:r>
    </w:p>
    <w:p>
      <w:pPr>
        <w:spacing w:after="0" w:line="229" w:lineRule="exact"/>
        <w:rPr>
          <w:sz w:val="20"/>
          <w:szCs w:val="20"/>
          <w:color w:val="auto"/>
        </w:rPr>
      </w:pPr>
    </w:p>
    <w:p>
      <w:pPr>
        <w:ind w:left="720" w:right="8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identifying and enrolling participants in our clinical trials, including participants with the required or desired characteristics to achieve diversity in a trial, our clinical development activities could be delayed or otherwise adversely affected.</w:t>
      </w:r>
    </w:p>
    <w:p>
      <w:pPr>
        <w:spacing w:after="0" w:line="51"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We depend on enrollment of participants in our clinical trials for our product candidates. We may find it difficult to enroll trial participants in our clinical trials, which could delay or prevent clinical trials of our product candidates.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Delays or difficulties in enrollment may result in increased costs or otherwise affect the timing or outcome of the planned clinical trials, which could prevent completion of these trials and adversely affect our ability to advance the development of our product candidates, or result in termination of the clinical trials altogether. For example, in order to enroll a sufficient number of patients in our ongoing Phase 1/2 clinical trial for zolucatetide in patients with advanced solid tumors and our planned Phase 3 clinical trial in desmoid tumors, we plan to contract with one or more sites in Australia and China.</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Identifying and qualifying trial participants to participate in clinical trials of our product candidates is critical to our success. Patient and subject enrollment is affected by factors including: severity of the disease under investigation; complexity and design of the trial protocol; size of the targeted patient population; eligibility criteria for the trial in question; proximity and availability of clinical trial for the disease or condition under investigation; available sites for prospective trial participants; availability of competing therapies and clinical trials, including between our own clinical trials; efforts to facilitate timely enrollment in clinical trials; patient referral practices of physicians; ability to monitor trial participants adequately during and after treatment; ability to recruit clinical trial investigators with the appropriate competencies and experience; clinicians’ and trial participants’ perceptions as to the potential advantages and risks of the product candidate being studied in relation to other available therapies, including any new drugs or treatments that may be approved for the indications we are investigating; our ability to obtain and maintain participant informed consent; and the risk that trial participants enrolled in clinical trials will not complete a clinical trial.</w:t>
      </w:r>
    </w:p>
    <w:p>
      <w:pPr>
        <w:spacing w:after="0" w:line="146"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The timing of our clinical trials depends on the speed at which we can recruit trial participants to participate in testing our product candidates. If trial participants are unwilling to participate in our studies because of negative publicity from adverse events in our trials or other trials of similar products, or those related to specific therapeutic area, or for other reasons, including competitive clinical trials for similar patient populations, the timeline for recruiting trial participants, conducting studies, and obtaining regulatory approval of potential products may be delayed, which could also have significant commercial competitive impacts in the future.</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particular, our clinical trials will compete with other clinical trials for product candidates that are in the same therapeutic areas as our product candidates, and this competition may reduce the number and types of trial participants available to us, because some trial participants who might have opted to enroll in our trials may instead opt to enroll in a trial being conducted by a third party. Potential participants may elect to enroll in other clinical trials offering oral medications out of convenience, rather than participate in our clinical trials which provide for IV delivery of drug product. Since the number of qualified clinical investigators is limited, we expect to conduct some of our clinical trials at the same clinical trial sites that some of our competitors use, which may reduce the number of trial participants who are available for our clinical trials at such clinical trial sites. Additionally, if new product candidates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229" w:lineRule="exact"/>
        <w:rPr>
          <w:sz w:val="20"/>
          <w:szCs w:val="20"/>
          <w:color w:val="auto"/>
        </w:rPr>
      </w:pPr>
    </w:p>
    <w:p>
      <w:pPr>
        <w:jc w:val="both"/>
        <w:ind w:left="720" w:right="11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drug development and depending on our ability to access capital, we intend to prioritize the development of zolucatetide for desmoid tumors and other rare tumors. As a result, we may not focus on other indications or potential product candidates that may have been more profitable.</w:t>
      </w:r>
    </w:p>
    <w:p>
      <w:pPr>
        <w:spacing w:after="0" w:line="5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Due to the significant resources required for drug development, we must decide which indications to pursue and advance and the amount of resources to allocate to each product candidate. Our decisions concerning the allocation of research, development, collaboration, management, and financial resources toward particular indications may not lead to the development of viable commercial products and may divert resources away from better opportunities. For example, our current strategy is to pursue regulatory approval of zolucatetide for the treatment of desmoid tumors and to evaluate a potential label expansion into other types of rare tumors and other conditions. If we make incorrect determinations regarding the viability or market potential of zolucatetide, or misread trends in the biotechnology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our product candidates through collaboration, licensing, or royalty arrangements in cases in which it would have been advantageous for us to invest additional resources to retain sole development and commercialization rights.</w:t>
      </w:r>
    </w:p>
    <w:p>
      <w:pPr>
        <w:spacing w:after="0" w:line="232" w:lineRule="exact"/>
        <w:rPr>
          <w:sz w:val="20"/>
          <w:szCs w:val="20"/>
          <w:color w:val="auto"/>
        </w:rPr>
      </w:pPr>
    </w:p>
    <w:p>
      <w:pPr>
        <w:ind w:left="720" w:right="9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Regulatory approval processes are lengthy, time-consuming, and inherently unpredictable, and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51"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Any product candidate we may develop and the activities associated with its development and commercialization, including design, testing, manufacture, recordkeeping, labeling, storage, approval, advertising, promotion, sale, and distribution, are subject to</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39"/>
        <w:spacing w:after="0" w:line="257" w:lineRule="auto"/>
        <w:rPr>
          <w:sz w:val="20"/>
          <w:szCs w:val="20"/>
          <w:color w:val="auto"/>
        </w:rPr>
      </w:pPr>
      <w:r>
        <w:rPr>
          <w:rFonts w:ascii="Times New Roman" w:cs="Times New Roman" w:eastAsia="Times New Roman" w:hAnsi="Times New Roman"/>
          <w:sz w:val="14"/>
          <w:szCs w:val="14"/>
          <w:color w:val="auto"/>
        </w:rPr>
        <w:t>comprehensive regulation by Regulatory Authorities. To obtain the requisite regulatory approvals to commercialize any of our product candidates, we and any collaboration partners must demonstrate through extensive preclinical studies and clinical trials that our products are safe, pure and effective in humans, including the target population. Successful completion of clinical trials is a prerequisite to submitting a New Drug Application (“NDA”) to the FDA, a Marketing Authorization Application (“MAA”) to the EMA, and similar marketing applications to other Regulatory Authorities, for each product candidate and, consequently, the ultimate approval and commercial marketing of any product candidates.</w:t>
      </w:r>
    </w:p>
    <w:p>
      <w:pPr>
        <w:spacing w:after="0" w:line="143"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Clinical evaluation of investigational drugs is expensive, difficult to design and implement, can take many years to complete and is inherently uncertain as to outcome. Generally, two adequate and well-controlled Phase 3 clinical trials of a product candidate in the relevant patient population have been required by the FDA and other major Regulatory Authorities for approval of an NDA, although there are known exceptions, including in rare diseases and oncology. In February 2026, the FDA Commissioner publicly indicated that a single adequate and well-controlled pivotal clinical trial supported by confirmatory evidence will be the FDA’s default standard moving forward for novel products, rather than two such trials. This statement was not a formal agency action and the scope, implementation, and durability of this policy position remain uncertain. The FDA retains broad discretion to require additional clinical data for any product candidate, including a second adequate and well-controlled clinical trial.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Authorities or those that have been used for the approval of similar drugs, will be acceptable for future approvals. The clinical development of our product candidates is also susceptible to the risk of failure inherent at any stage of development, including failure to demonstrate purity, potency, or efficacy in a clinical trial or across a broad population of patients, the occurrence of adverse events that are severe or medically or commercially unacceptable, failure to comply with protocols or applicable regulatory requirements, and determination by Regulatory Authorities that a product candidate may not continue development or is not approvable. It is possible that even if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149" w:lineRule="exact"/>
        <w:rPr>
          <w:sz w:val="20"/>
          <w:szCs w:val="20"/>
          <w:color w:val="auto"/>
        </w:rPr>
      </w:pPr>
    </w:p>
    <w:p>
      <w:pPr>
        <w:ind w:left="720" w:right="979" w:firstLine="343"/>
        <w:spacing w:after="0" w:line="283" w:lineRule="auto"/>
        <w:rPr>
          <w:sz w:val="20"/>
          <w:szCs w:val="20"/>
          <w:color w:val="auto"/>
        </w:rPr>
      </w:pPr>
      <w:r>
        <w:rPr>
          <w:rFonts w:ascii="Times New Roman" w:cs="Times New Roman" w:eastAsia="Times New Roman" w:hAnsi="Times New Roman"/>
          <w:sz w:val="14"/>
          <w:szCs w:val="14"/>
          <w:color w:val="auto"/>
        </w:rPr>
        <w:t>Our product candidates could fail to receive regulatory approval, or regulatory approval could be delayed, for many reasons, including the following:</w:t>
      </w:r>
    </w:p>
    <w:p>
      <w:pPr>
        <w:spacing w:after="0" w:line="41" w:lineRule="exact"/>
        <w:rPr>
          <w:sz w:val="20"/>
          <w:szCs w:val="20"/>
          <w:color w:val="auto"/>
        </w:rPr>
      </w:pPr>
    </w:p>
    <w:p>
      <w:pPr>
        <w:ind w:left="1480" w:hanging="246"/>
        <w:spacing w:after="0"/>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disagree with the dosing regimen, clinical trial design, or conduct of our clinical trials;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91" w:lineRule="exact"/>
        <w:rPr>
          <w:rFonts w:ascii="Times New Roman" w:cs="Times New Roman" w:eastAsia="Times New Roman" w:hAnsi="Times New Roman"/>
          <w:sz w:val="14"/>
          <w:szCs w:val="14"/>
          <w:color w:val="auto"/>
        </w:rPr>
      </w:pPr>
    </w:p>
    <w:p>
      <w:pPr>
        <w:ind w:left="1480" w:right="115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Regulatory Authorities that a product candidate is safe and effective for any of its proposed indications;</w:t>
      </w:r>
    </w:p>
    <w:p>
      <w:pPr>
        <w:spacing w:after="0" w:line="40"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Regulatory Authorities for approval;</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disagree with our interpretation of data from clinical trials or preclinical studies;</w:t>
      </w:r>
    </w:p>
    <w:p>
      <w:pPr>
        <w:spacing w:after="0" w:line="91" w:lineRule="exact"/>
        <w:rPr>
          <w:rFonts w:ascii="Times New Roman" w:cs="Times New Roman" w:eastAsia="Times New Roman" w:hAnsi="Times New Roman"/>
          <w:sz w:val="14"/>
          <w:szCs w:val="14"/>
          <w:color w:val="auto"/>
        </w:rPr>
      </w:pPr>
    </w:p>
    <w:p>
      <w:pPr>
        <w:jc w:val="both"/>
        <w:ind w:left="1480" w:right="999" w:hanging="246"/>
        <w:spacing w:after="0" w:line="267"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to the FDA or other submission or to obtain regulatory approval in the United States, the European Union (the “EU”), or elsewhere;</w:t>
      </w:r>
    </w:p>
    <w:p>
      <w:pPr>
        <w:spacing w:after="0" w:line="51"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new formulation of a product candidate is equivalent to the formulation of an existing product candidate;</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not file or accept our NDA or marketing application for substantive review;</w:t>
      </w:r>
    </w:p>
    <w:p>
      <w:pPr>
        <w:spacing w:after="0" w:line="91" w:lineRule="exact"/>
        <w:rPr>
          <w:rFonts w:ascii="Times New Roman" w:cs="Times New Roman" w:eastAsia="Times New Roman" w:hAnsi="Times New Roman"/>
          <w:sz w:val="14"/>
          <w:szCs w:val="14"/>
          <w:color w:val="auto"/>
        </w:rPr>
      </w:pPr>
    </w:p>
    <w:p>
      <w:pPr>
        <w:ind w:left="1480" w:right="103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find deficiencies with or fail to approve the manufacturing processes or facilities of our CDMOs;</w:t>
      </w:r>
    </w:p>
    <w:p>
      <w:pPr>
        <w:spacing w:after="0" w:line="40"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staffing changes and backlogs at Regulatory Authorities may create unexpected delays in the review and approval of any applications we may submit;</w:t>
      </w:r>
    </w:p>
    <w:p>
      <w:pPr>
        <w:spacing w:after="0" w:line="40" w:lineRule="exact"/>
        <w:rPr>
          <w:rFonts w:ascii="Times New Roman" w:cs="Times New Roman" w:eastAsia="Times New Roman" w:hAnsi="Times New Roman"/>
          <w:sz w:val="14"/>
          <w:szCs w:val="14"/>
          <w:color w:val="auto"/>
        </w:rPr>
      </w:pPr>
    </w:p>
    <w:p>
      <w:pPr>
        <w:ind w:left="1480" w:right="1139" w:hanging="246"/>
        <w:spacing w:after="0" w:line="283" w:lineRule="auto"/>
        <w:tabs>
          <w:tab w:leader="none" w:pos="1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Regulatory Authorities may significantly change in a manner rendering our clinical data insufficient for approval;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hanging="246"/>
        <w:spacing w:after="0"/>
        <w:tabs>
          <w:tab w:leader="none" w:pos="1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or requirements to conduct post-marketing studies.</w:t>
      </w:r>
    </w:p>
    <w:p>
      <w:pPr>
        <w:spacing w:after="0" w:line="175"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Failure to obtain marketing approval for a product candidate in a jurisdiction will prevent us from commercializing the product candidate in that jurisdiction. We have not received approval to market any product candidates from Regulatory Authorities in any jurisdiction, and it is possible that none of our product candidates or any product candidates we may seek to develop in the future will ever obtain regulatory approval in any market. We have no experience as an organization in filing and supporting the applications necessary to gain marketing approvals and will need to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44"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The process of obtaining marketing approvals, both in the United States and abroad, is expensive, may take many years if additional clinical trials are required,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may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such delays may decrease the attractiveness of our product candidates relative to competitive products that are expected to be approved by the applicable Regulatory Authorities prior to our product candidates, and adversely affect our business.</w:t>
      </w:r>
    </w:p>
    <w:p>
      <w:pPr>
        <w:spacing w:after="0" w:line="147"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In addition, if our product candidates receive marketing approval, we will be subject to significant regulatory obligations to submit safety and other post-marketing information and reports, to register manufacturing facilities, and to comply (or ensure that our third-party providers comply) with current Good Manufacturing Practices (“cGMPs”) and Good Clinical Practices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lead to civil or criminal investigations and sanctions, and could adversely affect our business, financial condition, results of operations, and growth prospects.</w:t>
      </w:r>
    </w:p>
    <w:p>
      <w:pPr>
        <w:spacing w:after="0" w:line="145"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Regulatory Authorities also may approve a product candidate for fewer or more limited indications than requested or may grant approval subject to the performance of potentially costly post-marketing studies, may not approve the price we intend to charge for our product candidates, or may not approve the labeling claims that are necessary or desirable for the successful commercialization of our product candidates. Any of the foregoing scenarios could materially harm the commercial prospects for our product candidates.</w:t>
      </w:r>
    </w:p>
    <w:p>
      <w:pPr>
        <w:spacing w:after="0" w:line="141" w:lineRule="exact"/>
        <w:rPr>
          <w:sz w:val="20"/>
          <w:szCs w:val="20"/>
          <w:color w:val="auto"/>
        </w:rPr>
      </w:pPr>
    </w:p>
    <w:p>
      <w:pPr>
        <w:ind w:left="720" w:right="1019" w:firstLine="343"/>
        <w:spacing w:after="0" w:line="261" w:lineRule="auto"/>
        <w:rPr>
          <w:sz w:val="20"/>
          <w:szCs w:val="20"/>
          <w:color w:val="auto"/>
        </w:rPr>
      </w:pPr>
      <w:r>
        <w:rPr>
          <w:rFonts w:ascii="Times New Roman" w:cs="Times New Roman" w:eastAsia="Times New Roman" w:hAnsi="Times New Roman"/>
          <w:sz w:val="14"/>
          <w:szCs w:val="14"/>
          <w:color w:val="auto"/>
        </w:rPr>
        <w:t>Regulatory Authorities review the CMC section of regulatory filings. Any aspects found unsatisfactory by Regulatory Authorities may result in delays in clinical trials and commercialization. In addition, Regulatory Authorities conduct pre-approval inspections of clinical sites and manufacturing sites at the time of an NDA. Any findings by Regulatory Authorities and failure to comply with requirements may lead to delay in approval and failure to commercialize the product candidate.</w:t>
      </w:r>
    </w:p>
    <w:p>
      <w:pPr>
        <w:spacing w:after="0" w:line="223" w:lineRule="exact"/>
        <w:rPr>
          <w:sz w:val="20"/>
          <w:szCs w:val="20"/>
          <w:color w:val="auto"/>
        </w:rPr>
      </w:pPr>
    </w:p>
    <w:p>
      <w:pPr>
        <w:ind w:left="720" w:right="7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expand our development of zolucatetide into additional indications, or fail to develop and commercialize other product candidates, we may be unable to grow our business and our ability to achieve our strategic objectives would be impaired.</w:t>
      </w:r>
    </w:p>
    <w:p>
      <w:pPr>
        <w:spacing w:after="0" w:line="39"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Although we are initially focused on developing and commercializing zolucatetide for the treatment of desmoid tumors, we also plan to evaluate developing zolucatetide for the treatment of FAP, HCC and other rare solid tumors and related conditions. Expansion into new indications will require additional, time-consuming development efforts and significant additional expense prior to commercial sale, including preclinical studies, clinical trials and approval by Regulatory Authorities. All product candidates are prone to the risks of failure that are inherent in biopharmaceutical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11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in other jurisdictions.</w:t>
      </w:r>
    </w:p>
    <w:p>
      <w:pPr>
        <w:spacing w:after="0" w:line="39"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other Regulatory Authorities must also approve the manufacturing and marketing of the product candidate in non-U.S. jurisdictions. In order to eventually market any of our product candidates in any particular foreign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product testing and validation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49"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226" w:lineRule="exact"/>
        <w:rPr>
          <w:sz w:val="20"/>
          <w:szCs w:val="20"/>
          <w:color w:val="auto"/>
        </w:rPr>
      </w:pPr>
    </w:p>
    <w:p>
      <w:pPr>
        <w:ind w:left="720" w:right="8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current and future clinical trials may reveal significant adverse events or undesirable side effects not seen in our preclinical studies and may result in a safety profile that could halt clinical development, inhibit regulatory approval, limit commercial potential, or market acceptance of any of our product candidates.</w:t>
      </w:r>
    </w:p>
    <w:p>
      <w:pPr>
        <w:spacing w:after="0" w:line="51"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nonclinical studies and initial clinical trials. A number of companies in the biotechnology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Undesirable side effects caused by our product candidates, whether used alone or in combination with other therapies, could cause us or regulatory authorities to interrupt, delay or halt clinical trials and could result in a more restrictive label or the delay or denial of regulatory approval by Regulatory Authorities. We may observe unexpected and undesirable safety or tolerability issues with our product candidates in ongoing or future clinical trials. For example, in March 2026, in our healthy volunteers trial to bridge IV to injectable formulations, we paused dosing of participants with the initial Injectable Formulation due to several ISRs, all at low levels (Grade 1 and Grade 2).</w:t>
      </w:r>
    </w:p>
    <w:p>
      <w:pPr>
        <w:spacing w:after="0" w:line="143"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If significant adverse events or unacceptable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Regulatory Authorities, or an IRB,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and prospects.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99" w:firstLine="343"/>
        <w:spacing w:after="0" w:line="267" w:lineRule="auto"/>
        <w:rPr>
          <w:sz w:val="20"/>
          <w:szCs w:val="20"/>
          <w:color w:val="auto"/>
        </w:rPr>
      </w:pPr>
      <w:r>
        <w:rPr>
          <w:rFonts w:ascii="Times New Roman" w:cs="Times New Roman" w:eastAsia="Times New Roman" w:hAnsi="Times New Roman"/>
          <w:sz w:val="14"/>
          <w:szCs w:val="14"/>
          <w:color w:val="auto"/>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36"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spacing w:after="0" w:line="144"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If any of the foregoing events occur or if one or more of our product candidates prove to be unsafe, our entire pipeline or our Helicon discovery platform could be affected, which would have a material adverse effect on our business, financial condition, results of operations and prospects.</w:t>
      </w:r>
    </w:p>
    <w:p>
      <w:pPr>
        <w:spacing w:after="0" w:line="218" w:lineRule="exact"/>
        <w:rPr>
          <w:sz w:val="20"/>
          <w:szCs w:val="20"/>
          <w:color w:val="auto"/>
        </w:rPr>
      </w:pPr>
    </w:p>
    <w:p>
      <w:pPr>
        <w:jc w:val="both"/>
        <w:ind w:left="720" w:right="8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51"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Even 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For example, the holder of an approved NDA is obligated to monitor and report adverse events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agency may: issue a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NDA or supplements to a NDA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5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Regulatory Authorities for compliance with cGMP and adherence to commitments made in the NDA.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Regulatory Authorities approve any of our product candidates, we will have to comply with requirements including submissions of safety and other post-marketing information, reports and registration.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99" w:firstLine="343"/>
        <w:spacing w:after="0" w:line="256" w:lineRule="auto"/>
        <w:rPr>
          <w:sz w:val="20"/>
          <w:szCs w:val="20"/>
          <w:color w:val="auto"/>
        </w:rPr>
      </w:pPr>
      <w:r>
        <w:rPr>
          <w:rFonts w:ascii="Times New Roman" w:cs="Times New Roman" w:eastAsia="Times New Roman" w:hAnsi="Times New Roman"/>
          <w:sz w:val="14"/>
          <w:szCs w:val="14"/>
          <w:color w:val="auto"/>
        </w:rPr>
        <w:t>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p>
    <w:p>
      <w:pPr>
        <w:spacing w:after="0" w:line="59" w:lineRule="exact"/>
        <w:rPr>
          <w:sz w:val="20"/>
          <w:szCs w:val="20"/>
          <w:color w:val="auto"/>
        </w:rPr>
      </w:pPr>
    </w:p>
    <w:p>
      <w:pPr>
        <w:ind w:left="1480" w:right="839" w:hanging="246"/>
        <w:spacing w:after="0" w:line="283" w:lineRule="auto"/>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product recalls;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1"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Regulatory Authorities to approve pending applications or supplements to approved applications filed by us or suspension, variation or withdrawal of approvals;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detention or refusal to permit the import or export of our product candidates;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 distribution, manufacturing or clinical trials;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of licenses;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fines or the imposition of civil or criminal penalties.</w:t>
      </w:r>
    </w:p>
    <w:p>
      <w:pPr>
        <w:spacing w:after="0" w:line="175"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Additionally, Regulatory Authorities strictly regulate marketing, labeling, advertising and promotion of products that are placed on the market. Products may be promoted only for the approved indications and in accordance with the provisions of the approved label.</w:t>
      </w:r>
    </w:p>
    <w:p>
      <w:pPr>
        <w:spacing w:after="0" w:line="136" w:lineRule="exact"/>
        <w:rPr>
          <w:sz w:val="20"/>
          <w:szCs w:val="20"/>
          <w:color w:val="auto"/>
        </w:rPr>
      </w:pPr>
    </w:p>
    <w:p>
      <w:pPr>
        <w:ind w:left="720" w:right="899" w:firstLine="343"/>
        <w:spacing w:after="0" w:line="256" w:lineRule="auto"/>
        <w:rPr>
          <w:sz w:val="20"/>
          <w:szCs w:val="20"/>
          <w:color w:val="auto"/>
        </w:rPr>
      </w:pPr>
      <w:r>
        <w:rPr>
          <w:rFonts w:ascii="Times New Roman" w:cs="Times New Roman" w:eastAsia="Times New Roman" w:hAnsi="Times New Roman"/>
          <w:sz w:val="14"/>
          <w:szCs w:val="14"/>
          <w:color w:val="auto"/>
        </w:rPr>
        <w:t>The policies of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Authorities’ interpretations of ambiguous statutory language has introduced ongoing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w:t>
      </w:r>
      <w:r>
        <w:rPr>
          <w:rFonts w:ascii="Times New Roman" w:cs="Times New Roman" w:eastAsia="Times New Roman" w:hAnsi="Times New Roman"/>
          <w:sz w:val="14"/>
          <w:szCs w:val="14"/>
          <w:i w:val="1"/>
          <w:iCs w:val="1"/>
          <w:color w:val="auto"/>
        </w:rPr>
        <w:t>Business—Government Regulation.</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720" w:right="899" w:firstLine="343"/>
        <w:spacing w:after="0" w:line="267" w:lineRule="auto"/>
        <w:rPr>
          <w:sz w:val="20"/>
          <w:szCs w:val="20"/>
          <w:color w:val="auto"/>
        </w:rPr>
      </w:pPr>
      <w:r>
        <w:rPr>
          <w:rFonts w:ascii="Times New Roman" w:cs="Times New Roman" w:eastAsia="Times New Roman" w:hAnsi="Times New Roman"/>
          <w:sz w:val="14"/>
          <w:szCs w:val="14"/>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8" w:lineRule="exact"/>
        <w:rPr>
          <w:sz w:val="20"/>
          <w:szCs w:val="20"/>
          <w:color w:val="auto"/>
        </w:rPr>
      </w:pPr>
    </w:p>
    <w:p>
      <w:pPr>
        <w:ind w:left="720" w:right="8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may develop certain of our product candidates in combination with other therapies or as add-ons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spacing w:after="0" w:line="56"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We are currently evaluating zolucatetide in patients receiving standard-of-care chemotherapy and other agents, including in combination with FOLFOX plus bevacizumab, trifluridine/tipiracil plus bevacizumab, and nivolumab, for the treatment of CRC, and in combination with nivolumab for the treatment of solid tumors, to assess zolucatetide’s potential as part of combination regimens for the treatment of and reduction in tumors in CRC and other solid tumors. The use of our product candidates in combination with each other and/or in patients already receiving other companies’ treatments may subject us to risks that we would not face if our product candidates were to be administered as monotherapies.</w:t>
      </w:r>
    </w:p>
    <w:p>
      <w:pPr>
        <w:spacing w:after="0" w:line="143" w:lineRule="exact"/>
        <w:rPr>
          <w:sz w:val="20"/>
          <w:szCs w:val="20"/>
          <w:color w:val="auto"/>
        </w:rPr>
      </w:pPr>
    </w:p>
    <w:p>
      <w:pPr>
        <w:ind w:left="720" w:right="779" w:firstLine="343"/>
        <w:spacing w:after="0" w:line="274" w:lineRule="auto"/>
        <w:rPr>
          <w:sz w:val="20"/>
          <w:szCs w:val="20"/>
          <w:color w:val="auto"/>
        </w:rPr>
      </w:pPr>
      <w:r>
        <w:rPr>
          <w:rFonts w:ascii="Times New Roman" w:cs="Times New Roman" w:eastAsia="Times New Roman" w:hAnsi="Times New Roman"/>
          <w:sz w:val="13"/>
          <w:szCs w:val="13"/>
          <w:color w:val="auto"/>
        </w:rPr>
        <w:t>For example, either the combination of our product candidates with each other, or when used in patients already receiving other companies’ products or product candidates, may result in unexpected adverse side effects or toxicities that the product candidates or other therapy do not produce when used alone. In addition, the product candidates may interact with each other, or with other companies’ products or product candidates that patients receiving our product candidates may also be receiving, in undesirable ways that could negatively impact the potency or efficacy and safety of our product candidates, or of the other companies’ products or product candidates.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Regulatory Authorities, or IRBs and other reviewing entities, could interrupt, delay, or halt clinical trials and could result in a more restrictive label or particularly narrow product indication (substantially limiting the product’s commercial opportunities), a REMS or the delay or denial of regulatory approval by the FDA or comparable foreign regulatory authorities.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In addition, to the extent we choose to develop and commercialize a product candidate for use in patients receiving an already approved therapy, as is the case, in part, with zolucatetide,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or as further supportive care to the approved therapy. If the approved therapy is replaced as the standard of care, Regulatory Authorities may require us to conduct additional clinical trials, or we may not be able to obtain adequate reimbursement from third-party payors. Further, Regulatory Authorities could revoke approval of the therapy patients in our clinical trials are receiving. The occurrence of any of these risks could result in an add-on product candidate being developed as further supportive care, if successfully developed and approved, being removed from the market or being less successful commercially. If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spacing w:after="0" w:line="155" w:lineRule="exact"/>
        <w:rPr>
          <w:sz w:val="20"/>
          <w:szCs w:val="20"/>
          <w:color w:val="auto"/>
        </w:rPr>
      </w:pPr>
    </w:p>
    <w:p>
      <w:pPr>
        <w:ind w:left="720" w:right="1059" w:firstLine="343"/>
        <w:spacing w:after="0" w:line="267" w:lineRule="auto"/>
        <w:rPr>
          <w:sz w:val="20"/>
          <w:szCs w:val="20"/>
          <w:color w:val="auto"/>
        </w:rPr>
      </w:pPr>
      <w:r>
        <w:rPr>
          <w:rFonts w:ascii="Times New Roman" w:cs="Times New Roman" w:eastAsia="Times New Roman" w:hAnsi="Times New Roman"/>
          <w:sz w:val="14"/>
          <w:szCs w:val="14"/>
          <w:color w:val="auto"/>
        </w:rPr>
        <w:t>In addition, because zolucatetide is expected to be administered in combination with other therapies for certain indications, payors may assess the overall cost of the treatment regimen, not solely the cost or value proposition of our licensed product. Combination regimens are subject to heightened reimbursement risk, as payors may:</w:t>
      </w:r>
    </w:p>
    <w:p>
      <w:pPr>
        <w:spacing w:after="0" w:line="51" w:lineRule="exact"/>
        <w:rPr>
          <w:sz w:val="20"/>
          <w:szCs w:val="20"/>
          <w:color w:val="auto"/>
        </w:rPr>
      </w:pPr>
    </w:p>
    <w:p>
      <w:pPr>
        <w:ind w:left="1480" w:hanging="246"/>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to cover the full regimen based on the aggregated cost of the component therapies;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step-through use of lower-cost or single-agent treatments before approving the combination;</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 the combination to a more restrictive formulary tier, resulting in higher patient cost-sharing or reduced utilization;</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prior authorization, clinical criteria or other restrictions that limit prescribing; or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price concessions with us based on the cost structure or formulary status of the companion therapy.</w:t>
      </w:r>
    </w:p>
    <w:p>
      <w:pPr>
        <w:spacing w:after="0" w:line="175" w:lineRule="exact"/>
        <w:rPr>
          <w:sz w:val="20"/>
          <w:szCs w:val="20"/>
          <w:color w:val="auto"/>
        </w:rPr>
      </w:pPr>
    </w:p>
    <w:p>
      <w:pPr>
        <w:ind w:left="720" w:right="839" w:firstLine="343"/>
        <w:spacing w:after="0" w:line="257" w:lineRule="auto"/>
        <w:rPr>
          <w:sz w:val="20"/>
          <w:szCs w:val="20"/>
          <w:color w:val="auto"/>
        </w:rPr>
      </w:pPr>
      <w:r>
        <w:rPr>
          <w:rFonts w:ascii="Times New Roman" w:cs="Times New Roman" w:eastAsia="Times New Roman" w:hAnsi="Times New Roman"/>
          <w:sz w:val="14"/>
          <w:szCs w:val="14"/>
          <w:color w:val="auto"/>
        </w:rPr>
        <w:t>Even if our product candidate demonstrates clinical benefit as part of a combination regimen, payors may determine that the incremental value is insufficient to justify the overall cost and may refuse to reimburse at levels that are acceptable to us or that support commercial viability. In addition, we do not control the pricing, contracting strategy or reimbursement profile of the companion therapy, which may change over time and adversely impact the attractiveness or economics of the combination. If coverage for the companion therapy is reduced, withdrawn, or made more restrictive, the value proposition for our product candidate could be materially weakened.</w:t>
      </w:r>
    </w:p>
    <w:p>
      <w:pPr>
        <w:spacing w:after="0" w:line="225" w:lineRule="exact"/>
        <w:rPr>
          <w:sz w:val="20"/>
          <w:szCs w:val="20"/>
          <w:color w:val="auto"/>
        </w:rPr>
      </w:pPr>
    </w:p>
    <w:p>
      <w:pPr>
        <w:ind w:left="720" w:right="7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have received Fast Track Designation for zolucatetide in desmoid tumors, and we may in the future seek additional designations for our product candidates with Regulatory Authorities that are intended to confer benefits such as a faster development process, a streamlined review or regulatory exclusivity. There can be no assurance that we will successfully obtain additional designations, and even where our product candidates have been or are granted such designations, we may not be able to realize the intended benefits of such designations.</w:t>
      </w:r>
    </w:p>
    <w:p>
      <w:pPr>
        <w:spacing w:after="0" w:line="58" w:lineRule="exact"/>
        <w:rPr>
          <w:sz w:val="20"/>
          <w:szCs w:val="20"/>
          <w:color w:val="auto"/>
        </w:rPr>
      </w:pPr>
    </w:p>
    <w:p>
      <w:pPr>
        <w:ind w:left="720" w:right="959" w:firstLine="343"/>
        <w:spacing w:after="0" w:line="256" w:lineRule="auto"/>
        <w:rPr>
          <w:sz w:val="20"/>
          <w:szCs w:val="20"/>
          <w:color w:val="auto"/>
        </w:rPr>
      </w:pPr>
      <w:r>
        <w:rPr>
          <w:rFonts w:ascii="Times New Roman" w:cs="Times New Roman" w:eastAsia="Times New Roman" w:hAnsi="Times New Roman"/>
          <w:sz w:val="14"/>
          <w:szCs w:val="14"/>
          <w:color w:val="auto"/>
        </w:rPr>
        <w:t>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However, there can be no assurance that we will successfully obtain such designations for our product candidates, and if we do successfully obtain such designations, that a Regulatory Authority will not revoke such designation.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44"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For example, if a product is intended for the treatment of a serious or life-threatening condition and preclinical or clinical data demonstrate the potential to address an unmet medical need for this condition, the product sponsor may apply for Fast Track Designation from the FDA.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 The FDA has broad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spacing w:after="0" w:line="257" w:lineRule="auto"/>
        <w:rPr>
          <w:sz w:val="20"/>
          <w:szCs w:val="20"/>
          <w:color w:val="auto"/>
        </w:rPr>
      </w:pPr>
      <w:r>
        <w:rPr>
          <w:rFonts w:ascii="Times New Roman" w:cs="Times New Roman" w:eastAsia="Times New Roman" w:hAnsi="Times New Roman"/>
          <w:sz w:val="14"/>
          <w:szCs w:val="14"/>
          <w:color w:val="auto"/>
        </w:rPr>
        <w:t>discretion whether or not to grant this designation, so even if we believe a particular product candidate is eligible for this designation, there can be no assurance that the FDA would decide to grant it. In November 2025, we obtained Fast Track Designation for zolucatetide in desmoid tumors, and we may seek additional designation for our current and future product candidates. Even where we have received and may in the future receive Fast Track Designation, we may not experience a faster development process, review or approval compared to conventional FDA procedures. Additionally, the FDA may rescind any Fast Track Designation if it believes that the designation is no longer supported by data from our clinical development activities.</w:t>
      </w:r>
    </w:p>
    <w:p>
      <w:pPr>
        <w:spacing w:after="0" w:line="14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 and a priority review designation does not guarantee that FDA will in fact act more quickly on the application than if it were a standard review application.</w:t>
      </w:r>
    </w:p>
    <w:p>
      <w:pPr>
        <w:spacing w:after="0" w:line="229" w:lineRule="exact"/>
        <w:rPr>
          <w:sz w:val="20"/>
          <w:szCs w:val="20"/>
          <w:color w:val="auto"/>
        </w:rPr>
      </w:pPr>
    </w:p>
    <w:p>
      <w:pPr>
        <w:ind w:left="720" w:right="7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may secure approval from Regulatory Authorities through the use of expedited approval pathways, such as accelerated approval from the FDA or comparable foreign abbreviated pathways. Even if we receive accelerated approval from the FDA or approval following comparable foreign abbreviated pathways by foreign Regulatory Authorities, if our confirmatory trials do not confirm clinical benefit, or if we do not comply with rigorous post-marketing requirements, the FDA or such Regulatory Authorities may seek to withdraw the accelerated approval.</w:t>
      </w:r>
    </w:p>
    <w:p>
      <w:pPr>
        <w:spacing w:after="0" w:line="58" w:lineRule="exact"/>
        <w:rPr>
          <w:sz w:val="20"/>
          <w:szCs w:val="20"/>
          <w:color w:val="auto"/>
        </w:rPr>
      </w:pPr>
    </w:p>
    <w:p>
      <w:pPr>
        <w:ind w:left="720" w:right="779" w:firstLine="343"/>
        <w:spacing w:after="0" w:line="252" w:lineRule="auto"/>
        <w:rPr>
          <w:sz w:val="20"/>
          <w:szCs w:val="20"/>
          <w:color w:val="auto"/>
        </w:rPr>
      </w:pPr>
      <w:r>
        <w:rPr>
          <w:rFonts w:ascii="Times New Roman" w:cs="Times New Roman" w:eastAsia="Times New Roman" w:hAnsi="Times New Roman"/>
          <w:sz w:val="14"/>
          <w:szCs w:val="14"/>
          <w:color w:val="auto"/>
        </w:rPr>
        <w:t>Where possible, we plan to pursue accelerated development strategies in areas of high unmet need. We may seek an accelerated approval pathway for one or more of our potential future product candidates from Regulatory Authorities. Under the accelerated approval provisions in the Federal Food, Drug, and Cosmetic Act (“FDCA”),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p>
    <w:p>
      <w:pPr>
        <w:spacing w:after="0" w:line="151"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Prior to seeking accelerated approval, or approval following comparable foreign abbreviated pathways, we would seek feedback from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720" w:right="939"/>
        <w:spacing w:after="0" w:line="298" w:lineRule="auto"/>
        <w:rPr>
          <w:sz w:val="20"/>
          <w:szCs w:val="20"/>
          <w:color w:val="auto"/>
        </w:rPr>
      </w:pPr>
      <w:r>
        <w:rPr>
          <w:rFonts w:ascii="Times New Roman" w:cs="Times New Roman" w:eastAsia="Times New Roman" w:hAnsi="Times New Roman"/>
          <w:sz w:val="13"/>
          <w:szCs w:val="13"/>
          <w:b w:val="1"/>
          <w:bCs w:val="1"/>
          <w:i w:val="1"/>
          <w:iCs w:val="1"/>
          <w:color w:val="auto"/>
        </w:rPr>
        <w:t>We have been granted Orphan Drug Designation for zolucatetide for the treatment of desmoid tumors and we may seek Orphan Drug Designation for other indications or for our other product candidates, but we may be unsuccessful in obtaining or may be unable to maintain the benefits associated with Orphan Drug Designation, including the potential for market exclusivity.</w:t>
      </w:r>
    </w:p>
    <w:p>
      <w:pPr>
        <w:spacing w:after="0" w:line="3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As part of our business strategy, we have sought and may in the future seek Orphan Drug Designation for the product candidates we develop, and we may be unsuccessful in obtaining or maintain such designations.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January 2026, the FDA granted Orphan Drug Designation to zolucatetide for the treatment of desmoid tumors.</w:t>
      </w:r>
    </w:p>
    <w:p>
      <w:pPr>
        <w:spacing w:after="0" w:line="149"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46"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for the same indication during the period of exclusivity, except in limited circumstances. The applicable period is seven years in the United States and 10 years in Europe. The European exclusivity period can be reduced to six years if a drug no longer meets the criteria for Orphan Drug Designation or if the drug is sufficiently profitable such that market exclusivity is no longer justified.</w:t>
      </w:r>
    </w:p>
    <w:p>
      <w:pPr>
        <w:spacing w:after="0" w:line="143" w:lineRule="exact"/>
        <w:rPr>
          <w:sz w:val="20"/>
          <w:szCs w:val="20"/>
          <w:color w:val="auto"/>
        </w:rPr>
      </w:pPr>
    </w:p>
    <w:p>
      <w:pPr>
        <w:ind w:left="720" w:right="779" w:firstLine="343"/>
        <w:spacing w:after="0" w:line="274" w:lineRule="auto"/>
        <w:rPr>
          <w:sz w:val="20"/>
          <w:szCs w:val="20"/>
          <w:color w:val="auto"/>
        </w:rPr>
      </w:pPr>
      <w:r>
        <w:rPr>
          <w:rFonts w:ascii="Times New Roman" w:cs="Times New Roman" w:eastAsia="Times New Roman" w:hAnsi="Times New Roman"/>
          <w:sz w:val="13"/>
          <w:szCs w:val="13"/>
          <w:color w:val="auto"/>
        </w:rPr>
        <w:t>Even though we have obtained Orphan Drug Designation for zolucatetide for the treatment of desmoid tumors, that exclusivity may not effectively protect such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have received Orphan Drug Designation for zolucatetide for the treatment of desmoid tumors and may seek Orphan Drug Designation for applicable indications for our current and any future product candidates, we may be unable to maintain or obtain such designations. Even where we have and may in the future receive such designations, there is no guarantee that we will enjoy the benefits of such designations.</w:t>
      </w:r>
    </w:p>
    <w:p>
      <w:pPr>
        <w:spacing w:after="0" w:line="218" w:lineRule="exact"/>
        <w:rPr>
          <w:sz w:val="20"/>
          <w:szCs w:val="20"/>
          <w:color w:val="auto"/>
        </w:rPr>
      </w:pPr>
    </w:p>
    <w:p>
      <w:pPr>
        <w:ind w:left="720" w:right="8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5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ability of the FDA and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20" w:right="999" w:firstLine="343"/>
        <w:spacing w:after="0" w:line="261" w:lineRule="auto"/>
        <w:rPr>
          <w:sz w:val="20"/>
          <w:szCs w:val="20"/>
          <w:color w:val="auto"/>
        </w:rPr>
      </w:pPr>
      <w:r>
        <w:rPr>
          <w:rFonts w:ascii="Times New Roman" w:cs="Times New Roman" w:eastAsia="Times New Roman" w:hAnsi="Times New Roman"/>
          <w:sz w:val="14"/>
          <w:szCs w:val="14"/>
          <w:color w:val="auto"/>
        </w:rPr>
        <w:t>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Our Helicon Discovery Platform and Our Use of Artificial Intelligence</w:t>
      </w:r>
    </w:p>
    <w:p>
      <w:pPr>
        <w:spacing w:after="0" w:line="91" w:lineRule="exact"/>
        <w:rPr>
          <w:sz w:val="20"/>
          <w:szCs w:val="20"/>
          <w:color w:val="auto"/>
        </w:rPr>
      </w:pPr>
    </w:p>
    <w:p>
      <w:pPr>
        <w:ind w:left="720" w:right="9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engineering and development of our programs is unproven, and we may not be successful in our efforts to identify and develop any programs and product candidates of commercial value by leveraging our Helicon discovery platform.</w:t>
      </w:r>
    </w:p>
    <w:p>
      <w:pPr>
        <w:spacing w:after="0" w:line="39"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The Helicon discovery platform and our approach to drug engineering and development utilizes, among other things, our proprietary AI and machine learning solutions to create a pipeline of product candidates. Because our approach is both proprietary and pioneering, the cost and time needed to develop our programs and product candidates can be difficult to predict, and our efforts may not result in the engineering and development of commercially viable human therapeutics.</w:t>
      </w:r>
    </w:p>
    <w:p>
      <w:pPr>
        <w:spacing w:after="0" w:line="141"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Any drug engineering and development that we are conducting with our Helicon discovery platform may not be successful in identifying programs and product candidates that have commercial value or therapeutic utility. The Helicon discovery platform may initially show promise in identifying potential programs and product candidates, yet fail to yield viable programs and product candidates for clinical development or potential commercialization for a number of reasons, including:</w:t>
      </w:r>
    </w:p>
    <w:p>
      <w:pPr>
        <w:spacing w:after="0" w:line="57" w:lineRule="exact"/>
        <w:rPr>
          <w:sz w:val="20"/>
          <w:szCs w:val="20"/>
          <w:color w:val="auto"/>
        </w:rPr>
      </w:pPr>
    </w:p>
    <w:p>
      <w:pPr>
        <w:ind w:left="1480" w:right="819" w:hanging="246"/>
        <w:spacing w:after="0" w:line="258" w:lineRule="auto"/>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programs to identify new programs and product candidates will require substantial technical, financial and human resources, and we may be unsuccessful in our efforts to identify new programs and product candidates. If we are unable to identify suitable additional compounds for preclinical and clinical development, our ability to develop programs and product candidates and obtain product revenues in future periods could be compromised, which could result in significant harm to our financial position and adversely impact our stock price;</w:t>
      </w:r>
    </w:p>
    <w:p>
      <w:pPr>
        <w:spacing w:after="0" w:line="59" w:lineRule="exact"/>
        <w:rPr>
          <w:rFonts w:ascii="Times New Roman" w:cs="Times New Roman" w:eastAsia="Times New Roman" w:hAnsi="Times New Roman"/>
          <w:sz w:val="14"/>
          <w:szCs w:val="14"/>
          <w:color w:val="auto"/>
        </w:rPr>
      </w:pPr>
    </w:p>
    <w:p>
      <w:pPr>
        <w:ind w:left="1480" w:right="779" w:hanging="246"/>
        <w:spacing w:after="0" w:line="261" w:lineRule="auto"/>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programs and product candidates engineered with our Helicon discovery platform may not demonstrate efficacy, safety or tolerability, including because they may demonstrate different chemical and pharmacological properties in patients than they do in laboratory studies, or otherwise may interact with human biological systems in unforeseen, ineffective or possibly harmful ways;</w:t>
      </w:r>
    </w:p>
    <w:p>
      <w:pPr>
        <w:spacing w:after="0" w:line="56"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programs and product candidates may, on further study, be shown to have harmful side effects or other characteristics that indicate that they are unlikely to receive marketing approval and achieve market acceptance;</w:t>
      </w:r>
    </w:p>
    <w:p>
      <w:pPr>
        <w:spacing w:after="0" w:line="40"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 therapies that render our programs and product candidates non-competitive or less attractive; or</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potential product candidate may not be capable of being produced at an acceptable cost.</w:t>
      </w:r>
    </w:p>
    <w:p>
      <w:pPr>
        <w:spacing w:after="0" w:line="17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addition, we may in the future seek to identify and develop programs and engineer and develop product candidates that are based on novel targets and technologies that are unproven. If our activities fail to identify novel targets or technologies for drug engineering and development, or such targets prove to be unsuitable for treating human disease, we may not be able to develop viable additional programs and product candidates. We may never receive approval to market and commercialize any product candidate. Even if we obtain regulatory approval, the approval may be for targets, disease indications or patient populations that are not as broad as we intended or desired or may require labeling that includes significant use or distribution restrictions or safety warnings. If the product candidates resulting from our programs prove to be ineffective, unsafe or commercially unviable, our programs and product candidates would have little, if any, value, which would have a material and adverse effect on our business, financial condition, results of operations and prospects.</w:t>
      </w:r>
    </w:p>
    <w:p>
      <w:pPr>
        <w:spacing w:after="0" w:line="231" w:lineRule="exact"/>
        <w:rPr>
          <w:sz w:val="20"/>
          <w:szCs w:val="20"/>
          <w:color w:val="auto"/>
        </w:rPr>
      </w:pPr>
    </w:p>
    <w:p>
      <w:pPr>
        <w:ind w:left="720" w:right="8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dependent on the successful application of our Helicon discovery platform to develop programs and product candidates that can be commercialized by us or our current or future collaboration partners.</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Since our formation, we have focused on investing in our Helicon discovery platform to unlock a new way of developing programs and product candidates for development and, if approved, potential commercialization by us and our collaboration partners. The biotechnology industry is capital intensive, and our success depends significantly on our ability to apply our Helicon discovery platform to develop programs and engineer and develop product candidates that can be further developed by us or our current or future collaboration partners. Our ability to engineer and develop product candidates and increase revenue depends in large part on our ability to continue to enhance and improve our Helicon discovery platform. We have invested, and expect to continue to invest, in research and development efforts, acquisitions and licensing agreements that further enhance our Helicon discovery platform. These investments may involve significant time, risks and uncertainties, including the risks that any new software or hardware enhancement or the integration of software or hardware from a third-party licensor may not be introduced in a timely or cost-effective manner; may interfere with our intellectual property; may not keep pace with technological developments; may not achieve the functionality necessary to generate significant revenues; or other risks inherent to the use of AI to develop software. The success of any enhancement to our Helicon discovery platform depends on several factors, including (i) the development of more advanced AI models and algorithms; (ii) the generation of additional high quality and relevant data; (iii) innovation and investment in other experimental, computational and/or infrastructure technologies, including automation technologies; and (iv) increased computational storage and processing capacity.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The Helicon discovery platform depends upon the continuous, effective and reliable operation of our laboratory systems and AI solutions, including software, hardware, databases and related tools and functions, as well as the integrity of our data. We have from time to time found defects, vulnerabilities or other errors in such tools, functions and data, and new errors may be detected in the future. The risk of errors is particularly significant when new software code or hardware is first introduced or when new versions or enhancements of existing software code or hardware are implemented. Errors may also result from the interface of our proprietary software and hardware tools with our data or with third-party systems and data.</w:t>
      </w:r>
    </w:p>
    <w:p>
      <w:pPr>
        <w:spacing w:after="0" w:line="143"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Further, the price of new equipment and hardware, including graphics processing units (“GPUs”) and random access memory (“RAM”), is subject to market fluctuations. Such fluctuations are influenced by factors, including supply and demand for such equipment. In the case of GPUs and RAM for AI services, current demand for certain types of GPUs, RAM and networking equipment far exceeds supply, impacting the price and availability of such hardware. As a result, the cost of new equipment has been and may in the future be unpredictable, and may also be significantly higher than our historical costs.</w:t>
      </w:r>
    </w:p>
    <w:p>
      <w:pPr>
        <w:spacing w:after="0" w:line="144"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If we are unable to successfully enhance our Helicon discovery platform, or if there are any defects or disruptions in our Helicon discovery platform that are not timely resolved, our ability to develop new innovations and ultimately gain market acceptance of our products and our Helicon discovery platform, could be materially and adversely impacted, and our reputation, business, operating results and prospects could be materially harmed.</w:t>
      </w:r>
    </w:p>
    <w:p>
      <w:pPr>
        <w:spacing w:after="0" w:line="141"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3"/>
          <w:szCs w:val="13"/>
          <w:color w:val="auto"/>
        </w:rPr>
        <w:t>We have limited clinical data on product candidates that were computationally engineered with our Helicon discovery platform demonstrating whether they are safe or effective for long-term treatment in humans. The long-term safety and efficacy of product candidates computationally engineered with our Helicon discovery platform is unknown. Our approach may not result in time savings, higher success rates or reduced costs as we expect it to, and if not, we may not attract collaborators or develop new product candidates as quickly or cost effectively as expected and we therefore may not be able to execute on our strategic approach as originally expected.</w:t>
      </w:r>
    </w:p>
    <w:p>
      <w:pPr>
        <w:spacing w:after="0" w:line="128"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Product candidates engineered with our Helicon discovery platform require substantial technical, financial and human resources to develop and potentially commercialize. We may not be able to maintain sufficient resources and expertise to discover additional programs and product candidates. If we are unable to identify successful programs and product candidates for preclinical and clinical development and regulatory approval in a timely matter or at all, we could experience significant delays or an inability to successfully pursue strategic alternatives, including identifying and consummating transactions with third-party partners, to further develop, obtain marketing approval for and/or commercialize our product candidates, which could harm our business.</w:t>
      </w:r>
    </w:p>
    <w:p>
      <w:pPr>
        <w:spacing w:after="0" w:line="225" w:lineRule="exact"/>
        <w:rPr>
          <w:sz w:val="20"/>
          <w:szCs w:val="20"/>
          <w:color w:val="auto"/>
        </w:rPr>
      </w:pPr>
    </w:p>
    <w:p>
      <w:pPr>
        <w:ind w:left="720" w:right="1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Issues relating to our use of AI in the identification of our programs and the engineering and development of our product candidates could adversely affect our business and operating results.</w:t>
      </w:r>
    </w:p>
    <w:p>
      <w:pPr>
        <w:spacing w:after="0" w:line="39" w:lineRule="exact"/>
        <w:rPr>
          <w:sz w:val="20"/>
          <w:szCs w:val="20"/>
          <w:color w:val="auto"/>
        </w:rPr>
      </w:pPr>
    </w:p>
    <w:p>
      <w:pPr>
        <w:ind w:left="720" w:right="839" w:firstLine="343"/>
        <w:spacing w:after="0" w:line="255" w:lineRule="auto"/>
        <w:rPr>
          <w:sz w:val="20"/>
          <w:szCs w:val="20"/>
          <w:color w:val="auto"/>
        </w:rPr>
      </w:pPr>
      <w:r>
        <w:rPr>
          <w:rFonts w:ascii="Times New Roman" w:cs="Times New Roman" w:eastAsia="Times New Roman" w:hAnsi="Times New Roman"/>
          <w:sz w:val="14"/>
          <w:szCs w:val="14"/>
          <w:color w:val="auto"/>
        </w:rPr>
        <w:t>We incorporate AI solutions, among other technologies and capabilities, into our Helicon discovery platform.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our AI systems fail to achieve their intended purposes – such as identifying binding sites on proteins, identifying viable therapeutic candidates or targets, predicting biological outcomes, producing reproducible results, and other similar or related purposes – our product development efforts may be delayed or unsuccessful. If we are unable to successfully integrate and manage AI within our business, or if AI fails to deliver the expected benefits, our ability to develop our programs and product candidates could be materially adversely affected.</w:t>
      </w:r>
    </w:p>
    <w:p>
      <w:pPr>
        <w:spacing w:after="0" w:line="145"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and developed using AI. In addition, litigation or government regulation related to the use of AI may also adversely impact our ability to identify programs and engineer and develop product candidates using AI, as well as increase the cost and complexity of doing so. For example, regulators may limit our ability to develop or implement our proprietary AI models and algorithms and/or may eliminate or restrict the confidentiality of our proprietary technology, or may limit our ability to secure intellectual property rights to technologies created with the assistance of our proprietary AI models and algorithms, which could have an adverse effect on our business, results of operations and financial condition.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also face increased competition from other companies that claim to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product offerings due to the nature of the computing costs involved in such systems, which could impact our project margin and adversely affect our business and operating results.</w:t>
      </w:r>
    </w:p>
    <w:p>
      <w:pPr>
        <w:spacing w:after="0" w:line="143"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The legal landscape and subsequent legal protection for the use of AI remains uncertain, and the increasing use of AI in drug discovery and development introduces new and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our AI relies or to the outputs produced by our Helicon discovery platform, we may incur liability through the alleged violation of certain laws, third-party privacy rights, online terms of service or other contracts to which we or our data providers are a party. In addition, we rely on third-party software and hardware for our Helicon discovery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Helicon discovery platform could be affected. We also rely on public sources of data, such as the Protein Data Bank, Uniprot and DepMap, among others, which, if they became unavailable to us on reasonable terms, could affect our Helicon discovery platform. Regulatory and legal frameworks governing inventions created with or using AI are still developing and may create uncertainty regarding our ability to secure and enforce rights in such inventions.</w:t>
      </w:r>
    </w:p>
    <w:p>
      <w:pPr>
        <w:spacing w:after="0" w:line="237" w:lineRule="exact"/>
        <w:rPr>
          <w:sz w:val="20"/>
          <w:szCs w:val="20"/>
          <w:color w:val="auto"/>
        </w:rPr>
      </w:pPr>
    </w:p>
    <w:p>
      <w:pPr>
        <w:ind w:left="720" w:right="8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AI presents risks and challenges that can impact our business including by posing security risks to our confidential information, proprietary information, and personal data.</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In addition to our Helicon discovery platform, we have adopted and integrated, and in the future may adopt and integrate additional generative AI tools into our systems for specific use cases reviewed by our legal department and information technology department.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Our use of AI may also lead to novel and urgent cybersecurity and privacy risks, which may adversely affect our operations and reputation, as well as the operations of any third-party collaborators. Emerging ethical issues surround the use of AI, and we may be subject to reputational and legal risk if our deployment or use of AI becomes controversial. Our use of AI may also, in the future, result in cybersecurity incidents that implicate personal data of customers or patients. Any such cybersecurity incidents related to our use of AI could adversely affect our reputation and results of operations.</w:t>
      </w:r>
    </w:p>
    <w:p>
      <w:pPr>
        <w:spacing w:after="0" w:line="144"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entered into force on August 1, 2024, with most provisions becoming effective on August 2, 2026. This legislation imposes significant obligations on providers and deployers of AI systems and encourages providers and deployers of artificial intelligence systems to account for EU ethical principles in their development and use of these systems. The recently enacted United States Department of Justice Data Security Program (also known as the Bulk Data Transfer Rules), effective April 8, 2025, imposes complex additional restrictions on international data transfers, which may affect our ability to do business in manufacturing and clinical research in foreign countries. Likewise, in the United States, several states, including Colorado and California, passed laws to regulate various AI uses,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 The scope of requirements depends on legal and risk determinations that rely on novel legal provisions that have not yet been interpreted by courts or regulators, and non-compliance can lead to significant fines or significant restrictions on our ability to conduct our business activities.</w:t>
      </w:r>
    </w:p>
    <w:p>
      <w:pPr>
        <w:spacing w:after="0" w:line="229" w:lineRule="exact"/>
        <w:rPr>
          <w:sz w:val="20"/>
          <w:szCs w:val="20"/>
          <w:color w:val="auto"/>
        </w:rPr>
      </w:pPr>
    </w:p>
    <w:p>
      <w:pPr>
        <w:ind w:left="720" w:right="8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utilize third-party open-source software (“OSS”), which presents risks that could adversely affect our business and subject us to possible litigation.</w:t>
      </w:r>
    </w:p>
    <w:p>
      <w:pPr>
        <w:spacing w:after="0" w:line="39"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We utilize software that is licensed from third parties under open-source licenses, and we expect to continue to use such OSS in the future. Use of OSS may entail greater risks than use of third-party commercial software because open-source licensors generally do not provide support, updates or warranties or other contractual protections regarding infringement claims or the quality of the code. OSS may also be more susceptible to security vulnerabilities. The availability of OSS could be adversely affected by service outages, data loss, privacy breaches, cyber-attacks and other events relating to the availability of these applications and services they provide, which could diminish the utility of these services and harm our business. We also could be subject to lawsuits by third parties alleging that what we believe to be licensed OSS infringes such parties’ intellectual property rights, which could be costly for us to defend and require us to devote additional research and development resources to change our solutions. Some OSS licenses contain requirements that we make available source code for modifications or derivative works we create based upon the type of OSS we use. If we combine our proprietary software with OSS in a certain manner, we could, under certain of the OSS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OSS, the terms of many OSS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 parties in order to continue using our software, to re-engineer our software or to discontinue use of our software in the event re-engineering cannot be accomplished on a timely basis, any of which could materially and adversely affect our business, financial condition, results of operations and prospects.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the Manufacturing of Our Product Candidates and Our Future Pipeline</w:t>
      </w:r>
    </w:p>
    <w:p>
      <w:pPr>
        <w:spacing w:after="0" w:line="91" w:lineRule="exact"/>
        <w:rPr>
          <w:sz w:val="20"/>
          <w:szCs w:val="20"/>
          <w:color w:val="auto"/>
        </w:rPr>
      </w:pPr>
    </w:p>
    <w:p>
      <w:pPr>
        <w:ind w:left="720" w:right="8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p>
    <w:p>
      <w:pPr>
        <w:spacing w:after="0" w:line="5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currently utilize, and expect to continue to utilize, CDMOs to, among other things, supply and manufacture raw materials, components, parts and consumables, and to perform quality testing for our preclinical and clinical supply for all of our product candidates. For example, we are party to agreements with WuXi AppTec Co. Ltd. (“WuXi”) and Bachem Americas, Inc. for our active pharmaceutical ingredient (“API”), and Alcami Corporation (“Alcami”) for our drug product manufacturing. We intend to continue to rely on these manufacturers, and other manufacturers to manufacture zolucatetide. 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have a material adverse impact on our business and results of operations. Furthermore, with the increase of companies developing complex synthetic therapeutics, there may be increased competition for the supply of the raw materials that are necessary to manufacture our product candidates, which could severely impact the manufacturing of our product candidates.</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Even if we are able to maintain arrangements with our CDMOs, reliance on CDMOs entails additional risks, including:</w:t>
      </w:r>
    </w:p>
    <w:p>
      <w:pPr>
        <w:spacing w:after="0" w:line="91" w:lineRule="exact"/>
        <w:rPr>
          <w:sz w:val="20"/>
          <w:szCs w:val="20"/>
          <w:color w:val="auto"/>
        </w:rPr>
      </w:pPr>
    </w:p>
    <w:p>
      <w:pPr>
        <w:ind w:left="1480" w:right="1479" w:hanging="246"/>
        <w:spacing w:after="0" w:line="283" w:lineRule="auto"/>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CDMO to comply with applicable regulatory requirements and reliance on third parties for manufacturing process development, regulatory compliance and quality assurance;</w:t>
      </w:r>
    </w:p>
    <w:p>
      <w:pPr>
        <w:spacing w:after="0" w:line="40"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CDMOs give greater priority to the supply of other products over our product candidates or otherwise do not perform satisfactorily according to the terms of the agreement between us;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 parties;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our CDMOs because of factors beyond our control;</w:t>
      </w:r>
    </w:p>
    <w:p>
      <w:pPr>
        <w:spacing w:after="0" w:line="91" w:lineRule="exact"/>
        <w:rPr>
          <w:rFonts w:ascii="Times New Roman" w:cs="Times New Roman" w:eastAsia="Times New Roman" w:hAnsi="Times New Roman"/>
          <w:sz w:val="14"/>
          <w:szCs w:val="14"/>
          <w:color w:val="auto"/>
        </w:rPr>
      </w:pPr>
    </w:p>
    <w:p>
      <w:pPr>
        <w:ind w:left="1480" w:right="1059" w:hanging="246"/>
        <w:spacing w:after="0" w:line="283" w:lineRule="auto"/>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our CDMOs, at a time that is costly or inconvenient to us;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technology and IP, including our know-how.</w:t>
      </w:r>
    </w:p>
    <w:p>
      <w:pPr>
        <w:spacing w:after="0" w:line="175" w:lineRule="exact"/>
        <w:rPr>
          <w:sz w:val="20"/>
          <w:szCs w:val="20"/>
          <w:color w:val="auto"/>
        </w:rPr>
      </w:pPr>
    </w:p>
    <w:p>
      <w:pPr>
        <w:jc w:val="both"/>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the Regulatory Authorities.</w:t>
      </w:r>
    </w:p>
    <w:p>
      <w:pPr>
        <w:spacing w:after="0" w:line="14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w:t>
      </w:r>
    </w:p>
    <w:p>
      <w:pPr>
        <w:spacing w:after="0" w:line="146"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Additionally, if a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spacing w:after="0" w:line="256" w:lineRule="auto"/>
        <w:rPr>
          <w:sz w:val="20"/>
          <w:szCs w:val="20"/>
          <w:color w:val="auto"/>
        </w:rPr>
      </w:pPr>
      <w:r>
        <w:rPr>
          <w:rFonts w:ascii="Times New Roman" w:cs="Times New Roman" w:eastAsia="Times New Roman" w:hAnsi="Times New Roman"/>
          <w:sz w:val="14"/>
          <w:szCs w:val="14"/>
          <w:color w:val="auto"/>
        </w:rPr>
        <w:t>We will also need to verify, such as through a manufacturing comparability study, that any new manufacturing process will produce our product candidates according to the specifications previously submitted to the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 party owns independently. This would increase our reliance on such CDMO or require us to obtain a license from such CDMO in order to have another third party manufacture our product candidates.</w:t>
      </w:r>
    </w:p>
    <w:p>
      <w:pPr>
        <w:spacing w:after="0" w:line="144"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p>
    <w:p>
      <w:pPr>
        <w:spacing w:after="0" w:line="144"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p>
    <w:p>
      <w:pPr>
        <w:spacing w:after="0" w:line="51" w:lineRule="exact"/>
        <w:rPr>
          <w:sz w:val="20"/>
          <w:szCs w:val="20"/>
          <w:color w:val="auto"/>
        </w:rPr>
      </w:pPr>
    </w:p>
    <w:p>
      <w:pPr>
        <w:ind w:left="1480" w:right="1159" w:hanging="246"/>
        <w:spacing w:after="0" w:line="283" w:lineRule="auto"/>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unrest, terrorism, labor disputes and economic instability resulting in the disruption of trade from foreign countries in which our products are manufactured;</w:t>
      </w:r>
    </w:p>
    <w:p>
      <w:pPr>
        <w:spacing w:after="0" w:line="40" w:lineRule="exact"/>
        <w:rPr>
          <w:rFonts w:ascii="Times New Roman" w:cs="Times New Roman" w:eastAsia="Times New Roman" w:hAnsi="Times New Roman"/>
          <w:sz w:val="14"/>
          <w:szCs w:val="14"/>
          <w:color w:val="auto"/>
        </w:rPr>
      </w:pPr>
    </w:p>
    <w:p>
      <w:pPr>
        <w:ind w:left="1480" w:right="779" w:hanging="246"/>
        <w:spacing w:after="0" w:line="261" w:lineRule="auto"/>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56"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challenges and increased costs with enforcing and periodically auditing or reviewing our suppliers’ and CDMOs’ compliance with cGMPs or status acceptable to Regulatory Authorities;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including trademark protection, in some countries;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operations due to global, regional or local public health crises or other emergencies or natural disasters;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or delays in shipments;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economic conditions in countries where our CDMOs or suppliers are located.</w:t>
      </w:r>
    </w:p>
    <w:p>
      <w:pPr>
        <w:spacing w:after="0" w:line="175"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In particular,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active pharmaceutical ingredients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 These and other factors beyond our control could interrupt our suppliers and CDMOs’ production, influence their ability to export and manufacture our clinical supplies, cost-effectively or at all, and inhibit their ability to procure certain materials, any of which could harm our business, financial condition, results of operations and prospects.</w:t>
      </w:r>
    </w:p>
    <w:p>
      <w:pPr>
        <w:spacing w:after="0" w:line="226" w:lineRule="exact"/>
        <w:rPr>
          <w:sz w:val="20"/>
          <w:szCs w:val="20"/>
          <w:color w:val="auto"/>
        </w:rPr>
      </w:pPr>
    </w:p>
    <w:p>
      <w:pPr>
        <w:ind w:left="720" w:right="8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suppliers, we will not be able to complete our clinical trials on time and the development of our product candidates may be delayed.</w:t>
      </w:r>
    </w:p>
    <w:p>
      <w:pPr>
        <w:spacing w:after="0" w:line="56"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We depend on sole source and limited source suppliers for certain raw materials, APIs, drug products, drug substances and other materials used in our product candidates. For example, we are party to an agreement with Alcami, which is currently our sole supplier for drug product. Any change in our relationships with such suppliers or changes to contractual terms of our agreements with them could adversely affect our business, financial condition, results of operations and prospects. Moreover, there may be difficulties in scaling up the clinical or commercial quantities of our product candidates despite such agreements, and the costs of manufacturing could become prohibitive.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2" w:lineRule="auto"/>
        <w:rPr>
          <w:sz w:val="20"/>
          <w:szCs w:val="20"/>
          <w:color w:val="auto"/>
        </w:rPr>
      </w:pPr>
      <w:r>
        <w:rPr>
          <w:rFonts w:ascii="Times New Roman" w:cs="Times New Roman" w:eastAsia="Times New Roman" w:hAnsi="Times New Roman"/>
          <w:sz w:val="14"/>
          <w:szCs w:val="14"/>
          <w:color w:val="auto"/>
        </w:rPr>
        <w:t>Furthermore, any of the sole source and limited source suppliers upon whom we rely could stop producing our supplies, cease operations or be acquired by, or enter into exclusive arrangements with, our competitors. In addition, geopolitical tensions may impact our suppliers. For example, the U.S. BIOSECURE Act, which was enacted in December 2025, prohibits federal agencies from procuring or using any biotechnology equipment or services provided or produced by “biotechnology companies of concern,” or entering, extending, or renewing any contracts with entities that use such biotechnology equipment or services from “biotechnology companies of concern” To perform on those contracts. The Office of Management and Budget (“OMB”) will issue a list of “biotechnology companies of concern” in the near term, which will include companies that are named in the Department of Defense’s 1260H List of Chinese military companies and companies that OMB designates as a “biotechnology company of concern,” which are entities under the control of a foreign adversary (like China) and that pose a risk to national security based on its research with foreign government militaries or multiomic data collection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collection of genomic information) without consent. While the U.S. BIOSECURE Act has a grandfathering period of five years for existing contracts, and has carveouts that protect drugs paid under Medicaid, subject to the Secretary of Veteran Affairs’ discretion, the impact of the U.S. BIOSECURE Act on the biotechnology industry is uncertain. This and similar laws could have the potential to restrict the ability of companies to work with certain Chinese biotechnology companies of concern without losing the ability to contract with, or otherwise receive funding from, the U.S. government. It is possible some of our contractual counterparties, including WuXi, could be impacted by such future legislation or government policies. If any of the other third-parties that we engage to supply any materials or manufacture products for our preclinical studies and clinical trials should cease to continue to do so, or if we are prevented or restricted from using their services for any reason, we could experience delays in advancing these studies and trials while we identify and qualify replacement suppliers.</w:t>
      </w:r>
    </w:p>
    <w:p>
      <w:pPr>
        <w:spacing w:after="0" w:line="15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231" w:lineRule="exact"/>
        <w:rPr>
          <w:sz w:val="20"/>
          <w:szCs w:val="20"/>
          <w:color w:val="auto"/>
        </w:rPr>
      </w:pPr>
    </w:p>
    <w:p>
      <w:pPr>
        <w:ind w:left="720" w:right="7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product candidates we develop may be complex and difficult to manufacture. We may encounter difficulties in manufacturing, product release, shelf life, testing, storage, supply chain management or shipping. If we or any of our CDMOs encounter such difficulties, our ability to supply material for clinical trials or any approved product could be delayed or stopped.</w:t>
      </w:r>
    </w:p>
    <w:p>
      <w:pPr>
        <w:spacing w:after="0" w:line="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 manufacturing processes for our product candidates are complex and, if not developed and manufactured under well-controlled conditions, can adversely impact pharmacological activity.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Moreover, we are currently conducting, and will in the future conduct, our clinical trials internationally. For example, we plan to enroll patients in our ongoing Phase 1/2 clinical trial for zolucatetide in patients with advanced solid tumors in Australia and China, and we plan to conduct our registrational Phase 3 clinical trial for zolucatetide in patients with desmoid tumors in these countries. Logistical issues associated with shipping our product candidates and other materials globally from manufacturing sites to clinical sites, such as errors or improper handling by third-party carriers, transportation restrictions, or interruptions caused by natural disasters or force majeure events, could result in loss or destruction of, or damage to, our clinical supply, which may in turn cause delays in initiating or completing clinical trials.</w:t>
      </w:r>
    </w:p>
    <w:p>
      <w:pPr>
        <w:spacing w:after="0" w:line="144" w:lineRule="exact"/>
        <w:rPr>
          <w:sz w:val="20"/>
          <w:szCs w:val="20"/>
          <w:color w:val="auto"/>
        </w:rPr>
      </w:pPr>
    </w:p>
    <w:p>
      <w:pPr>
        <w:ind w:left="720" w:right="859" w:firstLine="343"/>
        <w:spacing w:after="0" w:line="275" w:lineRule="auto"/>
        <w:rPr>
          <w:sz w:val="20"/>
          <w:szCs w:val="20"/>
          <w:color w:val="auto"/>
        </w:rPr>
      </w:pPr>
      <w:r>
        <w:rPr>
          <w:rFonts w:ascii="Times New Roman" w:cs="Times New Roman" w:eastAsia="Times New Roman" w:hAnsi="Times New Roman"/>
          <w:sz w:val="13"/>
          <w:szCs w:val="13"/>
          <w:color w:val="auto"/>
        </w:rPr>
        <w:t>As our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Our rate of innovation is high, which has caused, and will continue to cause, a high degree of technological change. As we scale the manufacturing output for particular product candidates, we plan to continuously improve yield, purity and the pharmaceutical properties of our product candidates from IND-enabling studies through commercial launch, including shelf-life stability, and solubility properties of product and drug substance. Because of continuous improvement in manufacturing processes, we may switch processes for a particular product candidate during development. However, after a change in process, additional time is required for pharmaceutical property testing, such as 6- or 12-month stability testing. Such testing may require resupplying clinical material, or making additional cGMP batches to keep up with clinical trial demand before such pharmaceutical property testing is completed.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Such technological changes can negatively impact product comparability during and after clinical development. Furthermore, technological changes may drive the need for changes in, modification to or the sourcing of new manufacturing infrastructure or may adversely affect third-party relationships. Such technological changes also carry the risk that they will not achieve these intended objectives. Any of these technological changes could cause our product candidates to perform differently and affect the results of planned or future clinical trials conducted with the materials manufactured using altered processes, such as impacting the specification and stability of the product. Such changes may also require additional testing, notification or approval by Regulatory Authorities.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Changes in our manufacturing processes may lead to failure of lots and this could lead to a substantial delay in our clinical trials. Our product candidates may also prove to have a stability profile that leads to a lower than desired shelf life of the final approved product. This poses risk in supply requirements, wasted stock and higher cost of goods.</w:t>
      </w:r>
    </w:p>
    <w:p>
      <w:pPr>
        <w:spacing w:after="0" w:line="144"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We have established a number of analytical assays, and may have to establish several more, to assess the quality of our product candidates. We may subsequently identify gaps in our analytical testing strategy that might prevent release of product or could require product withdrawal or recall. For example, we may discover new impurities that have an impact on product safety, efficacy or stability. This may lead to an inability to release product candidates until the manufacturing or testing process is rectified.</w:t>
      </w:r>
    </w:p>
    <w:p>
      <w:pPr>
        <w:spacing w:after="0" w:line="141"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Moreover, there are risks inherent in biopharmaceutical manufacturing operations that could affect our ability and the ability of the CDMOs or contract manufacturing organizations to meet our delivery requirements or provide adequate amounts of material. The convergence of process and analytical technology, raw materials, consumables, equipment, physical infrastructure, including a clean room environment, and air handling and other utilities, results in complex procedures and systems that must work effectively to manufacture our product candidates. Failure or process defects in any of the interrelated systems at either our manufacturing facilities or those of our third-party providers could adversely impact our ability to manufacture and supply our product candidates.</w:t>
      </w:r>
    </w:p>
    <w:p>
      <w:pPr>
        <w:spacing w:after="0" w:line="225" w:lineRule="exact"/>
        <w:rPr>
          <w:sz w:val="20"/>
          <w:szCs w:val="20"/>
          <w:color w:val="auto"/>
        </w:rPr>
      </w:pPr>
    </w:p>
    <w:p>
      <w:pPr>
        <w:ind w:left="720" w:right="11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of our product candidates require specific shipping, storage, handling and administration, which in some cases, may require cold-chain logistics and subject our product candidates to risk of loss or damage if failures occur.</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Certain of our product candidates are sensitive to temperature, storage and handling conditions. They must be stored at very low temperatures in specialized freezers or specialized shipping containers until immediately prior to use. The handling and administration of our product candidates may need to be performed according to specific instructions and in some steps within specific time periods. Failure to correctly handle our product candidates could negatively impact the efficacy and/or safety of our product candidates, or cause a loss of product candidates. In addition, because it is necessary to ship our product candidates and other materials globally from manufacturing sites to clinical sites, our product candidates will need to be frozen using specialized equipment and maintained following specific procedures in order to be shipped and stored without damage in a cost-efficient manner and without degradation. For administration, the cryopreserved product container must be carefully removed from storage, and rapidly thawed under controlled temperature conditions in an area proximal to the patient’s bedside and administered into the patient. The handling, thawing and administration of the cryopreserved therapy product must be performed according to specific instructions, typically using specific disposables, specific bags and in some steps within specific time periods. Failure to correctly handle our product candidates, including the potential breakage of the cryopreservation bags or to follow the instructions for thawing and administration and or failure to administer our product candidates within the specified period post-thaw could negatively impact the efficacy and/or safety of our product candidates, or cause a loss of our clinical supply.</w:t>
      </w:r>
    </w:p>
    <w:p>
      <w:pPr>
        <w:spacing w:after="0" w:line="147"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If any of our product candidates are approved, we will need to scale-up a cost-effective and reliable cold-chain distribution and logistics network, which we may be unable to accomplish. Failure to effectively scale-up our cold-chain supply logistics, by us or third parties, could in the future lead to additional manufacturing costs and delays in our ability to supply required quantities for our commercial supply, if approved. For these and other reasons, we may not be able to manufacture our current or future product candidates at commercial scale or in a cost-effective manner. Even if we or our CDMOs are able to manufacture and distribute the products, if our products require specific procedures to maintain and use them, we may be limited in commercial opportunity.</w:t>
      </w:r>
    </w:p>
    <w:p>
      <w:pPr>
        <w:spacing w:after="0" w:line="225" w:lineRule="exact"/>
        <w:rPr>
          <w:sz w:val="20"/>
          <w:szCs w:val="20"/>
          <w:color w:val="auto"/>
        </w:rPr>
      </w:pPr>
    </w:p>
    <w:p>
      <w:pPr>
        <w:jc w:val="both"/>
        <w:ind w:left="720" w:right="1119"/>
        <w:spacing w:after="0" w:line="298" w:lineRule="auto"/>
        <w:rPr>
          <w:sz w:val="20"/>
          <w:szCs w:val="20"/>
          <w:color w:val="auto"/>
        </w:rPr>
      </w:pPr>
      <w:r>
        <w:rPr>
          <w:rFonts w:ascii="Times New Roman" w:cs="Times New Roman" w:eastAsia="Times New Roman" w:hAnsi="Times New Roman"/>
          <w:sz w:val="13"/>
          <w:szCs w:val="13"/>
          <w:b w:val="1"/>
          <w:bCs w:val="1"/>
          <w:i w:val="1"/>
          <w:iCs w:val="1"/>
          <w:color w:val="auto"/>
        </w:rPr>
        <w:t>We are subject to significant regulatory oversight with respect to manufacturing our product candidates. The manufacturing facilities of our CDMOs or suppliers may not meet regulatory requirements. Failure to meet cGMP requirements set forth in regulations promulgated by Regulatory Authorities could result in significant delays in and costs of our products.</w:t>
      </w:r>
    </w:p>
    <w:p>
      <w:pPr>
        <w:spacing w:after="0" w:line="34"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manufacturing of therapeutics for clinical trials or commercial sale is subject to extensive regulation. Components of a finished product approved for commercial use or used in clinical trials must be manufactured in accordance with cGMP requirements. These regulations govern manufacturing processes and procedures, including recordkeeping, and the implementation and operation of quality systems to control and assure the quality of products and materials used in clinical trials. Poor control of the cGMP production processes can lead to product quality failures that can impact our ability to supply product, resulting in cost overruns and delays to clinical timelines, which could be extensive.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6" w:lineRule="auto"/>
        <w:rPr>
          <w:sz w:val="20"/>
          <w:szCs w:val="20"/>
          <w:color w:val="auto"/>
        </w:rPr>
      </w:pPr>
      <w:r>
        <w:rPr>
          <w:rFonts w:ascii="Times New Roman" w:cs="Times New Roman" w:eastAsia="Times New Roman" w:hAnsi="Times New Roman"/>
          <w:sz w:val="14"/>
          <w:szCs w:val="14"/>
          <w:color w:val="auto"/>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quality control testing; ineffective corrective actions or preventative actions taken to correct or avoid critical deviations due to our developing understanding of the manufacturing process as we scale; and failed or defective components or consumables.</w:t>
      </w:r>
    </w:p>
    <w:p>
      <w:pPr>
        <w:spacing w:after="0" w:line="144" w:lineRule="exact"/>
        <w:rPr>
          <w:sz w:val="20"/>
          <w:szCs w:val="20"/>
          <w:color w:val="auto"/>
        </w:rPr>
      </w:pPr>
    </w:p>
    <w:p>
      <w:pPr>
        <w:jc w:val="both"/>
        <w:ind w:left="720" w:right="999" w:firstLine="343"/>
        <w:spacing w:after="0" w:line="267" w:lineRule="auto"/>
        <w:rPr>
          <w:sz w:val="20"/>
          <w:szCs w:val="20"/>
          <w:color w:val="auto"/>
        </w:rPr>
      </w:pPr>
      <w:r>
        <w:rPr>
          <w:rFonts w:ascii="Times New Roman" w:cs="Times New Roman" w:eastAsia="Times New Roman" w:hAnsi="Times New Roman"/>
          <w:sz w:val="14"/>
          <w:szCs w:val="14"/>
          <w:color w:val="auto"/>
        </w:rPr>
        <w:t>We must supply all necessary documentation in support of an NDA or other marketing authorization application on a timely basis and must adhere to the cGMP requirements of the Regulatory Authorities which are enforced, in the case of the FDA, in part through its facilities inspection program.</w:t>
      </w:r>
    </w:p>
    <w:p>
      <w:pPr>
        <w:spacing w:after="0" w:line="136"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Regulatory Authorities typically require representative manufacturing site inspections to assess adequate compliance with cGMPs and manufacturing controls as described in the filing. If either we or 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agency may identify. Deficient inspection outcomes may influence the ability of our CDMOs or suppliers to fulfill their supply obligations, impacting or delaying supply or delaying product candidates.</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The manufacturing process for any products that we may develop is subject to the approval process of the Regulatory Authorities, and we will need to contract with CDMOs who we believe can meet such requirements on an ongoing basis. If we or our CDMOs are unable to reliably produce product candidates to specifications acceptable to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contract manufacturing organizations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have limited control over the manufacturing process of, and are dependent on, our contract manufacturing partners for compliance with cGMPs. If our CDMOs cannot successfully manufacture material that conforms to our specifications and the strict regulatory requirements of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47"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Regulatory Authorities may require us to submit product samples of any lot of any approved product together with the protocols showing the results of applicable tests at any time. Under some circumstances, the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Lot failures or product recalls with respect to products produced by either our own facilities or those of our CDMOs could cause us and our collaboration partners to delay clinical trials or product launches, which could be costly to us and otherwise harm our business, financial condition, results of operations and prospects.</w:t>
      </w:r>
    </w:p>
    <w:p>
      <w:pPr>
        <w:spacing w:after="0" w:line="144"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91" w:lineRule="exact"/>
        <w:rPr>
          <w:sz w:val="20"/>
          <w:szCs w:val="20"/>
          <w:color w:val="auto"/>
        </w:rPr>
      </w:pPr>
    </w:p>
    <w:p>
      <w:pPr>
        <w:ind w:left="720" w:right="8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p>
    <w:p>
      <w:pPr>
        <w:spacing w:after="0" w:line="58"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We currently rely and expect to continue to rely on third parties, such as CROs to perform early stage research work such as synthesis and biology, clinical data management organizations, medical institutions and clinical investigators, to conduct our clinical trials, including our ongoing Phase 1/2 clinical trial for zolucatetide in patients with advanced solid tumors. We currently rely and expect to continue to rely on third parties to conduct certain research and preclinical testing activities. In some cases, these third parties may terminate their engagements with us. If we need to enter into alternative arrangements, it could delay our product development activities or increase our costs.</w:t>
      </w:r>
    </w:p>
    <w:p>
      <w:pPr>
        <w:spacing w:after="0" w:line="14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Our reliance on these third-parties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p>
    <w:p>
      <w:pPr>
        <w:spacing w:after="0" w:line="150"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w:t>
      </w:r>
    </w:p>
    <w:p>
      <w:pPr>
        <w:spacing w:after="0" w:line="146" w:lineRule="exact"/>
        <w:rPr>
          <w:sz w:val="20"/>
          <w:szCs w:val="20"/>
          <w:color w:val="auto"/>
        </w:rPr>
      </w:pPr>
    </w:p>
    <w:p>
      <w:pPr>
        <w:ind w:left="720" w:right="959" w:firstLine="343"/>
        <w:spacing w:after="0" w:line="255" w:lineRule="auto"/>
        <w:rPr>
          <w:sz w:val="20"/>
          <w:szCs w:val="20"/>
          <w:color w:val="auto"/>
        </w:rPr>
      </w:pPr>
      <w:r>
        <w:rPr>
          <w:rFonts w:ascii="Times New Roman" w:cs="Times New Roman" w:eastAsia="Times New Roman" w:hAnsi="Times New Roman"/>
          <w:sz w:val="14"/>
          <w:szCs w:val="14"/>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We also expect to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third-parties could result in damaged 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p>
    <w:p>
      <w:pPr>
        <w:spacing w:after="0" w:line="14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spacing w:after="0" w:line="228" w:lineRule="exact"/>
        <w:rPr>
          <w:sz w:val="20"/>
          <w:szCs w:val="20"/>
          <w:color w:val="auto"/>
        </w:rPr>
      </w:pPr>
    </w:p>
    <w:p>
      <w:pPr>
        <w:jc w:val="both"/>
        <w:ind w:left="720" w:right="9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entered into, and in the future may enter into, partnership, collaboration, and licensing arrangements with third parties to support development and potential commercialization of programs and product candidates. If these partnership, collaboration, and licensing arrangements are not successful, our business could be adversely affected.</w:t>
      </w:r>
    </w:p>
    <w:p>
      <w:pPr>
        <w:spacing w:after="0" w:line="5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We have entered into and may in the future seek to enter into partnership, collaboration, and licensing arrangements with third 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p>
    <w:p>
      <w:pPr>
        <w:spacing w:after="0" w:line="141" w:lineRule="exact"/>
        <w:rPr>
          <w:sz w:val="20"/>
          <w:szCs w:val="20"/>
          <w:color w:val="auto"/>
        </w:rPr>
      </w:pPr>
    </w:p>
    <w:p>
      <w:pPr>
        <w:ind w:left="720" w:right="939" w:firstLine="343"/>
        <w:spacing w:after="0" w:line="283" w:lineRule="auto"/>
        <w:rPr>
          <w:sz w:val="20"/>
          <w:szCs w:val="20"/>
          <w:color w:val="auto"/>
        </w:rPr>
      </w:pPr>
      <w:r>
        <w:rPr>
          <w:rFonts w:ascii="Times New Roman" w:cs="Times New Roman" w:eastAsia="Times New Roman" w:hAnsi="Times New Roman"/>
          <w:sz w:val="13"/>
          <w:szCs w:val="13"/>
          <w:color w:val="auto"/>
        </w:rPr>
        <w:t>For example, we are party to a collaboration arrangement with Regeneron, pursuant to which we collaborate on research and preclinical development programs directed toward certain targets. We may enter into additional partnership, collaboration, and licensing arrangements to take advantage of our Helicon discovery platform, including for purposes of accessing additional capabilities, expertise and funding in the future. Our existing partnership, collaboration, and licensing arrangements, and any future partnership, collaboration, and licensing arrangements we may enter into, could pose a number of risks, including the following:</w:t>
      </w:r>
    </w:p>
    <w:p>
      <w:pPr>
        <w:spacing w:after="0" w:line="44" w:lineRule="exact"/>
        <w:rPr>
          <w:sz w:val="20"/>
          <w:szCs w:val="20"/>
          <w:color w:val="auto"/>
        </w:rPr>
      </w:pPr>
    </w:p>
    <w:p>
      <w:pPr>
        <w:ind w:left="1480" w:hanging="246"/>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may not perform their obligations as expected;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trials conducted as part of such partnership, collaboration, and licensing arrangement may not be successful;</w:t>
      </w:r>
    </w:p>
    <w:p>
      <w:pPr>
        <w:spacing w:after="0" w:line="91" w:lineRule="exact"/>
        <w:rPr>
          <w:rFonts w:ascii="Times New Roman" w:cs="Times New Roman" w:eastAsia="Times New Roman" w:hAnsi="Times New Roman"/>
          <w:sz w:val="14"/>
          <w:szCs w:val="14"/>
          <w:color w:val="auto"/>
        </w:rPr>
      </w:pPr>
    </w:p>
    <w:p>
      <w:pPr>
        <w:ind w:left="1480" w:right="1019" w:hanging="246"/>
        <w:spacing w:after="0" w:line="261"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w:t>
      </w:r>
    </w:p>
    <w:p>
      <w:pPr>
        <w:spacing w:after="0" w:line="56" w:lineRule="exact"/>
        <w:rPr>
          <w:rFonts w:ascii="Times New Roman" w:cs="Times New Roman" w:eastAsia="Times New Roman" w:hAnsi="Times New Roman"/>
          <w:sz w:val="14"/>
          <w:szCs w:val="14"/>
          <w:color w:val="auto"/>
        </w:rPr>
      </w:pPr>
    </w:p>
    <w:p>
      <w:pPr>
        <w:ind w:left="1480" w:right="919" w:hanging="246"/>
        <w:spacing w:after="0" w:line="267"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may delay clinical trials, provide insufficient funding for clinical trials, stop a clinical trial, abandon a product candidate, repeat or conduct new clinical trials or require a new formulation of a product candidate for clinical testing;</w:t>
      </w:r>
    </w:p>
    <w:p>
      <w:pPr>
        <w:spacing w:after="0" w:line="51" w:lineRule="exact"/>
        <w:rPr>
          <w:rFonts w:ascii="Times New Roman" w:cs="Times New Roman" w:eastAsia="Times New Roman" w:hAnsi="Times New Roman"/>
          <w:sz w:val="14"/>
          <w:szCs w:val="14"/>
          <w:color w:val="auto"/>
        </w:rPr>
      </w:pPr>
    </w:p>
    <w:p>
      <w:pPr>
        <w:ind w:left="1480" w:right="879" w:hanging="246"/>
        <w:spacing w:after="0" w:line="267"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could independently develop, or develop with third 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p>
    <w:p>
      <w:pPr>
        <w:spacing w:after="0" w:line="51" w:lineRule="exact"/>
        <w:rPr>
          <w:rFonts w:ascii="Times New Roman" w:cs="Times New Roman" w:eastAsia="Times New Roman" w:hAnsi="Times New Roman"/>
          <w:sz w:val="14"/>
          <w:szCs w:val="14"/>
          <w:color w:val="auto"/>
        </w:rPr>
      </w:pPr>
    </w:p>
    <w:p>
      <w:pPr>
        <w:ind w:left="1480" w:right="879" w:hanging="246"/>
        <w:spacing w:after="0" w:line="261"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w:t>
      </w:r>
    </w:p>
    <w:p>
      <w:pPr>
        <w:spacing w:after="0" w:line="56" w:lineRule="exact"/>
        <w:rPr>
          <w:rFonts w:ascii="Times New Roman" w:cs="Times New Roman" w:eastAsia="Times New Roman" w:hAnsi="Times New Roman"/>
          <w:sz w:val="14"/>
          <w:szCs w:val="14"/>
          <w:color w:val="auto"/>
        </w:rPr>
      </w:pPr>
    </w:p>
    <w:p>
      <w:pPr>
        <w:ind w:left="1480" w:right="1079" w:hanging="246"/>
        <w:spacing w:after="0" w:line="283"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partner with marketing and distribution rights to one or more of our product candidates that achieve regulatory approval may not commit sufficient resources to the marketing and distribution of any such product;</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collaboration partner may exercise its right to terminate under a collaboration agreement which may require us to pay certain cancellations fees or reimburse such partner for certain expenses;</w:t>
      </w:r>
    </w:p>
    <w:p>
      <w:pPr>
        <w:spacing w:after="0" w:line="40" w:lineRule="exact"/>
        <w:rPr>
          <w:rFonts w:ascii="Times New Roman" w:cs="Times New Roman" w:eastAsia="Times New Roman" w:hAnsi="Times New Roman"/>
          <w:sz w:val="14"/>
          <w:szCs w:val="14"/>
          <w:color w:val="auto"/>
        </w:rPr>
      </w:pPr>
    </w:p>
    <w:p>
      <w:pPr>
        <w:ind w:left="1480" w:right="779" w:hanging="246"/>
        <w:spacing w:after="0" w:line="258" w:lineRule="auto"/>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19" w:hanging="246"/>
        <w:spacing w:after="0" w:line="267"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may not properly maintain or defend our IP rights or may use our proprietary information in such a way as to invite litigation that could jeopardize or invalidate our intellectual property or proprietary information or expose us to potential litigation;</w:t>
      </w:r>
    </w:p>
    <w:p>
      <w:pPr>
        <w:spacing w:after="0" w:line="51"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with respect to the interpretation of key terms regarding control, economic rights, or the ownership of intellectual property developed pursuant to our partnership, collaboration, and licensing arrangements;</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partners may infringe the intellectual property rights of third parties, which may expose us to litigation and potential liability;</w:t>
      </w:r>
    </w:p>
    <w:p>
      <w:pPr>
        <w:spacing w:after="0" w:line="40" w:lineRule="exact"/>
        <w:rPr>
          <w:rFonts w:ascii="Times New Roman" w:cs="Times New Roman" w:eastAsia="Times New Roman" w:hAnsi="Times New Roman"/>
          <w:sz w:val="14"/>
          <w:szCs w:val="14"/>
          <w:color w:val="auto"/>
        </w:rPr>
      </w:pPr>
    </w:p>
    <w:p>
      <w:pPr>
        <w:ind w:left="1480" w:right="739" w:hanging="246"/>
        <w:spacing w:after="0" w:line="261"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 collaboration, and licensing arrangements may, in certain instances, be terminated for the convenience of the collaboration partner and, if terminated, the development of our programs and product candidates may be delayed, or we may lose rights to IP or expertise related to such programs and products candidates, and we could be required to raise additional capital to pursue further development or commercialization of the applicable product candidates;</w:t>
      </w:r>
    </w:p>
    <w:p>
      <w:pPr>
        <w:spacing w:after="0" w:line="56" w:lineRule="exact"/>
        <w:rPr>
          <w:rFonts w:ascii="Times New Roman" w:cs="Times New Roman" w:eastAsia="Times New Roman" w:hAnsi="Times New Roman"/>
          <w:sz w:val="14"/>
          <w:szCs w:val="14"/>
          <w:color w:val="auto"/>
        </w:rPr>
      </w:pPr>
    </w:p>
    <w:p>
      <w:pPr>
        <w:ind w:left="1480" w:right="939" w:hanging="246"/>
        <w:spacing w:after="0" w:line="258"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w:t>
      </w:r>
    </w:p>
    <w:p>
      <w:pPr>
        <w:spacing w:after="0" w:line="59" w:lineRule="exact"/>
        <w:rPr>
          <w:rFonts w:ascii="Times New Roman" w:cs="Times New Roman" w:eastAsia="Times New Roman" w:hAnsi="Times New Roman"/>
          <w:sz w:val="14"/>
          <w:szCs w:val="14"/>
          <w:color w:val="auto"/>
        </w:rPr>
      </w:pPr>
    </w:p>
    <w:p>
      <w:pPr>
        <w:ind w:left="1480" w:right="1079" w:hanging="246"/>
        <w:spacing w:after="0" w:line="283"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face significant competition in seeking appropriate collaboration partners and the negotiation process and diligence process is time-consuming and complex; and</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operations, through any future partnerships, collaborations, acquisitions or joint ventures, may expose us to certain operating, legal, and other risks not encountered in the United States.</w:t>
      </w:r>
    </w:p>
    <w:p>
      <w:pPr>
        <w:spacing w:after="0" w:line="125"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and the potential collaboration partner’s evaluation of a number of factors. Those factors may include, among others: (i) our technologies and capabilities, including our Helicon discovery platform; (ii) our intellectual property position with respect to the subject program or product candidate; (iii) the design or results of clinical trials; (iv) the likelihood of approval by Regulatory Authorities; (v) the potential market for the subject product candidate; (vi) potential competing products; and</w:t>
      </w:r>
    </w:p>
    <w:p>
      <w:pPr>
        <w:spacing w:after="0" w:line="2" w:lineRule="exact"/>
        <w:rPr>
          <w:sz w:val="20"/>
          <w:szCs w:val="20"/>
          <w:color w:val="auto"/>
        </w:rPr>
      </w:pPr>
    </w:p>
    <w:p>
      <w:pPr>
        <w:ind w:left="720" w:right="959"/>
        <w:spacing w:after="0" w:line="256" w:lineRule="auto"/>
        <w:tabs>
          <w:tab w:leader="none" w:pos="9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and market conditions generally. In addition, the significant number of business combinations among large pharmaceutical and biotechnology companies has reduced the number of potential future collaboration partners with whom we can partner.</w:t>
      </w:r>
    </w:p>
    <w:p>
      <w:pPr>
        <w:spacing w:after="0" w:line="14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spacing w:after="0" w:line="14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39" w:firstLine="343"/>
        <w:spacing w:after="0" w:line="257" w:lineRule="auto"/>
        <w:rPr>
          <w:sz w:val="20"/>
          <w:szCs w:val="20"/>
          <w:color w:val="auto"/>
        </w:rPr>
      </w:pPr>
      <w:r>
        <w:rPr>
          <w:rFonts w:ascii="Times New Roman" w:cs="Times New Roman" w:eastAsia="Times New Roman" w:hAnsi="Times New Roman"/>
          <w:sz w:val="14"/>
          <w:szCs w:val="14"/>
          <w:color w:val="auto"/>
        </w:rPr>
        <w:t>We may not be able to establish additional partnership, collaboration, and licensing arrangements on a timely basis, on acceptable terms, or at all, and to maintain and successfully conclude them. Such arrangements with third parties could cause us to expend significant resources and incur substantial business risk with no assurance of financial return. If we are unable to establish or maintain partnership, collaboration, and licensing arrangements on terms favorable to us and realize the intended benefits of those arrangements, our research and development efforts and potential to generate revenue may be limited and our business and operating results could be materially and adversely impacted.</w:t>
      </w:r>
    </w:p>
    <w:p>
      <w:pPr>
        <w:spacing w:after="0" w:line="143"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As part of these collaborations, we may not fully control the progression, clinical development, regulatory strategy or eventual commercialization, if approved, of our jointly-developed product candidates. As a result, our future success and the potential to receive revenues under these partnership, collaboration, and licensing arrangements are significantly dependent on our collaboration partners’ efforts, over which we have little control. If our partnership, collaboration, and licensing arrangements do not result in the successful development and commercialization of product candidates, a collaboration partner determines not to proceed with the future development of a program or product candidate initially engineered or developed utilizing our Helicon discovery platform, a collaboration partner implements a clinical or regulatory strategy that ultimately does not enable the further development, approval or commercialization of the product candidate, or a collaboration partner terminates its arrangement with us, we may not receive any future research funding or milestone, earnout, royalty or other contingent payments under such arrangement, which may have a material and adverse effect on our business and revenues.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and our other collaboration partners’ product candidates could be delayed and we may need additional resources to develop such product candidates.</w:t>
      </w:r>
    </w:p>
    <w:p>
      <w:pPr>
        <w:spacing w:after="0" w:line="149"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addition, our collaboration partners have, and future collaboration partners may have, the right to terminate their agreements with us for convenience. If one of our collaboration partners terminates its arrangement with us, we may be required to pay certain fees, may find it more difficult to attract new partnership, collaboration, and licensing arrangements and the perception of us in the business and financial communities could be adversely affected. We cannot assure investors that we will be able to maintain or expand our existing collaboration partners or that our Helicon discovery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w:t>
      </w:r>
    </w:p>
    <w:p>
      <w:pPr>
        <w:spacing w:after="0" w:line="144"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All of the risks relating to product development, regulatory approval and commercialization described in this prospectus apply to the activities of our current and future collaboration partners. If we or our collaboration partners do not achieve regulatory approval for a sufficient number of product candidates, we may not be able to sustain our business model.</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1" w:lineRule="exact"/>
        <w:rPr>
          <w:sz w:val="20"/>
          <w:szCs w:val="20"/>
          <w:color w:val="auto"/>
        </w:rPr>
      </w:pPr>
    </w:p>
    <w:p>
      <w:pPr>
        <w:ind w:left="720" w:right="11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success is largely based upon our intellectual property related to our proprietary technologies, and we may be unable to adequately obtain, maintain, protect, defend and/or enforce our intellectual property.</w:t>
      </w:r>
    </w:p>
    <w:p>
      <w:pPr>
        <w:spacing w:after="0" w:line="3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maintain, protect, defend and/or enforce patent, trademark, and other intellectual property, including trade secret and know-how, protection of our product candidates, Helicon discovery platform and other proprietary technologies,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If we (or our licensees or licensors who may have the right to prosecute, obtain, maintain, defend and/or enforce certain patents within our portfolio) fail to appropriately prosecute or are unable to obtain, maintain, defend and/or enforce patents for our product candidates (or aspects thereof), our ability to develop, manufacture, license and/or commercialize these product candidates may be adversely affected and we may not be able to prevent competitors from making, using, offering to sell, selling or importing competing products. Our failure or inability to properly and adequately protect the intellectual property rights relating to our product candidates could have a material adverse effect on our business, financial condition, results of operations and/or growth prospects.</w:t>
      </w:r>
    </w:p>
    <w:p>
      <w:pPr>
        <w:spacing w:after="0" w:line="144"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We generally seek to protect our intellectual property position by filing and/or licensing patent applications in the United States and, in various patent families certain but not all foreign jurisdictions, related to our Helicon discovery platform, product candidates and other proprietary technologies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jurisdictions in which they are performed. We cannot be certain that the claims in any of our patent applications will be considered patentable by the United States Patent and Trademark Office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nor can there be any assurance that the patents issued will not be infringed, designed around, invalidated or held unenforceable. Furthermore, we may not be able to apply for patents on certain aspects of our current or future Helicon discovery platform, product candidates, or other proprietary technologies in a timely fashion, at a reasonable cost, in all jurisdictions, or at all, and any potential patent protection we obtain may not be sufficient to prevent substantial competition.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use of AI to design, develop and engineer proteins is a relatively new scientific field, the continued development and potential use of which has resulted in many different patents and patent applications from organizations and individuals seeking to obtain intellectual property protection in the field. In general, patents are reserved for human inventors and significant and novel legal questions remain in flux about the contributory roles of AI versus the human inventors in securing intellectual property rights. We may not be able to obtain, maintain, protect, defend, and/or enforce patent protection for our AI technologies including their uses in the development of Helicons including those utilized in our product candidates. Our current programs, in addition to AI technologies, include many other non-AI technologies and involve significant and critical input, direction, design optimization and/or decision-making from humans. Despite the significant and critical involvement of humans in the development of our current Helicon discovery platform and product candidates, our intellectual property rights including patents related thereto may be challenged, and we may not be able to adequately defend and/or enforce such intellectual property rights. Many aspects of our AI technologies are protected as trade secrets or otherwise as confidential information. We may not be able to preserve the confidentiality of our trade secrets and other confidential information; if confidentiality is lost, third parties including our competitors may be able to use such trade secrets and other confidential information.</w:t>
      </w:r>
    </w:p>
    <w:p>
      <w:pPr>
        <w:spacing w:after="0" w:line="149" w:lineRule="exact"/>
        <w:rPr>
          <w:sz w:val="20"/>
          <w:szCs w:val="20"/>
          <w:color w:val="auto"/>
        </w:rPr>
      </w:pPr>
    </w:p>
    <w:p>
      <w:pPr>
        <w:ind w:left="720" w:right="979" w:firstLine="343"/>
        <w:spacing w:after="0" w:line="261"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or our partners will be successful in protecting our product candidates by obtaining, maintaining, enforcing and defending patents. Patent applications are processed by various national patent offices around the world. There is uncertainty about which patents will issue, and, if they do, as to when, to whom, and with what claims. These risks and uncertainties include the following:</w:t>
      </w:r>
    </w:p>
    <w:p>
      <w:pPr>
        <w:spacing w:after="0" w:line="57" w:lineRule="exact"/>
        <w:rPr>
          <w:sz w:val="20"/>
          <w:szCs w:val="20"/>
          <w:color w:val="auto"/>
        </w:rPr>
      </w:pPr>
    </w:p>
    <w:p>
      <w:pPr>
        <w:ind w:left="1480" w:right="759" w:hanging="246"/>
        <w:spacing w:after="0" w:line="261"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USPTO and various foreign government patent agencies require compliance with a number of procedural, documentary, fee payment and other provisions during the patent process, the noncompliance with which can result in abandonment or lapse of a patent or patent application or a finding that a patent is unenforceable, and partial or complete loss of patent rights in the relevant jurisdiction;</w:t>
      </w:r>
    </w:p>
    <w:p>
      <w:pPr>
        <w:spacing w:after="0" w:line="56"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applications may not result in any patent being issued;</w:t>
      </w:r>
    </w:p>
    <w:p>
      <w:pPr>
        <w:spacing w:after="0" w:line="91" w:lineRule="exact"/>
        <w:rPr>
          <w:rFonts w:ascii="Times New Roman" w:cs="Times New Roman" w:eastAsia="Times New Roman" w:hAnsi="Times New Roman"/>
          <w:sz w:val="14"/>
          <w:szCs w:val="14"/>
          <w:color w:val="auto"/>
        </w:rPr>
      </w:pPr>
    </w:p>
    <w:p>
      <w:pPr>
        <w:ind w:left="1480" w:right="1099" w:hanging="246"/>
        <w:spacing w:after="0" w:line="283"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that may be issued may not include claims that cover a broad enough scope to prevent competitor activities including alternative solutions by competitors;</w:t>
      </w:r>
    </w:p>
    <w:p>
      <w:pPr>
        <w:spacing w:after="0" w:line="40"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that may be issued may be challenged, invalidated, modified, revoked, circumvented, found to be unenforceable or otherwise may not provide adequate barriers to entry or any competitive advantage;</w:t>
      </w:r>
    </w:p>
    <w:p>
      <w:pPr>
        <w:spacing w:after="0" w:line="40" w:lineRule="exact"/>
        <w:rPr>
          <w:rFonts w:ascii="Times New Roman" w:cs="Times New Roman" w:eastAsia="Times New Roman" w:hAnsi="Times New Roman"/>
          <w:sz w:val="14"/>
          <w:szCs w:val="14"/>
          <w:color w:val="auto"/>
        </w:rPr>
      </w:pPr>
    </w:p>
    <w:p>
      <w:pPr>
        <w:ind w:left="1480" w:right="779" w:hanging="246"/>
        <w:spacing w:after="0" w:line="267"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w:t>
      </w:r>
    </w:p>
    <w:p>
      <w:pPr>
        <w:spacing w:after="0" w:line="51" w:lineRule="exact"/>
        <w:rPr>
          <w:rFonts w:ascii="Times New Roman" w:cs="Times New Roman" w:eastAsia="Times New Roman" w:hAnsi="Times New Roman"/>
          <w:sz w:val="14"/>
          <w:szCs w:val="14"/>
          <w:color w:val="auto"/>
        </w:rPr>
      </w:pPr>
    </w:p>
    <w:p>
      <w:pPr>
        <w:ind w:left="1480" w:right="759" w:hanging="246"/>
        <w:spacing w:after="0" w:line="261"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many of which have substantially greater resources than we or our partners do, and many of which have made significant investments in competing technologies, may seek, or may already have sought or obtained, patents that will limit, interfere with or eliminate our ability to make, use, offer to sell, sell, import or otherwise exploit our product candidates or other technologies;</w:t>
      </w:r>
    </w:p>
    <w:p>
      <w:pPr>
        <w:spacing w:after="0" w:line="56" w:lineRule="exact"/>
        <w:rPr>
          <w:rFonts w:ascii="Times New Roman" w:cs="Times New Roman" w:eastAsia="Times New Roman" w:hAnsi="Times New Roman"/>
          <w:sz w:val="14"/>
          <w:szCs w:val="14"/>
          <w:color w:val="auto"/>
        </w:rPr>
      </w:pPr>
    </w:p>
    <w:p>
      <w:pPr>
        <w:ind w:left="1480" w:right="839" w:hanging="246"/>
        <w:spacing w:after="0" w:line="258"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parties may design or may have designed around our patent claims, or may develop or may have developed technologies that may be related or competitive to our product candidates or other technologies, may file and may have filed or may file patent applications and may receive or may have received patents that overlap or conflict with our patent filings, either by claiming the same or overlapping methods, products, reagents or devices or by claiming subject matter that could dominate one or more of our patent claims;</w:t>
      </w:r>
    </w:p>
    <w:p>
      <w:pPr>
        <w:spacing w:after="0" w:line="59" w:lineRule="exact"/>
        <w:rPr>
          <w:rFonts w:ascii="Times New Roman" w:cs="Times New Roman" w:eastAsia="Times New Roman" w:hAnsi="Times New Roman"/>
          <w:sz w:val="14"/>
          <w:szCs w:val="14"/>
          <w:color w:val="auto"/>
        </w:rPr>
      </w:pPr>
    </w:p>
    <w:p>
      <w:pPr>
        <w:ind w:left="1480" w:right="899" w:hanging="246"/>
        <w:spacing w:after="0" w:line="267"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51" w:lineRule="exact"/>
        <w:rPr>
          <w:rFonts w:ascii="Times New Roman" w:cs="Times New Roman" w:eastAsia="Times New Roman" w:hAnsi="Times New Roman"/>
          <w:sz w:val="14"/>
          <w:szCs w:val="14"/>
          <w:color w:val="auto"/>
        </w:rPr>
      </w:pPr>
    </w:p>
    <w:p>
      <w:pPr>
        <w:ind w:left="1480" w:right="939" w:hanging="246"/>
        <w:spacing w:after="0" w:line="267"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patent applications in the United States and most other jurisdictions are confidential for a period of time after filing, we cannot be certain that we or our licensors were the first to file any patent application related to our product candidates or other proprietary technologies;</w:t>
      </w:r>
    </w:p>
    <w:p>
      <w:pPr>
        <w:spacing w:after="0" w:line="51" w:lineRule="exact"/>
        <w:rPr>
          <w:rFonts w:ascii="Times New Roman" w:cs="Times New Roman" w:eastAsia="Times New Roman" w:hAnsi="Times New Roman"/>
          <w:sz w:val="14"/>
          <w:szCs w:val="14"/>
          <w:color w:val="auto"/>
        </w:rPr>
      </w:pPr>
    </w:p>
    <w:p>
      <w:pPr>
        <w:ind w:left="1480" w:right="919" w:hanging="246"/>
        <w:spacing w:after="0" w:line="267"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39" w:hanging="246"/>
        <w:spacing w:after="0" w:line="267" w:lineRule="auto"/>
        <w:tabs>
          <w:tab w:leader="none" w:pos="1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51" w:lineRule="exact"/>
        <w:rPr>
          <w:rFonts w:ascii="Times New Roman" w:cs="Times New Roman" w:eastAsia="Times New Roman" w:hAnsi="Times New Roman"/>
          <w:sz w:val="14"/>
          <w:szCs w:val="14"/>
          <w:color w:val="auto"/>
        </w:rPr>
      </w:pPr>
    </w:p>
    <w:p>
      <w:pPr>
        <w:ind w:left="1480" w:right="759" w:hanging="246"/>
        <w:spacing w:after="0" w:line="258" w:lineRule="auto"/>
        <w:tabs>
          <w:tab w:leader="none" w:pos="1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significant pressure on the U.S. government and other governmental bodies to limit the scope of patent protection or impose compulsory licensing of patent rights for disease treatments that prove successful as a matter of public policy; such a limit of the scope of our patent protection or compulsory licenses may render ineffective any patent protection we might obtain for our products and product candidates and/or could lead us to earning no or an inadequate return on our investments;</w:t>
      </w:r>
    </w:p>
    <w:p>
      <w:pPr>
        <w:spacing w:after="0" w:line="59" w:lineRule="exact"/>
        <w:rPr>
          <w:rFonts w:ascii="Times New Roman" w:cs="Times New Roman" w:eastAsia="Times New Roman" w:hAnsi="Times New Roman"/>
          <w:sz w:val="14"/>
          <w:szCs w:val="14"/>
          <w:color w:val="auto"/>
        </w:rPr>
      </w:pPr>
    </w:p>
    <w:p>
      <w:pPr>
        <w:ind w:left="1480" w:right="899" w:hanging="246"/>
        <w:spacing w:after="0" w:line="267" w:lineRule="auto"/>
        <w:tabs>
          <w:tab w:leader="none" w:pos="1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United States may have patent laws less robust and/or less favorable to patentees than those of the United States, allowing competitors the ability to exploit these laws to create, develop, and market competing products using our technologies; and</w:t>
      </w:r>
    </w:p>
    <w:p>
      <w:pPr>
        <w:spacing w:after="0" w:line="51" w:lineRule="exact"/>
        <w:rPr>
          <w:rFonts w:ascii="Times New Roman" w:cs="Times New Roman" w:eastAsia="Times New Roman" w:hAnsi="Times New Roman"/>
          <w:sz w:val="14"/>
          <w:szCs w:val="14"/>
          <w:color w:val="auto"/>
        </w:rPr>
      </w:pPr>
    </w:p>
    <w:p>
      <w:pPr>
        <w:jc w:val="both"/>
        <w:ind w:left="1480" w:right="1019" w:hanging="246"/>
        <w:spacing w:after="0" w:line="267" w:lineRule="auto"/>
        <w:tabs>
          <w:tab w:leader="none" w:pos="1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and/or proceedings before government agencies, such as patent offices, to defend or enforce our patents or the patents we have rights to enforce, which could be expensive, time-consuming, distracting and/or unsuccessful.</w:t>
      </w:r>
    </w:p>
    <w:p>
      <w:pPr>
        <w:spacing w:after="0" w:line="136"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patent position of biotechnology and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foreign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laws, and those countries may lack adequate rules and procedures for granting, maintaining, protecting, defending and enforcing our intellectual property rights.</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other technologies, which are not protected by patents, to maintain our competitive position. If any trade secret, know-how or other technologies not protected by a patent were to be disclosed to or independently developed by a competitor, our business and financial condition could be materially adversely affected.</w:t>
      </w:r>
    </w:p>
    <w:p>
      <w:pPr>
        <w:spacing w:after="0" w:line="14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44"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 The degree of future protection for our intellectual property and other proprietary rights is uncertain, and we cannot ensure that:</w:t>
      </w:r>
    </w:p>
    <w:p>
      <w:pPr>
        <w:spacing w:after="0" w:line="66" w:lineRule="exact"/>
        <w:rPr>
          <w:sz w:val="20"/>
          <w:szCs w:val="20"/>
          <w:color w:val="auto"/>
        </w:rPr>
      </w:pPr>
    </w:p>
    <w:p>
      <w:pPr>
        <w:ind w:left="1480" w:right="105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patents, or any of our pending patent applications, if issued, or those of our licensors, will include claims having a scope sufficient to protect our product candidates and other technologies;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pending patent applications or those of our licensors may issue as patents;</w:t>
      </w:r>
    </w:p>
    <w:p>
      <w:pPr>
        <w:spacing w:after="0" w:line="91"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or may not be able to make, use, offer to sell or sell products that are the same as or similar to our own but that are not covered by the claims of the patents that we own or license;</w:t>
      </w:r>
    </w:p>
    <w:p>
      <w:pPr>
        <w:spacing w:after="0" w:line="40"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able to successfully commercialize our products on a substantial scale, if approved, before the relevant patents that we own or license expire;</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the first to make the inventions covered by each of the patents and pending patent applications that we own or license;</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co-owners or our licensors were the first to file patent applications for the inventions;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develop similar or alternative products or technologies that do not infringe the patents we own or license;</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patents we own or license will be found to ultimately be valid and enforceable;</w:t>
      </w:r>
    </w:p>
    <w:p>
      <w:pPr>
        <w:spacing w:after="0" w:line="9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patents issued to us or our licensors will provide a basis for an exclusive market for our commercially viable product candidates and other technologies or will provide us with any competitive advantages;</w:t>
      </w:r>
    </w:p>
    <w:p>
      <w:pPr>
        <w:spacing w:after="0" w:line="40"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 party may not challenge the patents we own or license and, if challenged, a court would hold that such patents are valid, enforceable and infringed;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develop or in-license additional proprietary technologies that are patentable;</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will not have an adverse effect on our business;</w:t>
      </w:r>
    </w:p>
    <w:p>
      <w:pPr>
        <w:spacing w:after="0" w:line="91" w:lineRule="exact"/>
        <w:rPr>
          <w:rFonts w:ascii="Times New Roman" w:cs="Times New Roman" w:eastAsia="Times New Roman" w:hAnsi="Times New Roman"/>
          <w:sz w:val="14"/>
          <w:szCs w:val="14"/>
          <w:color w:val="auto"/>
        </w:rPr>
      </w:pPr>
    </w:p>
    <w:p>
      <w:pPr>
        <w:ind w:left="1480" w:right="859" w:hanging="246"/>
        <w:spacing w:after="0" w:line="267"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do not conduct research and development activities in countries where we do not have enforceable patent rights to prevent such activities and then use the information learned from such activities to develop competitive products for sale in our major commercial markets;</w:t>
      </w:r>
    </w:p>
    <w:p>
      <w:pPr>
        <w:spacing w:after="0" w:line="5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develop additional proprietary technologies or product candidates that are separately patentable; or</w:t>
      </w:r>
    </w:p>
    <w:p>
      <w:pPr>
        <w:spacing w:after="0" w:line="91" w:lineRule="exact"/>
        <w:rPr>
          <w:rFonts w:ascii="Times New Roman" w:cs="Times New Roman" w:eastAsia="Times New Roman" w:hAnsi="Times New Roman"/>
          <w:sz w:val="14"/>
          <w:szCs w:val="14"/>
          <w:color w:val="auto"/>
        </w:rPr>
      </w:pPr>
    </w:p>
    <w:p>
      <w:pPr>
        <w:ind w:left="1480" w:right="839" w:hanging="246"/>
        <w:spacing w:after="0" w:line="267" w:lineRule="auto"/>
        <w:tabs>
          <w:tab w:leader="none" w:pos="1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In addition to patents, we also rely on confidential proprietary source codes, trade secrets and know-how. Although we have taken steps to protect the confidentiality of such proprietary source codes, trade secrets and know-how, including maintaining data security protocols and capabilities and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could reduce or eliminate our competitive advantages. Moreover, we may become subject to allegations that we directly or indirectly (through our employees, consultants, advisors or independent contractors that we may engage to assist us in developing our product candidates) have wrongfully or inadvertently disclosed, acquired or used trade secrets or other proprietary information of third parties.</w:t>
      </w:r>
    </w:p>
    <w:p>
      <w:pPr>
        <w:spacing w:after="0" w:line="14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have or may have in the future collaborations to develop collaboration product candidates. Such collaboration product candidates are subject to at least the same risks as product candidates developed by ourselves, and they may be subject to additional risks associated with our collaborators’ technologies. We may not fully control the development, manufacturing, or commercialization of our collaboration product candidates or our collaborators’ activities. We and our collaborators may be unable to adequately obtain, maintain, protect, defend and/or enforce relevant intellectual property rights to protect the collaboration product candidates, and the development, manufacturing, or commercialization of our collaboration product candidates, by us or our collaborators or jointly, may infringe or otherwise violate intellectual property rights of third parties. We may be held responsible for part or all damages and costs in connection with the development, manufacture, or commercialization of such collaboration product candidates, and/or may be required to partially or fully defend or indemnify our collaborators in connection with the development, manufacture, or commercialization of our collaboration product candidates.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We may be forced to litigate to enforce or defend our intellectual property rights.</w:t>
      </w:r>
    </w:p>
    <w:p>
      <w:pPr>
        <w:spacing w:after="0" w:line="93" w:lineRule="exact"/>
        <w:rPr>
          <w:sz w:val="20"/>
          <w:szCs w:val="20"/>
          <w:color w:val="auto"/>
        </w:rPr>
      </w:pPr>
    </w:p>
    <w:p>
      <w:pPr>
        <w:ind w:left="720" w:right="779" w:firstLine="343"/>
        <w:spacing w:after="0" w:line="252" w:lineRule="auto"/>
        <w:rPr>
          <w:sz w:val="20"/>
          <w:szCs w:val="20"/>
          <w:color w:val="auto"/>
        </w:rPr>
      </w:pPr>
      <w:r>
        <w:rPr>
          <w:rFonts w:ascii="Times New Roman" w:cs="Times New Roman" w:eastAsia="Times New Roman" w:hAnsi="Times New Roman"/>
          <w:sz w:val="14"/>
          <w:szCs w:val="14"/>
          <w:color w:val="auto"/>
        </w:rPr>
        <w:t xml:space="preserve">We may be forced to litigate to enforce or defend our intellectual property rights against infringement by competitors, and to protect our trade secrets and know-how against unauthorized use, but we may not be able to detect or prevent, alone or with our licensors and/or licensees, infringement, misappropriation or other violation of our intellectual property rights. In so doing, we may place our intellectual property at risk of being invalidated, held unenforceable or rendered limited or narrowed in scope such that we may not be able to adequately prevent the manufacture, sale or import of competitive products. In an infringement proceeding, a court may decide that a patent we own or license, or a patent we license in the future is invalid, unenforceable or not infringed, or may refuse to stop the other party from using the claimed invention at issue. Even if we establish infringement, the court may decide not to grant an injunction against further infringing activity and instead award only monetary damages, which may or may not be an adequate remedy. Further, an adverse result in any litigation or other proceedings before government agencies such as the USPTO, may place pending applications at risk of non-issuance or burden them with material limitations in scope. Further, derivation proceedings,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 inter partes review, post grant review and opposition proceedings initiated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and/or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31" w:lineRule="exact"/>
        <w:rPr>
          <w:sz w:val="20"/>
          <w:szCs w:val="20"/>
          <w:color w:val="auto"/>
        </w:rPr>
      </w:pPr>
    </w:p>
    <w:p>
      <w:pPr>
        <w:ind w:left="720" w:right="8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Intellectual property rights of third parties could adversely affect our ability to develop or commercialize our product candidates, and we might be required to litigate or obtain licenses from third parties in order to develop or market our product candidates.</w:t>
      </w:r>
    </w:p>
    <w:p>
      <w:pPr>
        <w:spacing w:after="0" w:line="39"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Our commercial success depends in part on our ability and the ability of any of our current or future partners to develop, manufacture, market, offer to sell, sell, import or otherwise exploit our product candidates and our technologies without infringing the intellectual proprietary rights of third 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reexaminations, post-grant review, inter partes review and interference proceedings before the USPTO and corresponding foreign patent offices. Numerous U.S. and foreign issued patents and pending patent applications, which are owned by third parties, exist in the fields in which we are pursuing product candidates.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1" w:lineRule="auto"/>
        <w:rPr>
          <w:sz w:val="20"/>
          <w:szCs w:val="20"/>
          <w:color w:val="auto"/>
        </w:rPr>
      </w:pPr>
      <w:r>
        <w:rPr>
          <w:rFonts w:ascii="Times New Roman" w:cs="Times New Roman" w:eastAsia="Times New Roman" w:hAnsi="Times New Roman"/>
          <w:sz w:val="14"/>
          <w:szCs w:val="14"/>
          <w:color w:val="auto"/>
        </w:rPr>
        <w:t>Third parties may assert that we are employing or have employed their proprietary technology without authorization. There may be third-party patents or patent applications that claim compositions, formulations, methods of manufacture or methods for use that cover or relate to our product candidates, their manufacture or uses. Because patent applications in most countries remain confidential for a period of time after they are filed (commonly, 18 months from their earliest priority date), it is possible that there are unpublished patent applications that may later issue with claims that our product candidates, or their manufacturing or uses, may be alleged to infringe. Because patent applications can take many years to issue, there may be pending patent applications which do not currently seem relevant, but may later result in issued patents that our product candidates, or their manufacturing or uses, may be alleged to infringe. In addition, third parties may file and obtain patents in the future and then allege that our technologies infringe these patents. Additionally, under U.S. patent law, a patent owner may seek a reissue within two years of issuance of a patent to broaden the scope of that patent’s claims if certain legal requirements are met. As a result, patents that, at the time of issuance, do not appear relevant to our activities may later be broadened in a manner that could impact our business. There may be analogous processes for broadening the scope of patents in other jurisdictions as well. Further, patent owners may seek to amend claims in granted or issued patents or otherwise initiate proceedings at the USPTO, foreign patent agencies or courts to fix errors, deficiencies, etc. in their patents or during the prosecution, maintenance or defense of their patents so that claims that are unenforceable and/or not valid become enforceable and not invalid. We cannot guarantee that any of our or our licensors’ or licensees’ patent searches or analyses, including the identification of relevant patents, the scope of patent claims or the expiration of relevant patents, are or will be correct, complete or thorough, nor can we be certain that we or our licensors or our licensees have identified or will identify each and every third-party patent and pending patent application in the United States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impact our ability to market our products. We or our licensors or our licensees may incorrectly determine that our products or product candidates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and we or our licensors or our licensees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probability of patent infringement claims increases. Defense of infringement and other claims, regardless of their merit, would involve substantial litigation expense and would be a substantial diversion of employee resources from our business.</w:t>
      </w:r>
    </w:p>
    <w:p>
      <w:pPr>
        <w:spacing w:after="0" w:line="163" w:lineRule="exact"/>
        <w:rPr>
          <w:sz w:val="20"/>
          <w:szCs w:val="20"/>
          <w:color w:val="auto"/>
        </w:rPr>
      </w:pPr>
    </w:p>
    <w:p>
      <w:pPr>
        <w:ind w:left="720" w:right="759" w:firstLine="343"/>
        <w:spacing w:after="0" w:line="252" w:lineRule="auto"/>
        <w:rPr>
          <w:sz w:val="20"/>
          <w:szCs w:val="20"/>
          <w:color w:val="auto"/>
        </w:rPr>
      </w:pPr>
      <w:r>
        <w:rPr>
          <w:rFonts w:ascii="Times New Roman" w:cs="Times New Roman" w:eastAsia="Times New Roman" w:hAnsi="Times New Roman"/>
          <w:sz w:val="14"/>
          <w:szCs w:val="14"/>
          <w:color w:val="auto"/>
        </w:rPr>
        <w:t>Because our product candidates are still in developmental stages, and one or more features of the product candidates or related technologies such as their structures, manufacture, formulations or uses,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upon or around an NDA submission.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or later issue patent claims that cover our products or critical features of their production or uses. We may not be able to commercialize our products if patents issued to third parties or other third-party intellectual property rights cover, or may be alleged to cover, our products or elements thereof, or their methods of manufacture or uses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timing or at all, and design-around could be prohibitively expensive or impossible.</w:t>
      </w:r>
    </w:p>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If a third party alleges that we infringe its intellectual property rights, we may face a number of issues, including, but not limited</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w:t>
      </w:r>
    </w:p>
    <w:p>
      <w:pPr>
        <w:spacing w:after="0" w:line="77" w:lineRule="exact"/>
        <w:rPr>
          <w:sz w:val="20"/>
          <w:szCs w:val="20"/>
          <w:color w:val="auto"/>
        </w:rPr>
      </w:pPr>
    </w:p>
    <w:p>
      <w:pPr>
        <w:ind w:left="1480" w:right="1199" w:hanging="246"/>
        <w:spacing w:after="0" w:line="283" w:lineRule="auto"/>
        <w:tabs>
          <w:tab w:leader="none" w:pos="1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allegations, which, regardless of merit, may be expensive and time-consuming to litigate and may divert our management’s attention and financial resources from our core business;</w:t>
      </w:r>
    </w:p>
    <w:p>
      <w:pPr>
        <w:spacing w:after="0" w:line="40" w:lineRule="exact"/>
        <w:rPr>
          <w:rFonts w:ascii="Times New Roman" w:cs="Times New Roman" w:eastAsia="Times New Roman" w:hAnsi="Times New Roman"/>
          <w:sz w:val="14"/>
          <w:szCs w:val="14"/>
          <w:color w:val="auto"/>
        </w:rPr>
      </w:pPr>
    </w:p>
    <w:p>
      <w:pPr>
        <w:ind w:left="1480" w:right="739" w:hanging="246"/>
        <w:spacing w:after="0" w:line="258" w:lineRule="auto"/>
        <w:tabs>
          <w:tab w:leader="none" w:pos="1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or other violation of third-party rights, which we may have to pay if a court decides that the product candidate or technology at issue infringes or otherwise violates the third-party’s rights, and, if the court finds that the infringement or other violation was willful, we could be ordered to pay treble damages and the patent owner’s attorneys’ fees (and, in certain jurisdictions outside of the United States, we could be ordered to pay the patent owner’s attorneys’ fees even without such a finding);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3" w:name="page54"/>
    <w:bookmarkEnd w:id="5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39" w:hanging="246"/>
        <w:spacing w:after="0" w:line="267" w:lineRule="auto"/>
        <w:tabs>
          <w:tab w:leader="none" w:pos="1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enjoining us from developing, manufacturing, importing, marketing or selling our product candidates, or from using our proprietary technologies, unless the relevant third party grants us an adequate license, which it is not required to do;</w:t>
      </w:r>
    </w:p>
    <w:p>
      <w:pPr>
        <w:spacing w:after="0" w:line="51" w:lineRule="exact"/>
        <w:rPr>
          <w:rFonts w:ascii="Times New Roman" w:cs="Times New Roman" w:eastAsia="Times New Roman" w:hAnsi="Times New Roman"/>
          <w:sz w:val="14"/>
          <w:szCs w:val="14"/>
          <w:color w:val="auto"/>
        </w:rPr>
      </w:pPr>
    </w:p>
    <w:p>
      <w:pPr>
        <w:ind w:left="1480" w:right="739" w:hanging="246"/>
        <w:spacing w:after="0" w:line="267" w:lineRule="auto"/>
        <w:tabs>
          <w:tab w:leader="none" w:pos="1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a license is available from a third party, we may have to pay substantial royalties, upfront fees, milestones and other amounts and/or grant cross-licenses to intellectual property rights at terms that are not favorable to us, and a license may not be timely obtained; and</w:t>
      </w:r>
    </w:p>
    <w:p>
      <w:pPr>
        <w:spacing w:after="0" w:line="51"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product candidates or processes so they do not infringe, which may not be possible or may require substantial monetary expenditures and time.</w:t>
      </w:r>
    </w:p>
    <w:p>
      <w:pPr>
        <w:spacing w:after="0" w:line="125" w:lineRule="exact"/>
        <w:rPr>
          <w:sz w:val="20"/>
          <w:szCs w:val="20"/>
          <w:color w:val="auto"/>
        </w:rPr>
      </w:pPr>
    </w:p>
    <w:p>
      <w:pPr>
        <w:ind w:left="720" w:right="1239" w:firstLine="343"/>
        <w:spacing w:after="0" w:line="283" w:lineRule="auto"/>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results of operations, financial condition and prospects.</w:t>
      </w:r>
    </w:p>
    <w:p>
      <w:pPr>
        <w:spacing w:after="0" w:line="125"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Our ability to commercialize our product candidates in the United States and abroad may be adversely affected if we cannot successfully defend against infringement allegations or obtain a license on commercially reasonable terms to relevant third-party patents that cover our product candidates. Even if we have a strong defense and/or believe that third-party intellectual property allegations are without merit, there can be no assurance that a court would find in our favor on questions of infringement, validity, enforceability and/or priority. A court of competent jurisdiction could hold that these third-party patents are valid and enforceable and have been infringed, which could materially and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high, which requires us to present clear and convincing evidence as to the invalidity of any such U.S. patent claims, there is no assurance that a court of competent jurisdiction would invalidate the asserted claims of any such U.S. patent. Further, there is no assurance that courts or other administrative or judicial tribunals outside the United States would invalidate the claims of non-U.S. patents that may be asserted against our products and technology.</w:t>
      </w:r>
    </w:p>
    <w:p>
      <w:pPr>
        <w:spacing w:after="0" w:line="144"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If we are found to infringe a third party’s patent rights, and we are unsuccessful in demonstrating that any such patents are invalid or unenforceable, we could be required to pay damages and to obtain a license (which can involve royalty payments) from such third party to continue developing, manufacturing, marketing or selling our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royalty, milestone and/or other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U.S. patent or other intellectual property right, and may not have to pay such damages outside the United States even if any infringement by our products or technology was not willful.</w:t>
      </w:r>
    </w:p>
    <w:p>
      <w:pPr>
        <w:spacing w:after="0" w:line="150" w:lineRule="exact"/>
        <w:rPr>
          <w:sz w:val="20"/>
          <w:szCs w:val="20"/>
          <w:color w:val="auto"/>
        </w:rPr>
      </w:pPr>
    </w:p>
    <w:p>
      <w:pPr>
        <w:jc w:val="both"/>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4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be forced to pay exorbitant settlement fees to settle such litigation and/or may face the negative consequences of infringement lawsuits by such patentees, such as injunctions against the commercialization of our products and technology and/or the distraction of our personnel from properly running our business due to the need to attend to such lawsuits.</w:t>
      </w:r>
    </w:p>
    <w:p>
      <w:pPr>
        <w:spacing w:after="0" w:line="226" w:lineRule="exact"/>
        <w:rPr>
          <w:sz w:val="20"/>
          <w:szCs w:val="20"/>
          <w:color w:val="auto"/>
        </w:rPr>
      </w:pPr>
    </w:p>
    <w:p>
      <w:pPr>
        <w:ind w:left="720" w:right="10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may lead to unfavorable publicity that harms our reputation and causes the market price of our common shares to decline.</w:t>
      </w:r>
    </w:p>
    <w:p>
      <w:pPr>
        <w:spacing w:after="0" w:line="39"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During any intellectual property litigation, there could be public announcements of the initiation of the litigation as well as results of hearings, rulings on motion,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future products, or discourage potential partners from entering into collaborations or business relationships with us, all of which could have a material adverse effect on our business, results of operations, financial condition and prospects.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4" w:name="page55"/>
    <w:bookmarkEnd w:id="5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720" w:right="7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Some of our in-licensed intellectual property rights have been developed through programs funded by the U.S. government and/or government agencies and we may in-license additional intellectual property rights that are developed through programs funded by the U.S. government and/or government agencies, and we may ourselves enter into arrangements involving government funding of certain programs and we make inventions as a result of such funding. Our intellectual property rights to inventions from programs utilizing government funding may be subject to the applicable provisions of the Bayh-Dole Act of 1980 (the “Bayh-Dole Act”).</w:t>
      </w:r>
    </w:p>
    <w:p>
      <w:pPr>
        <w:spacing w:after="0" w:line="58"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To the extent any of our current and future owned or in-licensed intellectual property is generated through the use of U.S. government funding, the provisions of the Bayh-Dole Act may similarly apply. The U.S. government and/or government agencies have provided funding or other assistance in connection with the development of certain intellectual property rights licensed to us. In the future, we may license additional intellectual property rights in inventions supported by the U.S. government and/or government agencies. We may also enter into future arrangements involving government funding. If we make or first reduce to practice inventions as a result of such funding, our intellectual property rights to such inventions may be subject to the applicable provisions of the Bayh-Dole Act. Any exercise by the government of certain rights could harm our competitive position, business, financial condition, results of operations and growth prospects.</w:t>
      </w:r>
    </w:p>
    <w:p>
      <w:pPr>
        <w:spacing w:after="0" w:line="145"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U.S. government rights in certain inventions supported by the U.S. government and/or government agencies include a non-exclusive, non-transferable, irrevocable worldwide license to use inventions for governmental purposes. In addition, the U.S. government has the right, under certain limited circumstances,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collectively referred to as march-in rights. The U.S.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In addition, the U.S. government requires that any products embodying an invention supported by the U.S. government funding or produced through the use of a subject invention supported by the U.S. government funding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Certain government agencies may impose stricter or additional requirements beyond the Bayh-Dole Act in their funding agreements including more stringent requirements of manufacturing in the United States. If we are unable to comply with these manufacturing requirements, we may experience a material adverse effect on our competitive position, business, financial conditions, results of operations and prospects.</w:t>
      </w:r>
    </w:p>
    <w:p>
      <w:pPr>
        <w:spacing w:after="0" w:line="232" w:lineRule="exact"/>
        <w:rPr>
          <w:sz w:val="20"/>
          <w:szCs w:val="20"/>
          <w:color w:val="auto"/>
        </w:rPr>
      </w:pPr>
    </w:p>
    <w:p>
      <w:pPr>
        <w:ind w:left="720" w:right="1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adequate intellectual property rights to product components and manufacturing processes for our development pipeline and to commercialize our product candidates.</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At present, we have rights to certain intellectual property, through licenses from third parties and under patent filings that we own to develop our product candidates. Because our pipeline may involve additional product candidates that could require the use of proprietary rights held by third parties, the growth of our business could depend in part on our ability to acquire, in-license or use these proprietary rights. In addition, our product candidates may require specific pharmaceutical formulations to work effectively and efficiently, and these rights may be held by others. We may be unable to acquire or in-license intellectual property rights that may be necessary to permit us to implement our platform technologies or develop, manufacture or use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in obtaining access to the relevant third-party rights due to their size, cash resources and greater clinical development and commercialization capabilities. Further, we may be unable to negotiate a license within the specified time frame or under terms that are acceptable to us. If we are unable to do so, the third party may offer the intellectual property rights to other parties, potentially blocking our ability to pursue our product candidate and enabling our competitors to compete with our product candidate.</w:t>
      </w:r>
    </w:p>
    <w:p>
      <w:pPr>
        <w:spacing w:after="0" w:line="149" w:lineRule="exact"/>
        <w:rPr>
          <w:sz w:val="20"/>
          <w:szCs w:val="20"/>
          <w:color w:val="auto"/>
        </w:rPr>
      </w:pPr>
    </w:p>
    <w:p>
      <w:pPr>
        <w:ind w:left="720" w:right="859" w:firstLine="343"/>
        <w:spacing w:after="0" w:line="261" w:lineRule="auto"/>
        <w:rPr>
          <w:sz w:val="20"/>
          <w:szCs w:val="20"/>
          <w:color w:val="auto"/>
        </w:rPr>
      </w:pPr>
      <w:r>
        <w:rPr>
          <w:rFonts w:ascii="Times New Roman" w:cs="Times New Roman" w:eastAsia="Times New Roman" w:hAnsi="Times New Roman"/>
          <w:sz w:val="14"/>
          <w:szCs w:val="14"/>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our business, financial condition and prospects for growth could suffer.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5" w:name="page56"/>
    <w:bookmarkEnd w:id="5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cannot ensure that pending claims in our and our licensors’ pending patent applications will issue or that patents based on our or our licensors’ patent applications will not be challenged and rendered invalid and/or unenforceable.</w:t>
      </w:r>
    </w:p>
    <w:p>
      <w:pPr>
        <w:spacing w:after="0" w:line="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have pending patent applications in the United States and/or foreign jurisdictions in our portfolio (owned or in-licensed)</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relating to our research programs and product candidates. However, we cannot predict:</w:t>
      </w:r>
    </w:p>
    <w:p>
      <w:pPr>
        <w:spacing w:after="0" w:line="77" w:lineRule="exact"/>
        <w:rPr>
          <w:sz w:val="20"/>
          <w:szCs w:val="20"/>
          <w:color w:val="auto"/>
        </w:rPr>
      </w:pPr>
    </w:p>
    <w:p>
      <w:pPr>
        <w:ind w:left="1480" w:hanging="246"/>
        <w:spacing w:after="0"/>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of any patent issuing based on our or our licensors’ patent applications;</w:t>
      </w:r>
    </w:p>
    <w:p>
      <w:pPr>
        <w:spacing w:after="0" w:line="91" w:lineRule="exact"/>
        <w:rPr>
          <w:rFonts w:ascii="Times New Roman" w:cs="Times New Roman" w:eastAsia="Times New Roman" w:hAnsi="Times New Roman"/>
          <w:sz w:val="14"/>
          <w:szCs w:val="14"/>
          <w:color w:val="auto"/>
        </w:rPr>
      </w:pPr>
    </w:p>
    <w:p>
      <w:pPr>
        <w:ind w:left="1480" w:right="1239" w:hanging="246"/>
        <w:spacing w:after="0" w:line="283" w:lineRule="auto"/>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claims of any patent issuing based on our or our licensors’ patent applications will provide adequate protection against competitors;</w:t>
      </w:r>
    </w:p>
    <w:p>
      <w:pPr>
        <w:spacing w:after="0" w:line="40" w:lineRule="exact"/>
        <w:rPr>
          <w:rFonts w:ascii="Times New Roman" w:cs="Times New Roman" w:eastAsia="Times New Roman" w:hAnsi="Times New Roman"/>
          <w:sz w:val="14"/>
          <w:szCs w:val="14"/>
          <w:color w:val="auto"/>
        </w:rPr>
      </w:pPr>
    </w:p>
    <w:p>
      <w:pPr>
        <w:ind w:left="1480" w:right="999" w:hanging="246"/>
        <w:spacing w:after="0" w:line="283" w:lineRule="auto"/>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third parties will find ways to challenge, narrow, invalidate or circumvent our or our licensors’ patent rights;</w:t>
      </w:r>
    </w:p>
    <w:p>
      <w:pPr>
        <w:spacing w:after="0" w:line="40" w:lineRule="exact"/>
        <w:rPr>
          <w:rFonts w:ascii="Times New Roman" w:cs="Times New Roman" w:eastAsia="Times New Roman" w:hAnsi="Times New Roman"/>
          <w:sz w:val="14"/>
          <w:szCs w:val="14"/>
          <w:color w:val="auto"/>
        </w:rPr>
      </w:pPr>
    </w:p>
    <w:p>
      <w:pPr>
        <w:ind w:left="1480" w:right="979" w:hanging="246"/>
        <w:spacing w:after="0" w:line="283" w:lineRule="auto"/>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others will obtain patents claiming aspects similar to those covered by our or our licensors’ patents, if issued, and patent applications;</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or our licensors will need to initiate litigation or administrative proceedings to obtain, defend and/or enforce our patent rights which will be costly whether we win or lose; and/or</w:t>
      </w:r>
    </w:p>
    <w:p>
      <w:pPr>
        <w:spacing w:after="0" w:line="40"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patent applications that we own or in-license will result in issued patents with claims that cover our product candidates or their manufacturing or uses.</w:t>
      </w:r>
    </w:p>
    <w:p>
      <w:pPr>
        <w:spacing w:after="0" w:line="12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cannot be certain that the claims in our current or future patent applications directed to our product candidates, as well as technologies relating to our research programs, will be considered patentable by the USPTO or by patent offices in foreign countries. One aspect of the determination of patentability of our inventions depends on the scope and content of the “prior art,” information that was or is deemed available to a person of ordinary skill in the relevant art prior to the priority date of the claimed invention. The biotechnology and pharmaceutical industries are intense, fast-moving and highly competitive. There may be prior art of which we are not aware that may affect the patentability of our patent claims or affect the validity or enforceability of an issued patent claim relevant to our business. There is no assurance that there is no prior art of which we are aware, but which we do not believe is relevant to our patent claims or business, which may, nonetheless, ultimately be found to limit our ability to obtain, maintain, defend and/or enforce patent rights, including those that protect us against third parties to make, use, sell, offer for sale or import our products that may be approved in the future, or to otherwise impair our competitive position. In some cases, prior art may prevent us from obtaining, maintaining, defending and/or enforcing patent rights that are necessary to protect our product candidates.</w:t>
      </w:r>
    </w:p>
    <w:p>
      <w:pPr>
        <w:spacing w:after="0" w:line="144"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Even if the patents do issue based on our owned or in-licensed patent applications, third parties may challenge the validity, enforceability or scope thereof, which may result in such patents being narrowed, revoked,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platform or product candidates is threatened, it could dissuade companies from collaborating with us to develop and threaten our ability to commercialize our product candidates. In the event of litigation or administrative proceedings, we cannot be certain that the claims in any of our owned or in-licensed current or future issued patents will be found not invalid and enforceable by courts or other tribunals in the United States or foreign countries. Any of the foregoing could have a material adverse effect on our business, financial condition, results of operations and prospects.</w:t>
      </w:r>
    </w:p>
    <w:p>
      <w:pPr>
        <w:spacing w:after="0" w:line="231" w:lineRule="exact"/>
        <w:rPr>
          <w:sz w:val="20"/>
          <w:szCs w:val="20"/>
          <w:color w:val="auto"/>
        </w:rPr>
      </w:pPr>
    </w:p>
    <w:p>
      <w:pPr>
        <w:ind w:left="720" w:right="7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spacing w:after="0" w:line="56"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Certain aspects of some of our platform technologies and/or some of our product candidates utilize third-party technologies to which we have access through license or other agreements, and we may also enter into additional agreements with third parties in the future. Our current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that are unfavorable to us.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have a license agreement with the President and Fellows of Harvard College (“Harvard”), pursuant to which have obtained access to certain polypeptide technologies that can be useful for the development of one or more of our programs (the “Harvard License”). The intellectual property rights we in-licensed pursuant to the Harvard License include issued and/or pending patent filings that include claims that may generically cover the composition of matter, manufacturing and/or use of one or more of our current or future product candidates, including zolucatetide. As described elsewhere in this prospectus, Harvard may terminate the Harvard License under certain circumstances. For more information, see the section titled “</w:t>
      </w:r>
      <w:r>
        <w:rPr>
          <w:rFonts w:ascii="Times New Roman" w:cs="Times New Roman" w:eastAsia="Times New Roman" w:hAnsi="Times New Roman"/>
          <w:sz w:val="14"/>
          <w:szCs w:val="14"/>
          <w:i w:val="1"/>
          <w:iCs w:val="1"/>
          <w:color w:val="auto"/>
        </w:rPr>
        <w:t>Business—License Agreement.</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6" w:name="page57"/>
    <w:bookmarkEnd w:id="5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2" w:lineRule="auto"/>
        <w:rPr>
          <w:sz w:val="20"/>
          <w:szCs w:val="20"/>
          <w:color w:val="auto"/>
        </w:rPr>
      </w:pPr>
      <w:r>
        <w:rPr>
          <w:rFonts w:ascii="Times New Roman" w:cs="Times New Roman" w:eastAsia="Times New Roman" w:hAnsi="Times New Roman"/>
          <w:sz w:val="14"/>
          <w:szCs w:val="14"/>
          <w:color w:val="auto"/>
        </w:rPr>
        <w:t>Our success will depend in part on the ability of our licensors to obtain, maintain, defend and enforce our licensed intellectual property rights including patent protection for our licensed intellectual property. To the extent that the licensors’ inventions are made using the U.S. government support, such intellectual property rights are subject to provisions in the relevant agreements with the government and the Bayh-Dole Act. Further, certain patent filings relating to our product candidates may now or in the future be subject to step-in rights of certain of our licensors. We have limited or no control over our licensors’ preparation, filing, obtaining, maintaining, defending or enforcing the licensed intellectual property rights, or their compliance with the provisions in their agreements with the U.S. government or other third parties. We have limited or no control over certain of our licensors’, and may in the future have limited or no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obtain sufficient breadth of scope to protect our products and technologies, may fail to maintain these patents, may determine not to defend these patents when challenged, and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protecting any of our product candidates, our ability to develop and commercialize those product candidates may be adversely affected and we may not be able to prevent competitors or other third parties from making, using or selling competing products. In addition, we may sublicense certain of our rights under various third-party licenses to our collaboration partners. Any impairment of these sublicensed rights could 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8"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We cannot be certain that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or unenforceability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or for which we obtained a license requiring consent or cooperation of the owner for purposes of enforcement.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or unenforceability of those patents, we may still be adversely affected or prejudiced by actions or inactions of our licensors and their counsel that took place prior to or after assuming control.</w:t>
      </w:r>
    </w:p>
    <w:p>
      <w:pPr>
        <w:spacing w:after="0" w:line="149"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p>
    <w:p>
      <w:pPr>
        <w:spacing w:after="0" w:line="144"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third-party in-license or other agreement fail to provide the intended exclusivity, third parties may be able to seek regulatory approval of, and to market, products identical or substantially similar to ours and we may be required to cease the development and commercialization of our product 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7" w:name="page58"/>
    <w:bookmarkEnd w:id="5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are covered by intellectual property of the licensor that is not subject to the agreement; our right to sublicense patent and other rights to third 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inventorship and/or ownership of inventions and know-how resulting from the joint creation or use of intellectual property by our licensors and us and our collaboration partners.</w:t>
      </w:r>
    </w:p>
    <w:p>
      <w:pPr>
        <w:spacing w:after="0" w:line="144" w:lineRule="exact"/>
        <w:rPr>
          <w:sz w:val="20"/>
          <w:szCs w:val="20"/>
          <w:color w:val="auto"/>
        </w:rPr>
      </w:pPr>
    </w:p>
    <w:p>
      <w:pPr>
        <w:ind w:left="720" w:right="1119" w:firstLine="343"/>
        <w:spacing w:after="0" w:line="283"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our current licensing arrangements on favorable terms, we may be unable to successfully develop and commercialize the affected product candidates.</w:t>
      </w:r>
    </w:p>
    <w:p>
      <w:pPr>
        <w:spacing w:after="0" w:line="125"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We are generally also subject to all of the same risks with respect to protection of intellectual property that we license, as we are for intellectual property that we own, for example, those described below. If we or our licensors fail to adequately protect this intellectual property, our ability to commercialize products could suffer.</w:t>
      </w:r>
    </w:p>
    <w:p>
      <w:pPr>
        <w:spacing w:after="0" w:line="218" w:lineRule="exact"/>
        <w:rPr>
          <w:sz w:val="20"/>
          <w:szCs w:val="20"/>
          <w:color w:val="auto"/>
        </w:rPr>
      </w:pPr>
    </w:p>
    <w:p>
      <w:pPr>
        <w:ind w:left="720" w:right="8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proprietary trade secrets or know-how, our business and competitive position would be harmed.</w:t>
      </w:r>
    </w:p>
    <w:p>
      <w:pPr>
        <w:spacing w:after="0" w:line="39" w:lineRule="exact"/>
        <w:rPr>
          <w:sz w:val="20"/>
          <w:szCs w:val="20"/>
          <w:color w:val="auto"/>
        </w:rPr>
      </w:pPr>
    </w:p>
    <w:p>
      <w:pPr>
        <w:ind w:left="720" w:right="879" w:firstLine="343"/>
        <w:spacing w:after="0" w:line="257" w:lineRule="auto"/>
        <w:rPr>
          <w:sz w:val="20"/>
          <w:szCs w:val="20"/>
          <w:color w:val="auto"/>
        </w:rPr>
      </w:pPr>
      <w:r>
        <w:rPr>
          <w:rFonts w:ascii="Times New Roman" w:cs="Times New Roman" w:eastAsia="Times New Roman" w:hAnsi="Times New Roman"/>
          <w:sz w:val="14"/>
          <w:szCs w:val="14"/>
          <w:color w:val="auto"/>
        </w:rPr>
        <w:t>In addition to patent protection, we also seek to rely upon trade secret protection, data security protocols and capabilities, and non-disclosure agreements with our employees, consultants and third parties, to maintain our competitive position and to protect our confidential and proprietary source code, know-how and other information that is not patentable or processes for which patents are difficult to enforce, and any other elements of our product candidates and their discovery and development processes that involve proprietary know-how, information or technology that is not covered by patents. However, confidential information including trade secrets and know-how may be difficult to protect.</w:t>
      </w:r>
    </w:p>
    <w:p>
      <w:pPr>
        <w:spacing w:after="0" w:line="14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It is our policy to require our employees, corporate collaborators, outside scientific collaborators, CROs, CDMOs, consultants, advisors and other third parties to execute confidentiality agreements upon the commencement of employment, consulting or business relationships with us. However, we cannot guarantee that we have entered into agreements with each party that may have or have had access to our trade secret or proprietary technologies and processes. Despite our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any such breaches.</w:t>
      </w:r>
    </w:p>
    <w:p>
      <w:pPr>
        <w:spacing w:after="0" w:line="144"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In addition to contractual measures, we try to protect the confidential nature of our trade secret and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 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Enforcing a claim that a party wrongfully or illegally disclosed or misappropriated trade secrets or know-how can be difficult, expensive and time-consuming, and the outcome is unpredictable. Some courts inside and outside the United States are less willing or unwilling to protect trade secrets and know-how. In addition, trade secrets and know-how may be lawfully obtained or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w:t>
      </w:r>
    </w:p>
    <w:p>
      <w:pPr>
        <w:spacing w:after="0" w:line="143"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Certain former employees have obtained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however, these contractual provisions may not be enforceable by us in the Commonwealth of Massachusetts or other jurisdictions. In addition, we may not be aware of such competitive employment arrangements until after our trade secrets or know-how has been disclosed to potentially competitive companies.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If we choose to go to court to enjoin a third party from using any of our trade secrets or know-how, we may incur substantial costs and/or we may ultimately not be successful.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trade secret or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growth prospects.</w:t>
      </w:r>
    </w:p>
    <w:p>
      <w:pPr>
        <w:spacing w:after="0" w:line="231" w:lineRule="exact"/>
        <w:rPr>
          <w:sz w:val="20"/>
          <w:szCs w:val="20"/>
          <w:color w:val="auto"/>
        </w:rPr>
      </w:pPr>
    </w:p>
    <w:p>
      <w:pPr>
        <w:ind w:left="720" w:right="9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allegations that our employees, consultants or independent contractors have wrongfully used or disclosed confidential information of third parties including alleged trade secrets of their former employers.</w:t>
      </w:r>
    </w:p>
    <w:p>
      <w:pPr>
        <w:spacing w:after="0" w:line="39"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As is common in the biotechnology industry, we employ individuals, including certain of our key employees, and engage consultants and independent contractors. Many of our employees, consultants or independent contractors are or were previously employed at academic institutions or other biotechnology companies, including our competitors or potential competitors. Although we try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their former employers or other third parties. Litigation may be necessary to defend against these allegations. If we fail in defending against, or successfully defending against,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allegations challenging the inventorship or ownership of our patents and other intellectual property.</w:t>
      </w:r>
    </w:p>
    <w:p>
      <w:pPr>
        <w:spacing w:after="0" w:line="9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We may be subject to allegations that current or former employees, consultants, independent contractors, collaborators or other third parties have an ownership or other interest in our patents or other intellectual property. Ownership disputes may arise, for example, from conflicting obligations of consultants or others who are involved in developing our product candidates and technology. Litigation may be necessary to defend against these and other allegations challenging inventorship or ownership. If we fail in defending against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w:t>
      </w:r>
    </w:p>
    <w:p>
      <w:pPr>
        <w:spacing w:after="0" w:line="14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inventorship and/or the ownership of what we regard as our intellectual property. Such claims could have a material adverse effect on our business, financial condition, results of operations and prospects.</w:t>
      </w:r>
    </w:p>
    <w:p>
      <w:pPr>
        <w:spacing w:after="0" w:line="226" w:lineRule="exact"/>
        <w:rPr>
          <w:sz w:val="20"/>
          <w:szCs w:val="20"/>
          <w:color w:val="auto"/>
        </w:rPr>
      </w:pPr>
    </w:p>
    <w:p>
      <w:pPr>
        <w:ind w:left="720" w:right="11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governmental fees on patents and applications will be due to be paid to the USPTO and various non-U.S. patent agencies in several stages over the lifetime of the patents or applications. We rely on our outside counsel or vendor to pay these fees due; however, we cannot guarantee that we will successfully pay these fees. The USPTO and various non-U.S. government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an event of abandonment or lapse of a patent or patent application, our competitors might be able to enter the market and this circumstance would have a material adverse impact on our business. We cannot be sure that we or our licensors will be able to fully comply with these requirements, and we or our licensors may lose material patent protection as a result.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9" w:name="page60"/>
    <w:bookmarkEnd w:id="5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w:t>
      </w:r>
    </w:p>
    <w:p>
      <w:pPr>
        <w:spacing w:after="0" w:line="144" w:lineRule="exact"/>
        <w:rPr>
          <w:sz w:val="20"/>
          <w:szCs w:val="20"/>
          <w:color w:val="auto"/>
        </w:rPr>
      </w:pPr>
    </w:p>
    <w:p>
      <w:pPr>
        <w:ind w:left="720" w:right="819" w:firstLine="343"/>
        <w:spacing w:after="0" w:line="253" w:lineRule="auto"/>
        <w:rPr>
          <w:sz w:val="20"/>
          <w:szCs w:val="20"/>
          <w:color w:val="auto"/>
        </w:rPr>
      </w:pPr>
      <w:r>
        <w:rPr>
          <w:rFonts w:ascii="Times New Roman" w:cs="Times New Roman" w:eastAsia="Times New Roman" w:hAnsi="Times New Roman"/>
          <w:sz w:val="14"/>
          <w:szCs w:val="14"/>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in other jurisdictions.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items related to national security or national defense). In some cases, for example in China and India, a foreign filing license cannot be obtained retroactively in accordance with the applicable rules. There are situations in which non-compliance can result in abandonment of a pending patent application or can be grounds for revoking or invalidating an issued patent and/or rendering an issued patent unenforceable,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We cannot ensure that our licensors will take such action, or timely take such action, in a manner sufficient to protect our rights.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Issued patents covering our product candidates could be found invalid or unenforceable if challenged in court.</w:t>
      </w:r>
    </w:p>
    <w:p>
      <w:pPr>
        <w:spacing w:after="0" w:line="93"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If we or one of our collaboration partners were to initiate legal proceedings against a third party to enforce a patent covering one of our product candidates, the defendant could counterclaim that the patent covering our product candidate or technology is invalid and/or unenforceable. In patent litigation in the United States and other jurisdictions,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Third-parties may also raise similar allegations before administrative bodies in the United States or abroad, even outside the context of litigation. Such mechanisms include post- or pre-grant administrative proceedings, such as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 inter partes review, post grant review, interference proceedings and equivalent proceedings in foreign jurisdictions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opposition proceedings). Such proceedings could result in revocation or amendment of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and/or unenforceability of patent rights covering a product candidate or technology, we would lose at least part, and perhaps all, of the patent protection on our product candidate or technology.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within the safe harbor to patent infringement under 35 U.S.C. § 271(e)(1) or analogous laws outside the United States.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sufficient patent term for our product candidates, our business may be materially harmed.</w:t>
      </w:r>
    </w:p>
    <w:p>
      <w:pPr>
        <w:spacing w:after="0" w:line="93"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Patents have a limited term. The terms of individual patents depend upon the legal term for patents in the countries in which they are granted. In the United States, if all maintenance fees are timely paid, the natural expiration of a patent is generally 20 years from the earliest non-provisional filing date, subject to patent term adjustments, extensions and disclaimers. Many foreign jurisdictions provide a similar 20-year nominal patent term, though many require payment of regular, often annual, annuities to maintain pendency of an application or viability of an issued patent. However, the actual protection afforded by a patent varies from country to country, and also depends upon many factors, including the type of patent, the scope of coverage, the availability of regulatory 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based on regulatory review and approval may be available, but the durations of such extensions, and the protections they afford, are limited in the United States and other countries and regions. Additional patent terms may be available through a patent term adjustment process in the United States, for delays caused by the USPTO during prosecution, which may be reduced by applicants’ delays. Although various extensions or adjustments may be available, the life of a patent, and the protection it affords, is limited. Even if patents covering our product candidates are obtained, once the patent life has expired for a product candidate, we may face substantially increased competition from generics or biosimilars.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0" w:name="page61"/>
    <w:bookmarkEnd w:id="6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Depending upon the timing, duration and specifics of FDA regulatory approval of our product candidates, one or more patents issued from U.S. patent applications that we or a future licensor file may be eligible for limited patent term restoration under the Drug Price Competition and Patent Term Restoration Act of 1984 (the “Hatch-Waxman Amendments”) through patent term extension. The Hatch-Waxman Amendments permit a patent restoration term of up to five years as compensation for patent term lost during the FDA regulatory review process based on the first regulatory approval for a particular drug.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an approved method for using it or a method for manufacturing it may be extended. Patent term extension may also be available in certain foreign countries upon regulatory approval of our product candidates.</w:t>
      </w:r>
    </w:p>
    <w:p>
      <w:pPr>
        <w:spacing w:after="0" w:line="149"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that is granted through the extension may be less than we requested or expected and may not be sufficient to protect all uses of our products.</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If we are unable to obtain patent term extension, or the foreign equivalent, or the term of any such extension is less than we requested or expected or the scope is not sufficient, our competitors or other third-parties may obtain approval of competing drugs following our patent expiration, and our revenue could be reduced, possibly materially. Further, if this occurs, our competitors or other third-parties may take advantage of our investment in development and trials by referencing our clinical and preclinical data and launch their drug earlier than might otherwise have been the case. Any of the foregoing could materially harm our business, financial condition, results of operations and growth prospects.</w:t>
      </w:r>
    </w:p>
    <w:p>
      <w:pPr>
        <w:spacing w:after="0" w:line="225" w:lineRule="exact"/>
        <w:rPr>
          <w:sz w:val="20"/>
          <w:szCs w:val="20"/>
          <w:color w:val="auto"/>
        </w:rPr>
      </w:pPr>
    </w:p>
    <w:p>
      <w:pPr>
        <w:ind w:left="720" w:right="10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39"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Filing, prosecuting, maintaining and defending patents covering our platform and product candidates in all countries throughout the world would be prohibitively expensive, and our intellectual property rights in some or all countries outside the United States can be less extensive than those in the United States. In addition, the laws of some countries do not protect intellectual property rights to the same extent as laws in the United States. Competitors may use our technologies and innovations in jurisdictions where we have not obtained patent protection to develop their own products and technologies and, further, may export otherwise infringing products or technologies to territories where we have patent protection, but where enforcement is not as strong as in the United States or Europe. These products may compete with our product candidates, and our patents or other intellectual property rights may not be effective or sufficient to prevent them from competing.</w:t>
      </w:r>
    </w:p>
    <w:p>
      <w:pPr>
        <w:spacing w:after="0" w:line="145"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In addition, we may decide to abandon patent applications before they are granted. The examination of each patent application is an independent proceeding. As a result, patent applications in the same family may issue as patents in some jurisdictions, such as in the United States, but may issue as patents with claims of different scope or may even not issue in other jurisdictions. Furthermore, the requirements for patentability differ in certain jurisdictions and countries. For example, some countries do not grant claims directed to methods of treatment or have additional restrictions on the scope of method of treatment claims compared to the United States. Accordingly, depending on the country, the scope of patent protection may vary for the same product candidate or technology. For costs or other reasons, we may choose not to file, prosecute, maintain, defend and/or enforce certain patent filings, including abandoning pending patent applications or issued patents.</w:t>
      </w:r>
    </w:p>
    <w:p>
      <w:pPr>
        <w:spacing w:after="0" w:line="145"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While we intend to protect our intellectual property rights in our expected significant markets, we cannot ensure that we will be able to initiate or maintain protection efforts, and achieve successful protection, in all such markets. Additionally, the prosecution of patent applications can be a long process and patents may not be timely granted if ever granted, potentially delaying our ability to assert such patents against competitors. Accordingly, our efforts to protect our intellectual property rights in the United States and foreign countries may be inadequate, which may have an adverse effect on our ability to successfully commercialize our product candidates in all of our expected significant markets. If we encounter difficulties in protecting, or are otherwise precluded from effectively protecting, the intellectual property rights important for our business, the value of these rights may be diminished, and we may face additional competition.</w:t>
      </w:r>
    </w:p>
    <w:p>
      <w:pPr>
        <w:spacing w:after="0" w:line="145"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in the United States and Europe, and many companies have encountered significant difficulties in obtaining, defending or enforcing such rights in such jurisdictions. The legal systems of certain countries, particularly certain developing countries, do not favor obtaining, defending, or enforcing patents, trade secrets and other intellectual property rights, which could make it difficult for us to stop the infringement of any patents we obtain, prevent misappropriation of our intellectual property or prevent the marketing of competing products by third parties in violation of our proprietary rights generally. Proceedings to enforce our patent rights in other jurisdictions, whether or not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99"/>
        <w:spacing w:after="0" w:line="257" w:lineRule="auto"/>
        <w:rPr>
          <w:sz w:val="20"/>
          <w:szCs w:val="20"/>
          <w:color w:val="auto"/>
        </w:rPr>
      </w:pPr>
      <w:r>
        <w:rPr>
          <w:rFonts w:ascii="Times New Roman" w:cs="Times New Roman" w:eastAsia="Times New Roman" w:hAnsi="Times New Roman"/>
          <w:sz w:val="14"/>
          <w:szCs w:val="14"/>
          <w:color w:val="auto"/>
        </w:rPr>
        <w:t>successful, could result in substantial costs and divert our efforts and attention from other aspects of our business, could put any patents we obtain at risk of being invalidated or interpreted narrowly, and put our patent applications at risk of not issuing as patents, and could result in the assertion by third parties of claims or rights against us. We may not prevail in any lawsuits that we initiate, and the damages or other remedies awarded, if any, may not be commercially meaningful. Accordingly, our efforts to enforce our intellectual property rights around the world may be inadequate to obtain a significant, or any, commercial advantage from the intellectual property that we develop or license.</w:t>
      </w:r>
    </w:p>
    <w:p>
      <w:pPr>
        <w:spacing w:after="0" w:line="14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materially impaired.</w:t>
      </w:r>
    </w:p>
    <w:p>
      <w:pPr>
        <w:spacing w:after="0" w:line="144"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certain European patents granted before the implementation of the new system can be opted out of UPC jurisdiction, and validated as national patents in any one or more of the UPC countries. We may decide during this transition period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who are signatories to the UPC. The UPC may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w:t>
      </w:r>
    </w:p>
    <w:p>
      <w:pPr>
        <w:spacing w:after="0" w:line="149" w:lineRule="exact"/>
        <w:rPr>
          <w:sz w:val="20"/>
          <w:szCs w:val="20"/>
          <w:color w:val="auto"/>
        </w:rPr>
      </w:pPr>
    </w:p>
    <w:p>
      <w:pPr>
        <w:ind w:left="720" w:right="1179" w:firstLine="343"/>
        <w:spacing w:after="0" w:line="283" w:lineRule="auto"/>
        <w:rPr>
          <w:sz w:val="20"/>
          <w:szCs w:val="20"/>
          <w:color w:val="auto"/>
        </w:rPr>
      </w:pPr>
      <w:r>
        <w:rPr>
          <w:rFonts w:ascii="Times New Roman" w:cs="Times New Roman" w:eastAsia="Times New Roman" w:hAnsi="Times New Roman"/>
          <w:sz w:val="14"/>
          <w:szCs w:val="14"/>
          <w:color w:val="auto"/>
        </w:rPr>
        <w:t>If we are unable to obtain and enforce patents as needed in particular markets, our ability to exclude competitors in those markets may be reduced.</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could diminish the value of patents in general, thereby impairing our ability to protect our products.</w:t>
      </w:r>
    </w:p>
    <w:p>
      <w:pPr>
        <w:spacing w:after="0" w:line="9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As is the case with other biotechnology companies, our success is heavily dependent on intellectual property, particularly patents. Obtaining, maintaining, defending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and to obtain, maintain, enforce and defend our intellectual property rights and, more generally, could affect the value of our intellectual property or narrow the scope of our current or future owned and licensed patents.</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patent positions of companies in the development and commercialization of pharmaceuticals are particularly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or our licensors’ ability to obtain new patents and to maintain, defend and/or enforce our existing or future patents. The U.S. Supreme Court has ruled on several patent cases in recent years, narrowing the scope of patent protection available in certain circumstances or otherwise weakening the rights of patent owners. In addition to increasing uncertainty with regard to our ability to obtain patents in the future, this combination of events has created uncertainty with respect to the validity and enforceability of issued or future patents. Depending on future actions by the relevant law-making bodies in other countries, the laws and regulations governing patents could change in unpredictable ways that would weaken our or our licensors’ ability to obtain new patents in such counties and to maintain, defend and/or enforce our existing or further patents in such countries. We cannot predict how future decisions by the federal courts, the U.S. Congress, the USPTO and/or analogous courts and bodies outside the United States may impact the value of our patents. Changes in the patent laws of the United States and other jurisdictions might also adversely affect our business, financial condition, results of operations and prospects.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2" w:name="page63"/>
    <w:bookmarkEnd w:id="6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The USPTO has issued subject matter eligibility guidance instructing USPTO examiners on the ramifications of the Supreme Court rulings in </w:t>
      </w:r>
      <w:r>
        <w:rPr>
          <w:rFonts w:ascii="Times New Roman" w:cs="Times New Roman" w:eastAsia="Times New Roman" w:hAnsi="Times New Roman"/>
          <w:sz w:val="14"/>
          <w:szCs w:val="14"/>
          <w:i w:val="1"/>
          <w:iCs w:val="1"/>
          <w:color w:val="auto"/>
        </w:rPr>
        <w:t>Mayo Collaborative Services v. Prometheus Laboratories, Inc.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Association for Molecular Pathology v. Myriad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Genetics, Inc.</w:t>
      </w:r>
      <w:r>
        <w:rPr>
          <w:rFonts w:ascii="Times New Roman" w:cs="Times New Roman" w:eastAsia="Times New Roman" w:hAnsi="Times New Roman"/>
          <w:sz w:val="14"/>
          <w:szCs w:val="14"/>
          <w:color w:val="auto"/>
        </w:rPr>
        <w:t>, and applied the</w:t>
      </w:r>
      <w:r>
        <w:rPr>
          <w:rFonts w:ascii="Times New Roman" w:cs="Times New Roman" w:eastAsia="Times New Roman" w:hAnsi="Times New Roman"/>
          <w:sz w:val="14"/>
          <w:szCs w:val="14"/>
          <w:i w:val="1"/>
          <w:iCs w:val="1"/>
          <w:color w:val="auto"/>
        </w:rPr>
        <w:t xml:space="preserve"> Myriad </w:t>
      </w:r>
      <w:r>
        <w:rPr>
          <w:rFonts w:ascii="Times New Roman" w:cs="Times New Roman" w:eastAsia="Times New Roman" w:hAnsi="Times New Roman"/>
          <w:sz w:val="14"/>
          <w:szCs w:val="14"/>
          <w:color w:val="auto"/>
        </w:rPr>
        <w:t>ruling to natural products and principles including all naturally occurring molecules.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 the USPTO continues to provide updates to its guidance that may make it impossible for us to obtain similar patent claims in future patent applications. Currently, our patent portfolio contains claims of various types and scopes, including methods of medical treatment. The presence of varying types of claims in our patent portfolio may not eliminate our exposure to potential validity challenges alleging a lack of subject matter eligibility. Furthermore, U.S. Court of Appeals for the Federal Circuit has held that an inventor on a U.S. patent must be a natural person and not a machine or AI. As a result, AI systems, regardless of their sophistication, cannot be named as inventors or joint inventors on a patent application as they are not natural persons. The USPTO has recently issued inventorship guidance for AI-assisted inventions. Given that we use AI in certain aspects of our Helicon discovery platform, certain AI-assisted inventions may be deemed ineligible for patent protection if it is determined that there is not a sufficient level of human inventive contribution.</w:t>
      </w:r>
    </w:p>
    <w:p>
      <w:pPr>
        <w:spacing w:after="0" w:line="150"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In the United States, the Leahy-Smith America Invents Act (the “Leahy-Smith Act”) was signed into law on September 16, 2011. The Leahy-Smith Act included a number of significant changes to U.S. patent law. These included provisions that affect the way patent applications are prosecuted, redefine prior art and provide potentially more efficient and cost-effective avenues for competitors to challenge the validity of patents. The USPTO has promulgated regulations and developed procedures to govern administration of the Leahy-Smith Act. Many substantive changes to patent law associated with the Leahy-Smith Act has come into effect since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145"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An important change introduced by the Leahy-Smith Act is that, as of March 16, 2013, the United States transitioned to a “first-inventor-to-file”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45"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Among some of the other changes introduced by the Leahy-Smith Act are changes that limit where a patentee may file a patent infringement suit and new procedures providing opportunities for third parties to challenge any issued patent in the USPTO. These new post grant challenges include post grant review and inter partes review proceedings before the Patent Trial and Appeal Board at the USPTO. Because of a lower evidentiary standard in USPTO proceedings compared to the evidentiary standard in U.S. federal court necessary to invalidate a patent claim, a third party could potentially provide evidence in a USPTO proceeding sufficient for the USPTO to hold a claim unpatentable even though the same evidence would be insufficient to invalidate the claim if presented in a district court action. Accordingly, a third party may attempt to use the USPTO procedures to invalidate patent claims that would not have been invalidated if challenged by the third party as a defendant in a district court action. The USPTO has made many changes and may make future changes to the rules of practice for implementing post-grant proceedings. These USPTO rules and changes thereto can impact the ability of third parties, and our ability, to challenge or defend U.S. patents before the USPTO.</w:t>
      </w:r>
    </w:p>
    <w:p>
      <w:pPr>
        <w:spacing w:after="0" w:line="146"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Similarly, changes in patent law and regulations in other jurisdictions or changes in the governmental bodies that enforce them or changes in how the relevant governmental authority enforces patent laws or regulations may weaken our ability to obtain, maintain, defend or enforce current and future patents in our portfolio.</w:t>
      </w:r>
    </w:p>
    <w:p>
      <w:pPr>
        <w:spacing w:after="0" w:line="136" w:lineRule="exact"/>
        <w:rPr>
          <w:sz w:val="20"/>
          <w:szCs w:val="20"/>
          <w:color w:val="auto"/>
        </w:rPr>
      </w:pPr>
    </w:p>
    <w:p>
      <w:pPr>
        <w:ind w:left="720" w:right="899" w:firstLine="343"/>
        <w:spacing w:after="0" w:line="258" w:lineRule="auto"/>
        <w:rPr>
          <w:sz w:val="20"/>
          <w:szCs w:val="20"/>
          <w:color w:val="auto"/>
        </w:rPr>
      </w:pPr>
      <w:r>
        <w:rPr>
          <w:rFonts w:ascii="Times New Roman" w:cs="Times New Roman" w:eastAsia="Times New Roman" w:hAnsi="Times New Roman"/>
          <w:sz w:val="14"/>
          <w:szCs w:val="14"/>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resulted in Russia issuing Decree No. 299 that effectively nullifies the enforcement of Russian patents owned by entities and individuals in “unfriendly” countries, including the United States.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3" w:name="page64"/>
    <w:bookmarkEnd w:id="6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9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w:t>
      </w:r>
    </w:p>
    <w:p>
      <w:pPr>
        <w:spacing w:after="0" w:line="5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We expect to utilize trademark protection for our products, product candidates and/or platform. Once we select new trademarks and apply to register them, our trademark applications may not be approved. During trademark registration proceedings in the United States and foreign jurisdictions, we may receive rejections. We are given an opportunity to respond to those rejections, but we may not be able to overcome such rejections and obtain sufficient, or any, trademark protection.</w:t>
      </w:r>
    </w:p>
    <w:p>
      <w:pPr>
        <w:spacing w:after="0" w:line="141"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p>
    <w:p>
      <w:pPr>
        <w:spacing w:after="0" w:line="141"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In addition, any proprietary name we propose to use with any of our product candidate in the United States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w:t>
      </w:r>
    </w:p>
    <w:p>
      <w:pPr>
        <w:spacing w:after="0" w:line="14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In addition, our unregistered trademarks or trade names may be challenged, infringed, circumvented,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p>
    <w:p>
      <w:pPr>
        <w:spacing w:after="0" w:line="145"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w:t>
      </w:r>
    </w:p>
    <w:p>
      <w:pPr>
        <w:spacing w:after="0" w:line="93"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1" w:lineRule="exact"/>
        <w:rPr>
          <w:sz w:val="20"/>
          <w:szCs w:val="20"/>
          <w:color w:val="auto"/>
        </w:rPr>
      </w:pPr>
    </w:p>
    <w:p>
      <w:pPr>
        <w:ind w:left="1480" w:right="999" w:hanging="246"/>
        <w:spacing w:after="0" w:line="283" w:lineRule="auto"/>
        <w:tabs>
          <w:tab w:leader="none" w:pos="1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if approved, may eventually become commercially available in generic or biosimilar product forms;</w:t>
      </w:r>
    </w:p>
    <w:p>
      <w:pPr>
        <w:spacing w:after="0" w:line="40"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similar molecules to our product candidates that are not covered by the claims of the patents that we license or own now or in the future;</w:t>
      </w:r>
    </w:p>
    <w:p>
      <w:pPr>
        <w:spacing w:after="0" w:line="40"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current or future licensors or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current or future licensors or collaborators, might not have been the first to make the inventions covered by the issued patent or pending patent application that we license or own;</w:t>
      </w:r>
    </w:p>
    <w:p>
      <w:pPr>
        <w:spacing w:after="0" w:line="40"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current or future licensors or collaborators, may fail to meet our obligations to the U.S. government regarding any patents and patent applications funded by U.S. government grants;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113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on our owned or licensed intellectual property rights;</w:t>
      </w:r>
    </w:p>
    <w:p>
      <w:pPr>
        <w:spacing w:after="0" w:line="40"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or those that we may own or license in the future will not lead to issued patents;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prior public disclosures that could invalidate our patents;</w:t>
      </w:r>
    </w:p>
    <w:p>
      <w:pPr>
        <w:spacing w:after="0" w:line="91" w:lineRule="exact"/>
        <w:rPr>
          <w:rFonts w:ascii="Times New Roman" w:cs="Times New Roman" w:eastAsia="Times New Roman" w:hAnsi="Times New Roman"/>
          <w:sz w:val="14"/>
          <w:szCs w:val="14"/>
          <w:color w:val="auto"/>
        </w:rPr>
      </w:pPr>
    </w:p>
    <w:p>
      <w:pPr>
        <w:ind w:left="1480" w:right="117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patent applications that may later issue with claims covering our product candidates or technology similar to ours;</w:t>
      </w:r>
    </w:p>
    <w:p>
      <w:pPr>
        <w:spacing w:after="0" w:line="40" w:lineRule="exact"/>
        <w:rPr>
          <w:rFonts w:ascii="Times New Roman" w:cs="Times New Roman" w:eastAsia="Times New Roman" w:hAnsi="Times New Roman"/>
          <w:sz w:val="14"/>
          <w:szCs w:val="14"/>
          <w:color w:val="auto"/>
        </w:rPr>
      </w:pPr>
    </w:p>
    <w:p>
      <w:pPr>
        <w:ind w:left="1480" w:right="819" w:hanging="246"/>
        <w:spacing w:after="0" w:line="267"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spacing w:after="0" w:line="51"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in-license may be held invalid, unenforceable or narrowed in scope, including as a result of legal challenges;</w:t>
      </w:r>
    </w:p>
    <w:p>
      <w:pPr>
        <w:spacing w:after="0" w:line="40" w:lineRule="exact"/>
        <w:rPr>
          <w:rFonts w:ascii="Times New Roman" w:cs="Times New Roman" w:eastAsia="Times New Roman" w:hAnsi="Times New Roman"/>
          <w:sz w:val="14"/>
          <w:szCs w:val="14"/>
          <w:color w:val="auto"/>
        </w:rPr>
      </w:pPr>
    </w:p>
    <w:p>
      <w:pPr>
        <w:ind w:left="1480" w:right="101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our issued patents or patent applications, if and when issued, may not cover our product candidates or narrowly cover them in such a way that competitors may be able to design around to avoid infringement allegations;</w:t>
      </w:r>
    </w:p>
    <w:p>
      <w:pPr>
        <w:spacing w:after="0" w:line="40" w:lineRule="exact"/>
        <w:rPr>
          <w:rFonts w:ascii="Times New Roman" w:cs="Times New Roman" w:eastAsia="Times New Roman" w:hAnsi="Times New Roman"/>
          <w:sz w:val="14"/>
          <w:szCs w:val="14"/>
          <w:color w:val="auto"/>
        </w:rPr>
      </w:pPr>
    </w:p>
    <w:p>
      <w:pPr>
        <w:ind w:left="1480" w:right="107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foreign countries may not protect our proprietary rights or the proprietary rights of our current or future licensors or collaborators to the same extent as the laws of the United States;</w:t>
      </w:r>
    </w:p>
    <w:p>
      <w:pPr>
        <w:spacing w:after="0" w:line="40" w:lineRule="exact"/>
        <w:rPr>
          <w:rFonts w:ascii="Times New Roman" w:cs="Times New Roman" w:eastAsia="Times New Roman" w:hAnsi="Times New Roman"/>
          <w:sz w:val="14"/>
          <w:szCs w:val="14"/>
          <w:color w:val="auto"/>
        </w:rPr>
      </w:pPr>
    </w:p>
    <w:p>
      <w:pPr>
        <w:ind w:left="1480" w:right="759" w:hanging="246"/>
        <w:spacing w:after="0" w:line="261"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 and might take action detrimental to our patent and other intellectual property rights;</w:t>
      </w:r>
    </w:p>
    <w:p>
      <w:pPr>
        <w:spacing w:after="0" w:line="56" w:lineRule="exact"/>
        <w:rPr>
          <w:rFonts w:ascii="Times New Roman" w:cs="Times New Roman" w:eastAsia="Times New Roman" w:hAnsi="Times New Roman"/>
          <w:sz w:val="14"/>
          <w:szCs w:val="14"/>
          <w:color w:val="auto"/>
        </w:rPr>
      </w:pPr>
    </w:p>
    <w:p>
      <w:pPr>
        <w:jc w:val="both"/>
        <w:ind w:left="1480" w:right="839" w:hanging="246"/>
        <w:spacing w:after="0" w:line="267"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Times New Roman" w:cs="Times New Roman" w:eastAsia="Times New Roman" w:hAnsi="Times New Roman"/>
          <w:sz w:val="14"/>
          <w:szCs w:val="14"/>
          <w:color w:val="auto"/>
        </w:rPr>
      </w:pPr>
    </w:p>
    <w:p>
      <w:pPr>
        <w:ind w:left="1480" w:right="125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we intend to continue to do so in the future, and our collaborators may develop adjacent or competing products that are outside the scope of our patents;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w:t>
      </w:r>
    </w:p>
    <w:p>
      <w:pPr>
        <w:spacing w:after="0" w:line="9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 candidates and technology we develop may be covered by third-party patents or other intellectual property rights;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prohibit or otherwise harm our ability to conduct our business; or</w:t>
      </w:r>
    </w:p>
    <w:p>
      <w:pPr>
        <w:spacing w:after="0" w:line="91" w:lineRule="exact"/>
        <w:rPr>
          <w:rFonts w:ascii="Times New Roman" w:cs="Times New Roman" w:eastAsia="Times New Roman" w:hAnsi="Times New Roman"/>
          <w:sz w:val="14"/>
          <w:szCs w:val="14"/>
          <w:color w:val="auto"/>
        </w:rPr>
      </w:pPr>
    </w:p>
    <w:p>
      <w:pPr>
        <w:ind w:left="1480" w:right="979" w:hanging="246"/>
        <w:spacing w:after="0" w:line="267" w:lineRule="auto"/>
        <w:tabs>
          <w:tab w:leader="none" w:pos="14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apply for a patent in order to maintain certain trade secrets, know-how, or other technology confidential, and a third party may subsequently commercialize such technology and/or apply for and obtain a patent covering such technology.</w:t>
      </w:r>
    </w:p>
    <w:p>
      <w:pPr>
        <w:spacing w:after="0" w:line="136" w:lineRule="exact"/>
        <w:rPr>
          <w:sz w:val="20"/>
          <w:szCs w:val="20"/>
          <w:color w:val="auto"/>
        </w:rPr>
      </w:pPr>
    </w:p>
    <w:p>
      <w:pPr>
        <w:ind w:left="720" w:right="1119" w:firstLine="343"/>
        <w:spacing w:after="0" w:line="283" w:lineRule="auto"/>
        <w:rPr>
          <w:sz w:val="20"/>
          <w:szCs w:val="20"/>
          <w:color w:val="auto"/>
        </w:rPr>
      </w:pPr>
      <w:r>
        <w:rPr>
          <w:rFonts w:ascii="Times New Roman" w:cs="Times New Roman" w:eastAsia="Times New Roman" w:hAnsi="Times New Roman"/>
          <w:sz w:val="14"/>
          <w:szCs w:val="14"/>
          <w:color w:val="auto"/>
        </w:rPr>
        <w:t>Should any of these events occur, they could have a material adverse effect on our business, financial condition, results of operations and growth prospects.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the Potential Commercialization of Our Pipeline</w:t>
      </w:r>
    </w:p>
    <w:p>
      <w:pPr>
        <w:spacing w:after="0" w:line="91" w:lineRule="exact"/>
        <w:rPr>
          <w:sz w:val="20"/>
          <w:szCs w:val="20"/>
          <w:color w:val="auto"/>
        </w:rPr>
      </w:pPr>
    </w:p>
    <w:p>
      <w:pPr>
        <w:ind w:left="720" w:right="7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have no sales, distribution or marketing experience, and may invest significant financial and management resources to establish these capabilities. If we are unable to establish such capabilities or enter into agreements with third parties to market and sell our future products, if approved, we may be unable to generate any revenues.</w:t>
      </w:r>
    </w:p>
    <w:p>
      <w:pPr>
        <w:spacing w:after="0" w:line="5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 parties’ internal sales, marketing, and distribution capabilities would adversely impact the commercialization of our product candidates.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91" w:lineRule="exact"/>
        <w:rPr>
          <w:sz w:val="20"/>
          <w:szCs w:val="20"/>
          <w:color w:val="auto"/>
        </w:rPr>
      </w:pPr>
    </w:p>
    <w:p>
      <w:pPr>
        <w:ind w:left="1480" w:hanging="246"/>
        <w:spacing w:after="0"/>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funding;</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an adequate number of effective sales and marketing personnel;</w:t>
      </w:r>
    </w:p>
    <w:p>
      <w:pPr>
        <w:spacing w:after="0" w:line="91"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or persuade an adequate number of physicians to prescribe any future products;</w:t>
      </w:r>
    </w:p>
    <w:p>
      <w:pPr>
        <w:spacing w:after="0" w:line="40"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compared to companies with more extensive product lines;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7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may enter into partnership, collaboration, and licensing arrangements with third parties to utilize their mature marketing and distribution capabilities, but we may be unable to enter into marketing agreements on favorable terms, if at all. If these third 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46"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If we do not establish sales and marketing capabilities successfully, either on our own or in collaboration with third parties, we will not be successful in commercializing our product candidates.</w:t>
      </w:r>
    </w:p>
    <w:p>
      <w:pPr>
        <w:spacing w:after="0" w:line="207" w:lineRule="exact"/>
        <w:rPr>
          <w:sz w:val="20"/>
          <w:szCs w:val="20"/>
          <w:color w:val="auto"/>
        </w:rPr>
      </w:pPr>
    </w:p>
    <w:p>
      <w:pPr>
        <w:ind w:left="720" w:right="8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biopharmaceutical market is intensely competitive. If we are unable to compete effectively with existing drugs, new treatment methods and new technologies, we may be unable to successfully commercialize any drugs that we develop.</w:t>
      </w:r>
    </w:p>
    <w:p>
      <w:pPr>
        <w:spacing w:after="0" w:line="39"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 biopharmaceutical market is intensely competitive and rapidly changing. Many large pharmaceutical and biotechnology companies, academic institutions, governmental agencies and other public and private research organizations, known and unknown, are pursuing the development of novel drugs for the same diseases that we are targeting or expect to target. Many of our competitors have:</w:t>
      </w:r>
    </w:p>
    <w:p>
      <w:pPr>
        <w:spacing w:after="0" w:line="57" w:lineRule="exact"/>
        <w:rPr>
          <w:sz w:val="20"/>
          <w:szCs w:val="20"/>
          <w:color w:val="auto"/>
        </w:rPr>
      </w:pPr>
    </w:p>
    <w:p>
      <w:pPr>
        <w:ind w:left="1480" w:right="1359" w:hanging="246"/>
        <w:spacing w:after="0" w:line="283" w:lineRule="auto"/>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technical and human resources than we have at every stage of the engineering, development, manufacture and commercialization of products;</w:t>
      </w:r>
    </w:p>
    <w:p>
      <w:pPr>
        <w:spacing w:after="0" w:line="40" w:lineRule="exact"/>
        <w:rPr>
          <w:rFonts w:ascii="Times New Roman" w:cs="Times New Roman" w:eastAsia="Times New Roman" w:hAnsi="Times New Roman"/>
          <w:sz w:val="14"/>
          <w:szCs w:val="14"/>
          <w:color w:val="auto"/>
        </w:rPr>
      </w:pPr>
    </w:p>
    <w:p>
      <w:pPr>
        <w:ind w:left="1480" w:right="1239" w:hanging="246"/>
        <w:spacing w:after="0" w:line="283" w:lineRule="auto"/>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extensive experience in preclinical testing, conducting clinical trials, obtaining regulatory approvals and in manufacturing, marketing and selling products;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that are based on previously tested or accepted technologies;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that have been approved or are in late stages of development;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collaborative arrangements in our target markets with leading companies and research institutions.</w:t>
      </w:r>
    </w:p>
    <w:p>
      <w:pPr>
        <w:spacing w:after="0" w:line="175"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Accordingly, our competitors may be more successful than us in obtaining patent protection, regulatory exclusivities or FDA approval and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receives regulatory approval but cannot compete effectively in the marketplace.</w:t>
      </w:r>
    </w:p>
    <w:p>
      <w:pPr>
        <w:spacing w:after="0" w:line="145"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In addition, our competitors may develop partnership, collaboration, and licensing arrangements with or receive funding from larger pharmaceutical or biotechnology companies, providing them with an 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6" w:name="page67"/>
    <w:bookmarkEnd w:id="6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We expect to face intense competition from drugs that have already been approved and accepted by the medical community for the treatment of the conditions for which we may develop products. We also expect to face competition from new drugs that enter the market. There are a number of drugs currently under development, which may become commercially available in the future, for the treatment of the conditions for which we are trying, or may in the future try, to develop products. 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45"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 See the section titled “</w:t>
      </w:r>
      <w:r>
        <w:rPr>
          <w:rFonts w:ascii="Times New Roman" w:cs="Times New Roman" w:eastAsia="Times New Roman" w:hAnsi="Times New Roman"/>
          <w:sz w:val="14"/>
          <w:szCs w:val="14"/>
          <w:i w:val="1"/>
          <w:iCs w:val="1"/>
          <w:color w:val="auto"/>
        </w:rPr>
        <w:t>Business—Competition</w:t>
      </w:r>
      <w:r>
        <w:rPr>
          <w:rFonts w:ascii="Times New Roman" w:cs="Times New Roman" w:eastAsia="Times New Roman" w:hAnsi="Times New Roman"/>
          <w:sz w:val="14"/>
          <w:szCs w:val="14"/>
          <w:color w:val="auto"/>
        </w:rPr>
        <w:t>” included elsewhere in this prospectus for examples of the competition that we face.</w:t>
      </w:r>
    </w:p>
    <w:p>
      <w:pPr>
        <w:spacing w:after="0" w:line="143"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product candidates.</w:t>
      </w:r>
    </w:p>
    <w:p>
      <w:pPr>
        <w:spacing w:after="0" w:line="226" w:lineRule="exact"/>
        <w:rPr>
          <w:sz w:val="20"/>
          <w:szCs w:val="20"/>
          <w:color w:val="auto"/>
        </w:rPr>
      </w:pPr>
    </w:p>
    <w:p>
      <w:pPr>
        <w:ind w:left="720" w:right="7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commercial success of any current or future product candidate, if approved, will depend upon the degree of market acceptance by physicians, patients, third-party payors and others in the medical community.</w:t>
      </w:r>
    </w:p>
    <w:p>
      <w:pPr>
        <w:spacing w:after="0" w:line="39"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Even with the requisite approvals, the commercial success of our products will depend in part on the medical community, patients and third-party or governmental payors, and our products in particular, as medically useful, cost-effective and safe. Furthermore, the method of administration of any of our products, if approved, could have an impact on commercial acceptance of any such products and ultimately the commercial success of such products. Furthermore, ethical, social and legal concerns about the application of AI to research and development of products could result in additional regulations restricting access to or otherwise limit demand for our products. If these products do not achieve an adequate level of acceptance, we may not generate significant product revenue and may not become profitable. The degree of market acceptance of our product candidates, if approved for commercial sale, will depend on a number of factors, including: the potential efficacy and potential advantages over alternative treatments; the ability to offer our products, if approved, at competitive prices; the prevalence and severity of any side effects, including any limitations or warnings contained in a product’s approved labeling; the prevalence and severity of any side effects resulting from checkpoint inhibitors or other drugs or therapies with which our products are administered; relative convenience and ease of administration; any restrictions on the use of our products, if approved, together with other medications; the willingness of the target patient population to try new therapies and of physicians to prescribe these therapies; the strength of marketing and distribution support and timing of market introduction of competitive products; publicity concerning our products or competing products and treatments; and sufficient third-party insurance coverage or reimbursement, and patients’ willingness to pay out-of-pocket in the absence of third-party coverage or adequate reimbursement.</w:t>
      </w:r>
    </w:p>
    <w:p>
      <w:pPr>
        <w:spacing w:after="0" w:line="155"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product candidates.</w:t>
      </w:r>
    </w:p>
    <w:p>
      <w:pPr>
        <w:spacing w:after="0" w:line="144"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Even if we are successful in getting marketing approval for any product, 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7" w:name="page68"/>
    <w:bookmarkEnd w:id="6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In addition, if any of our products are approved for marketing, we or a collaboration partner will be subject to significant regulatory obligations regarding the submission of safety and other post-marketing information and reports for such product, and will need to continue to comply (or ensure that our third-party providers comply) with current cGMP and GCPs for any clinical trials that we or a collaboration partner conduct post-approval. In addition, there is always the risk that we or a collaboration partner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228" w:lineRule="exact"/>
        <w:rPr>
          <w:sz w:val="20"/>
          <w:szCs w:val="20"/>
          <w:color w:val="auto"/>
        </w:rPr>
      </w:pPr>
    </w:p>
    <w:p>
      <w:pPr>
        <w:ind w:left="720" w:right="11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in part, on our ability to operate in foreign markets, where we would be subject to additional regulatory burdens and other risks and uncertainties.</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April 2025, the United States imposed “reciprocal” tariffs, which were broad tariffs on imports from virtually all countries, with particularly high tariffs on imports from China. The U.S. Supreme Court invalidated the reciprocal tariffs on February 20, 2026; however, President Trump has stated that he intends to use other authorities to maintain historically elevated tariffs. In response to higher U.S. tariffs, some countries have implemented retaliatory tariffs on U.S. goods, while others have negotiated agreements regarding U.S.-imposed tariffs. Historically, increased tariffs have led to more trade and political tensions and the status of these agreements between the United States and the various countries, in light of the U.S. Supreme Court’s February 20, 2026 decision, is not yet clear. Moreover, the United States has threatened to impose special tariffs on certain imported pharmaceutical products, which could take effect with minimal public notice. In any case, it is not yet clear whether these tariffs would apply to the importation of APIs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contract manufacturing organizations, and a delay in our development timelines.</w:t>
      </w:r>
    </w:p>
    <w:p>
      <w:pPr>
        <w:spacing w:after="0" w:line="146"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29" w:lineRule="exact"/>
        <w:rPr>
          <w:sz w:val="20"/>
          <w:szCs w:val="20"/>
          <w:color w:val="auto"/>
        </w:rPr>
      </w:pPr>
    </w:p>
    <w:p>
      <w:pPr>
        <w:ind w:left="720" w:right="7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Because we plan to market our products, if approved, outside of the United States, our business is subject to risks associated with doing business outside of the United States including, an increase in our expenses, diversion of our management’s attention from the acquisition or development of product candidates or forgoing profitable licensing opportunities in these geographies. Accordingly, our business and financial results in the future could be adversely affected due to a variety of factors, including: efforts to develop an international sales, marketing, and distribution organization; changes in a specific country’s or region’s political and cultural climate or economic condition; unexpected changes in foreign laws and regulatory requirements; difficulty of effective enforcement of contractual provisions in local jurisdictions; inadequate intellectual property protection in foreign countries; trade-protection measures, import or export licensing requirements such as Export Administration Regulations promulgated by the U.S. Department of Commerce and fines, penalties or suspension or revocation of export privileges; the effects of applicable foreign tax structures and potentially adverse tax consequences; and significant adverse changes in foreign currency exchange rates.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8" w:name="page69"/>
    <w:bookmarkEnd w:id="6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In addition to FDA and related regulatory requirements in the United States and abroad, we are subject to extensive additional federal, state and foreign anti-bribery regulations, which include the U.S. Foreign Corrupt Practices Act, U.S. domestic bribery statute contained in 18 U.S.C. § 201, the U.S. Travel Act, the UK Bribery Act 2010 and similar laws in other countries outside of the United States. We are developing and implementing a corporate compliance program based on what we believe are current best practices in the biotechnology industry for companies similar to ours, but we cannot guarantee that we, our employees, our consultants or our third-party contractors are or will be in compliance with all federal, state and foreign regulations regarding bribery and corruption. Moreover, our collaboration partners and third-party contractors located outside the United States may have inadequate compliance programs or may fail to respect the laws and guidance of the territories in which they operate. Even if we are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w:t>
      </w:r>
    </w:p>
    <w:p>
      <w:pPr>
        <w:spacing w:after="0" w:line="229" w:lineRule="exact"/>
        <w:rPr>
          <w:sz w:val="20"/>
          <w:szCs w:val="20"/>
          <w:color w:val="auto"/>
        </w:rPr>
      </w:pPr>
    </w:p>
    <w:p>
      <w:pPr>
        <w:jc w:val="both"/>
        <w:ind w:left="720" w:right="7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insurance coverage and reimbursement status of newly approved products, including those in a new category of medicines, is uncertain. Failure to obtain or maintain adequate coverage and reimbursement for new or current products could limit our ability to market those products and decrease our ability to generate revenue.</w:t>
      </w:r>
    </w:p>
    <w:p>
      <w:pPr>
        <w:spacing w:after="0" w:line="51"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The availability and extent of reimbursement by governmental and private payors is essential for most patients to be able to afford expensive treatments such as the products that we hope to develop and sell.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p>
    <w:p>
      <w:pPr>
        <w:spacing w:after="0" w:line="145" w:lineRule="exact"/>
        <w:rPr>
          <w:sz w:val="20"/>
          <w:szCs w:val="20"/>
          <w:color w:val="auto"/>
        </w:rPr>
      </w:pPr>
    </w:p>
    <w:p>
      <w:pPr>
        <w:jc w:val="both"/>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spacing w:after="0" w:line="144"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In the United States, no uniform policy of coverage and reimbursement for products exists among third-party payors. The Centers for Medicare &amp; Medicaid Services (“CMS”), an agency within the U.S.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w:t>
      </w:r>
    </w:p>
    <w:p>
      <w:pPr>
        <w:spacing w:after="0" w:line="14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49"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Outside the United States, certain countries, including a number of member states of the EU (the “Member States”), set prices and reimbursement for pharmaceutical products, or medicinal products, as they are commonly referred to in the EU,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the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9" w:name="page70"/>
    <w:bookmarkEnd w:id="6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 do not follow price structures of the United States and generally prices tend to be significantly lower.</w:t>
      </w:r>
    </w:p>
    <w:p>
      <w:pPr>
        <w:spacing w:after="0" w:line="147"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p>
    <w:p>
      <w:pPr>
        <w:spacing w:after="0" w:line="136"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p>
    <w:p>
      <w:pPr>
        <w:spacing w:after="0" w:line="143" w:lineRule="exact"/>
        <w:rPr>
          <w:sz w:val="20"/>
          <w:szCs w:val="20"/>
          <w:color w:val="auto"/>
        </w:rPr>
      </w:pPr>
    </w:p>
    <w:p>
      <w:pPr>
        <w:ind w:left="720" w:right="879" w:firstLine="343"/>
        <w:spacing w:after="0" w:line="267" w:lineRule="auto"/>
        <w:rPr>
          <w:sz w:val="20"/>
          <w:szCs w:val="20"/>
          <w:color w:val="auto"/>
        </w:rPr>
      </w:pPr>
      <w:r>
        <w:rPr>
          <w:rFonts w:ascii="Times New Roman" w:cs="Times New Roman" w:eastAsia="Times New Roman" w:hAnsi="Times New Roman"/>
          <w:sz w:val="14"/>
          <w:szCs w:val="14"/>
          <w:color w:val="auto"/>
        </w:rPr>
        <w:t>For more information on the laws and regulations that may impact coverage and reimbursement of our product candidates, see the sections titled “</w:t>
      </w:r>
      <w:r>
        <w:rPr>
          <w:rFonts w:ascii="Times New Roman" w:cs="Times New Roman" w:eastAsia="Times New Roman" w:hAnsi="Times New Roman"/>
          <w:sz w:val="14"/>
          <w:szCs w:val="14"/>
          <w:i w:val="1"/>
          <w:iCs w:val="1"/>
          <w:color w:val="auto"/>
        </w:rPr>
        <w:t>Business—Government Regulation—Coverage and Reimbursement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—Healthcare Reform</w:t>
      </w:r>
      <w:r>
        <w:rPr>
          <w:rFonts w:ascii="Times New Roman" w:cs="Times New Roman" w:eastAsia="Times New Roman" w:hAnsi="Times New Roman"/>
          <w:sz w:val="14"/>
          <w:szCs w:val="14"/>
          <w:color w:val="auto"/>
        </w:rPr>
        <w:t>” included elsewhere in the prospectus.</w:t>
      </w:r>
    </w:p>
    <w:p>
      <w:pPr>
        <w:spacing w:after="0" w:line="218" w:lineRule="exact"/>
        <w:rPr>
          <w:sz w:val="20"/>
          <w:szCs w:val="20"/>
          <w:color w:val="auto"/>
        </w:rPr>
      </w:pPr>
    </w:p>
    <w:p>
      <w:pPr>
        <w:ind w:left="720" w:right="8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spacing w:after="0" w:line="51"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the sections titled “</w:t>
      </w:r>
      <w:r>
        <w:rPr>
          <w:rFonts w:ascii="Times New Roman" w:cs="Times New Roman" w:eastAsia="Times New Roman" w:hAnsi="Times New Roman"/>
          <w:sz w:val="14"/>
          <w:szCs w:val="14"/>
          <w:i w:val="1"/>
          <w:iCs w:val="1"/>
          <w:color w:val="auto"/>
        </w:rPr>
        <w:t>Business—Government Regulation—Coverage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Reimbursement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Healthcare Reform</w:t>
      </w:r>
      <w:r>
        <w:rPr>
          <w:rFonts w:ascii="Times New Roman" w:cs="Times New Roman" w:eastAsia="Times New Roman" w:hAnsi="Times New Roman"/>
          <w:sz w:val="14"/>
          <w:szCs w:val="14"/>
          <w:color w:val="auto"/>
        </w:rPr>
        <w:t>” included elsewhere in this prospectus.</w:t>
      </w:r>
    </w:p>
    <w:p>
      <w:pPr>
        <w:spacing w:after="0" w:line="144"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p>
    <w:p>
      <w:pPr>
        <w:spacing w:after="0" w:line="14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For example, the Inflation Reduction Act of 2022 (the “IRA”) includes several provisions that will impact our business to varying degrees, including provisions that allow the U.S. government to negotiate Medicare Part B and Part D pricing for certain high-cost drugs without generic or biosimilar competition, among others.</w:t>
      </w:r>
    </w:p>
    <w:p>
      <w:pPr>
        <w:spacing w:after="0" w:line="136"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Further, the IRA also imposed rebates with respect to certain drugs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0" w:name="page71"/>
    <w:bookmarkEnd w:id="7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The U.S. Congress has indicated that it will continue to seek new legislative measures to control drug costs.</w:t>
      </w:r>
    </w:p>
    <w:p>
      <w:pPr>
        <w:spacing w:after="0" w:line="144" w:lineRule="exact"/>
        <w:rPr>
          <w:sz w:val="20"/>
          <w:szCs w:val="20"/>
          <w:color w:val="auto"/>
        </w:rPr>
      </w:pPr>
    </w:p>
    <w:p>
      <w:pPr>
        <w:ind w:left="720" w:right="779" w:firstLine="343"/>
        <w:spacing w:after="0" w:line="276" w:lineRule="auto"/>
        <w:rPr>
          <w:sz w:val="20"/>
          <w:szCs w:val="20"/>
          <w:color w:val="auto"/>
        </w:rPr>
      </w:pPr>
      <w:r>
        <w:rPr>
          <w:rFonts w:ascii="Times New Roman" w:cs="Times New Roman" w:eastAsia="Times New Roman" w:hAnsi="Times New Roman"/>
          <w:sz w:val="13"/>
          <w:szCs w:val="13"/>
          <w:color w:val="auto"/>
        </w:rPr>
        <w:t>In December 2021, Regulation No 2021/2282 on Health Technology Assessment (“HTA”) amending Directive 2011/24/EU, was adopted in the EU. This Regulation, which entered into force in January 2022 and became applicable in January 2025, is intended to boost cooperation among Member States in assessing health technologies, including new medicinal products, and providing the basis for cooperation at EU level for joint clinical assessments in these areas. The Regulation will permit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economic, social, ethical) aspects of health technologies and making decisions on pricing and reimbursement.</w:t>
      </w:r>
    </w:p>
    <w:p>
      <w:pPr>
        <w:spacing w:after="0" w:line="135"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These laws, and future supranational, national state and federal healthcare reform measures may be adopted in the future, any of which may result in additional reductions in Medicare and other healthcare funding and otherwise affect the prices we may obtain for our product candidates for which we may obtain regulatory approval or the frequency with which any such product candidate is prescribed or used.</w:t>
      </w:r>
    </w:p>
    <w:p>
      <w:pPr>
        <w:spacing w:after="0" w:line="223" w:lineRule="exact"/>
        <w:rPr>
          <w:sz w:val="20"/>
          <w:szCs w:val="20"/>
          <w:color w:val="auto"/>
        </w:rPr>
      </w:pPr>
    </w:p>
    <w:p>
      <w:pPr>
        <w:ind w:left="720" w:right="7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the market opportunities for our product candidates are smaller than we believe they are, our revenue may be adversely affected and our business may suffer.</w:t>
      </w:r>
    </w:p>
    <w:p>
      <w:pPr>
        <w:spacing w:after="0" w:line="39"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Although we are initially focused on developing and commercializing zolucatetide for the treatment of desmoid tumors, we also plan to evaluate developing zolucatetide for the treatment of FAP, HCC and other rare solid tumors and cancer-related conditions. We expect this evaluation will take into account expected clinical timelines, regulatory feedback, costs and the clinical data from our Phase 1/2 trial. In addition, an important area of focus of our research and product development activities is the development of treatments for severe rare genetic diseases. Our projections of both the number of people who have these diseases, as well as the subset of people with these diseases who have the potential to benefit from treatment with our product candidates, are based on estimates and independent market research, industry and general publications obtained from third parties. Market opportunity estimates and growth forecasts included in this prospectus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p>
    <w:p>
      <w:pPr>
        <w:spacing w:after="0" w:line="236" w:lineRule="exact"/>
        <w:rPr>
          <w:sz w:val="20"/>
          <w:szCs w:val="20"/>
          <w:color w:val="auto"/>
        </w:rPr>
      </w:pPr>
    </w:p>
    <w:p>
      <w:pPr>
        <w:ind w:left="720" w:right="10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directly or indirectly, to federal and state healthcare fraud and abuse laws, and false claims laws. If we are unable to comply, or have not fully complied with such laws, we could face substantial penalties.</w:t>
      </w:r>
    </w:p>
    <w:p>
      <w:pPr>
        <w:spacing w:after="0" w:line="39"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that will impact, among other things, our proposed sales, marketing, and educational programs. The laws that will affect our operations include, but are not limited to the following:</w:t>
      </w:r>
    </w:p>
    <w:p>
      <w:pPr>
        <w:spacing w:after="0" w:line="57" w:lineRule="exact"/>
        <w:rPr>
          <w:sz w:val="20"/>
          <w:szCs w:val="20"/>
          <w:color w:val="auto"/>
        </w:rPr>
      </w:pPr>
    </w:p>
    <w:p>
      <w:pPr>
        <w:ind w:left="1480" w:right="799" w:hanging="246"/>
        <w:spacing w:after="0" w:line="256" w:lineRule="auto"/>
        <w:tabs>
          <w:tab w:leader="none" w:pos="1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In addition, a person or entity does not need to have actual knowledge of this statute or specific intent to violate it in order to have committed a violation.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1" w:name="page72"/>
    <w:bookmarkEnd w:id="7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759" w:hanging="246"/>
        <w:spacing w:after="0" w:line="256"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and civil monetary penalty laws prohibit, among other things, individuals or entities from knowingly presenting, or causing to be presented, claims for payment or approval from Medicare, Medicaid or other government payors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59" w:lineRule="exact"/>
        <w:rPr>
          <w:rFonts w:ascii="Times New Roman" w:cs="Times New Roman" w:eastAsia="Times New Roman" w:hAnsi="Times New Roman"/>
          <w:sz w:val="14"/>
          <w:szCs w:val="14"/>
          <w:color w:val="auto"/>
        </w:rPr>
      </w:pPr>
    </w:p>
    <w:p>
      <w:pPr>
        <w:ind w:left="1480" w:right="739" w:hanging="246"/>
        <w:spacing w:after="0" w:line="257"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created new federal criminal statutes that prohibit a person from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FDCA, which prohibits, among other things, the adulteration or misbranding of drugs and medical devices.</w:t>
      </w:r>
    </w:p>
    <w:p>
      <w:pPr>
        <w:spacing w:after="0" w:line="91" w:lineRule="exact"/>
        <w:rPr>
          <w:rFonts w:ascii="Times New Roman" w:cs="Times New Roman" w:eastAsia="Times New Roman" w:hAnsi="Times New Roman"/>
          <w:sz w:val="14"/>
          <w:szCs w:val="14"/>
          <w:color w:val="auto"/>
        </w:rPr>
      </w:pPr>
    </w:p>
    <w:p>
      <w:pPr>
        <w:ind w:left="1480" w:right="759" w:hanging="246"/>
        <w:spacing w:after="0" w:line="258"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transparency laws, including the federal Physician Payments Sunshine Act, which require disclosure of payments and other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ownership and investment interests held by physicians and their immediate family members.</w:t>
      </w:r>
    </w:p>
    <w:p>
      <w:pPr>
        <w:spacing w:after="0" w:line="59"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price reporting laws, which require drug makers to calculate and report complex pricing metrics in an accurate and timely manner to government programs.</w:t>
      </w:r>
    </w:p>
    <w:p>
      <w:pPr>
        <w:spacing w:after="0" w:line="40" w:lineRule="exact"/>
        <w:rPr>
          <w:rFonts w:ascii="Times New Roman" w:cs="Times New Roman" w:eastAsia="Times New Roman" w:hAnsi="Times New Roman"/>
          <w:sz w:val="14"/>
          <w:szCs w:val="14"/>
          <w:color w:val="auto"/>
        </w:rPr>
      </w:pPr>
    </w:p>
    <w:p>
      <w:pPr>
        <w:ind w:left="1480" w:right="919" w:hanging="246"/>
        <w:spacing w:after="0" w:line="283"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w:t>
      </w:r>
    </w:p>
    <w:p>
      <w:pPr>
        <w:spacing w:after="0" w:line="40" w:lineRule="exact"/>
        <w:rPr>
          <w:rFonts w:ascii="Times New Roman" w:cs="Times New Roman" w:eastAsia="Times New Roman" w:hAnsi="Times New Roman"/>
          <w:sz w:val="14"/>
          <w:szCs w:val="14"/>
          <w:color w:val="auto"/>
        </w:rPr>
      </w:pPr>
    </w:p>
    <w:p>
      <w:pPr>
        <w:ind w:left="1480" w:right="799" w:hanging="246"/>
        <w:spacing w:after="0" w:line="261" w:lineRule="auto"/>
        <w:tabs>
          <w:tab w:leader="none" w:pos="14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 equivalents of each of the above federal laws and state laws that require drug manufacturers to report information related to payments and other transfers of value to physicians and other healthcare providers or marketing expenditures are also applicable to us and many of them differ from each other in significant ways and may not have the same effect, thus complicating compliance efforts in certain circumstances.</w:t>
      </w:r>
    </w:p>
    <w:p>
      <w:pPr>
        <w:spacing w:after="0" w:line="14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safe harbors available, it is possible that some of our business activities, including certain consulting agreements we have entered into with physicians who are paid, in part, in the form of stock or stock options could be subject to challenge under one or more such laws. If our operations are found to be in violation of any of the laws described above or any other government regulations that apply to us, we may be subject to penalties, including civil and criminal penalties, damages, fines, mandatory or discretionary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44"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Member States, such as the UK Bribery Act 2010. Infringement of these laws could result in substantial fines and imprisonment.</w:t>
      </w:r>
    </w:p>
    <w:p>
      <w:pPr>
        <w:spacing w:after="0" w:line="141"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Payments made to physicians in certain Member States must be publicly disclosed. Moreover, agreements with physicians often must be the subject of prior notification and approval by the physician’s employer, his or her competent professional organization or the regulatory authorities of the individual Member States. These requirements are provided in the national laws, industry codes or professional codes of conduct, applicable in the Member States. Failure to comply with these requirements could result in reputational risk, public reprimands, administrative penalties, fines or imprisonment.</w:t>
      </w:r>
    </w:p>
    <w:p>
      <w:pPr>
        <w:spacing w:after="0" w:line="226" w:lineRule="exact"/>
        <w:rPr>
          <w:sz w:val="20"/>
          <w:szCs w:val="20"/>
          <w:color w:val="auto"/>
        </w:rPr>
      </w:pPr>
    </w:p>
    <w:p>
      <w:pPr>
        <w:ind w:left="72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could limit commercialization of any product candidate that we may develop.</w:t>
      </w:r>
    </w:p>
    <w:p>
      <w:pPr>
        <w:spacing w:after="0" w:line="39"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allegations that our product candidates caused injuries, or we failed to warn of potential injuries, we could incur substantial liabilities. Regardless of merit or eventual outcome, allegations of liability may result in decreased demand for any product candidate that we may develop; loss of revenue; substantial monetary awards to patients, healthy volunteers or their children; significant time and costs to defend the related litigation; withdrawal of clinical trial participants; the inability to commercialize any product candidate(s) that we may develop; and injury to our reputation and significant negative media attention.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2" w:name="page73"/>
    <w:bookmarkEnd w:id="7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carry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and Employee Matters</w:t>
      </w:r>
    </w:p>
    <w:p>
      <w:pPr>
        <w:spacing w:after="0" w:line="91" w:lineRule="exact"/>
        <w:rPr>
          <w:sz w:val="20"/>
          <w:szCs w:val="20"/>
          <w:color w:val="auto"/>
        </w:rPr>
      </w:pPr>
    </w:p>
    <w:p>
      <w:pPr>
        <w:ind w:left="720" w:right="10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employees, consultants and advisors and to attract, retain and motivate qualified personnel.</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Our ability to compete in the highly competitive biotechnology industry depends upon our ability to attract and retain highly qualified managerial, scientific, technical and medical personnel. We are highly dependent upon members of our management, including our Chief Executive Officer, as well as technology and scientific teams, many of whom have been instrumental for us and have substantial experience with developing therapies, identifying potential product candidates and building the technologies related to the development of our Helicon discovery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key employees, including members of our leadership team, have been with us for several years, and have a significant amount of fully vested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w:t>
      </w:r>
    </w:p>
    <w:p>
      <w:pPr>
        <w:spacing w:after="0" w:line="150"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p>
    <w:p>
      <w:pPr>
        <w:spacing w:after="0" w:line="144"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Recruiting and retaining other qualified employees, consultants and advisors for our business, including scientific and technical personnel, also will be critical to our success. Competition for skilled personnel, including in AI, research, clinical operations, regulatory affairs, therapeutic area management and manufacturing, is intense and the turnover rate can be high. We may not be able to attract and retain personnel on favorable terms given the competition among numerous biotechnology companies and 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31" w:lineRule="exact"/>
        <w:rPr>
          <w:sz w:val="20"/>
          <w:szCs w:val="20"/>
          <w:color w:val="auto"/>
        </w:rPr>
      </w:pPr>
    </w:p>
    <w:p>
      <w:pPr>
        <w:ind w:left="720" w:right="10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expand our development and regulatory capabilities, and as a result, we may encounter difficulties in managing our growth, which could disrupt our operations.</w:t>
      </w:r>
    </w:p>
    <w:p>
      <w:pPr>
        <w:spacing w:after="0" w:line="39"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We have experienced significant growth since our inception in 2015. We expect continued growth in the number of our employees and the scope of our operations, particularly to continue our planned clinical operations, preclinical and IND-enabling studies or studies approved by comparable foreign authorities, establish regulatory, quality, and manufacturing supply chain logistics and facility operations.</w:t>
      </w:r>
    </w:p>
    <w:p>
      <w:pPr>
        <w:spacing w:after="0" w:line="141"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To manage our anticipated future growth, we will continue to seek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3" w:name="page74"/>
    <w:bookmarkEnd w:id="7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In addition, future growth imposes significant added responsibilities on members of management, including: identifying, recruiting, integrating, maintaining, and motivating new employees; managing our internal development efforts effectively, including the clinical and FDA, or comparable foreign regulatory authority, review process for zolucatetide and any current or future product candidates, while complying with our contractual obligations to third parties; and improving our operational, financial and management controls, reporting systems, and procedures.</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currently rely, and for the foreseeable future will continue to rely, in substantial part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on reasonable terms, or that we can find qualified replacements. In addition, if we are unable to effectively manage our outsourced activities or if the quality or accuracy of the services provided by consultants, CROs, CDMOs or contract manufacturing organizations (“CMOs”) is compromised for any reason, our preclinical or clinical trials may be extended, delayed, or terminated, and we may not be able to obtain regulatory approval of zolucatetide or any of our other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46"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If we are not able to effectively expand our organization by hiring new qualified employees and expanding our groups of consultants and contractors, we may experience delays or may not be able to successfully implement the tasks necessary to further develop and commercialize zolucatetide for desmoid tumors and any other rare tumors and any future product candidates we develop and, accordingly, we may not achieve our research, development, and commercialization goals.</w:t>
      </w:r>
    </w:p>
    <w:p>
      <w:pPr>
        <w:spacing w:after="0" w:line="223" w:lineRule="exact"/>
        <w:rPr>
          <w:sz w:val="20"/>
          <w:szCs w:val="20"/>
          <w:color w:val="auto"/>
        </w:rPr>
      </w:pPr>
    </w:p>
    <w:p>
      <w:pPr>
        <w:ind w:left="720" w:right="11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or our infrastructure may fail or experience security breaches and incidents that could adversely impact our business and operations and subject us to liability.</w:t>
      </w:r>
    </w:p>
    <w:p>
      <w:pPr>
        <w:spacing w:after="0" w:line="39"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Our information technology systems and data are vulnerable to compromise or damage from cybersecurity attacks or accidents. We have experienced significant growth in the complexity of our data and the software tools that our hardware infrastructure supports. We rely significantly upon information technology systems and infrastructure owned and maintained by us or by third-party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third-parties and engage in collaborations for drug design with third parties, each of which has or could have access to our confidential or proprietary information. Our employees on occasion travel to countries which are at elevated risk of cyber-intrusion, data theft and expropriation.</w:t>
      </w:r>
    </w:p>
    <w:p>
      <w:pPr>
        <w:spacing w:after="0" w:line="145"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We deploy and operate an array of technical and procedural controls to reduce the risks to our information technology (“IT”) systems, infrastructure and data and to work to maintain the availability, confidentiality and integrity of our data, and we expect to continue to incur significant costs on such detection and prevention efforts. While we continue to make investments to improve the protection of data and information technology, including in the hiring of qualified IT personnel, periodic cyber security awareness trainings, improvements to IT infrastructure and controls, and conduct regular testing of our systems, there can be no assurance that our efforts will prevent service interruptions or security breaches.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 These causes or sources include but are not limited to the following:</w:t>
      </w:r>
    </w:p>
    <w:p>
      <w:pPr>
        <w:spacing w:after="0" w:line="64" w:lineRule="exact"/>
        <w:rPr>
          <w:sz w:val="20"/>
          <w:szCs w:val="20"/>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interruptions;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malfunctions;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computer viruses and other malicious code;</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and force majeure events;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political instability;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warfare;</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cyber-intrusions by hostile nation-state actors;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telecommunication and electrical failures;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inadvertent or intentional actions by our employees or third-party providers; and</w:t>
      </w:r>
    </w:p>
    <w:p>
      <w:pPr>
        <w:spacing w:after="0" w:line="91" w:lineRule="exact"/>
        <w:rPr>
          <w:rFonts w:ascii="Times New Roman" w:cs="Times New Roman" w:eastAsia="Times New Roman" w:hAnsi="Times New Roman"/>
          <w:sz w:val="14"/>
          <w:szCs w:val="14"/>
          <w:color w:val="auto"/>
        </w:rPr>
      </w:pPr>
    </w:p>
    <w:p>
      <w:pPr>
        <w:ind w:left="1480" w:right="1019" w:hanging="246"/>
        <w:spacing w:after="0" w:line="267" w:lineRule="auto"/>
        <w:tabs>
          <w:tab w:leader="none" w:pos="1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by malicious third parties, including the deployment of ransomware and malware, denial-of-service attacks, social engineering and other means to affect service reliability and threaten the confidentiality, integrity and availability of information.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4" w:name="page75"/>
    <w:bookmarkEnd w:id="7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The costs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145"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We have experienced, and we may continue to experience, cyber-attacks, security breaches and incidents and other system failures, although to our knowledge we have not experienced any material interruption or incident. The loss, corruption, unavailability of or damage to our data would interfere with and undermine the insights we draw from our Helicon discovery platform and could impair the integrity of our clinical trial data, leading to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know-how, individuals’ personal information or other proprietary or sensitive data. A security breach or incident that leads to unauthorized acquisition, disclosure or other processing of our intellectual property or other proprietary information could also affect our intellectual property rights and enable competitors to compete with us more effectively.</w:t>
      </w:r>
    </w:p>
    <w:p>
      <w:pPr>
        <w:spacing w:after="0" w:line="146"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Likewise, as we rely on third parties such as CROs, contractors and consultants, including for the manufacture of our product candidates and for the conduct of our clinical trials, similar events relating to their systems and operations could also have a material adverse effect on our business and lead to regulatory agency actions.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and distract management.</w:t>
      </w:r>
    </w:p>
    <w:p>
      <w:pPr>
        <w:spacing w:after="0" w:line="146"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Failures, disruptions, security breaches and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allegations,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 parties with whom we do business become subject to disruptions or security breaches or incidents, we may have insufficient recourse against them.</w:t>
      </w:r>
    </w:p>
    <w:p>
      <w:pPr>
        <w:spacing w:after="0" w:line="226" w:lineRule="exact"/>
        <w:rPr>
          <w:sz w:val="20"/>
          <w:szCs w:val="20"/>
          <w:color w:val="auto"/>
        </w:rPr>
      </w:pPr>
    </w:p>
    <w:p>
      <w:pPr>
        <w:ind w:left="720" w:right="8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39"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rely on third-party data centers and telecommunications solutions, including cloud infrastructure services such as Amazon Web Services, to host substantial portions of our Helicon discovery platform and to support our business operations. We have limited control over these cloud-based service or other third-party providers, although we attempt to reduce risk by minimizing reliance on any single third 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5" w:name="page76"/>
    <w:bookmarkEnd w:id="7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the termination of our agreements could also adversely affect our business.</w:t>
      </w:r>
    </w:p>
    <w:p>
      <w:pPr>
        <w:spacing w:after="0" w:line="231" w:lineRule="exact"/>
        <w:rPr>
          <w:sz w:val="20"/>
          <w:szCs w:val="20"/>
          <w:color w:val="auto"/>
        </w:rPr>
      </w:pPr>
    </w:p>
    <w:p>
      <w:pPr>
        <w:ind w:left="720" w:right="10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and consultants may engage in misconduct or other improper activities, including non-compliance with regulatory standards and requirements and insider trading.</w:t>
      </w:r>
    </w:p>
    <w:p>
      <w:pPr>
        <w:spacing w:after="0" w:line="39"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affected by litigation, government investigations and enforcement actions.</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We currently operate and plan to operate in a highly regulated industry and although we are not currently a party to any material proceedings or claims, we could in the future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45"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Employee litigation and unfavorable publicity could negatively affect our future business.</w:t>
      </w:r>
    </w:p>
    <w:p>
      <w:pPr>
        <w:spacing w:after="0" w:line="9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1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insurance policies are expensive and protect us only from some business risks, which leaves us exposed to significant uninsured liabilities.</w:t>
      </w:r>
    </w:p>
    <w:p>
      <w:pPr>
        <w:spacing w:after="0" w:line="39"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leadership team.</w:t>
      </w:r>
    </w:p>
    <w:p>
      <w:pPr>
        <w:spacing w:after="0" w:line="232" w:lineRule="exact"/>
        <w:rPr>
          <w:sz w:val="20"/>
          <w:szCs w:val="20"/>
          <w:color w:val="auto"/>
        </w:rPr>
      </w:pPr>
    </w:p>
    <w:p>
      <w:pPr>
        <w:ind w:left="720" w:right="9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39"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We and our current and future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5"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allegations that may be asserted against us in connection with our storage or disposal of biological or hazardous materials.</w:t>
      </w:r>
    </w:p>
    <w:p>
      <w:pPr>
        <w:spacing w:after="0" w:line="141" w:lineRule="exact"/>
        <w:rPr>
          <w:sz w:val="20"/>
          <w:szCs w:val="20"/>
          <w:color w:val="auto"/>
        </w:rPr>
      </w:pPr>
    </w:p>
    <w:p>
      <w:pPr>
        <w:jc w:val="both"/>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36" w:lineRule="exact"/>
        <w:rPr>
          <w:sz w:val="20"/>
          <w:szCs w:val="20"/>
          <w:color w:val="auto"/>
        </w:rPr>
      </w:pPr>
    </w:p>
    <w:p>
      <w:pPr>
        <w:ind w:left="720" w:right="839" w:firstLine="343"/>
        <w:spacing w:after="0" w:line="283" w:lineRule="auto"/>
        <w:rPr>
          <w:sz w:val="20"/>
          <w:szCs w:val="20"/>
          <w:color w:val="auto"/>
        </w:rPr>
      </w:pPr>
      <w:r>
        <w:rPr>
          <w:rFonts w:ascii="Times New Roman" w:cs="Times New Roman" w:eastAsia="Times New Roman" w:hAnsi="Times New Roman"/>
          <w:sz w:val="13"/>
          <w:szCs w:val="13"/>
          <w:color w:val="auto"/>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p>
    <w:p>
      <w:pPr>
        <w:spacing w:after="0" w:line="210" w:lineRule="exact"/>
        <w:rPr>
          <w:sz w:val="20"/>
          <w:szCs w:val="20"/>
          <w:color w:val="auto"/>
        </w:rPr>
      </w:pPr>
    </w:p>
    <w:p>
      <w:pPr>
        <w:ind w:left="720" w:right="8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or other business interruptions such as cybersecurity attacks and our business continuity and disaster recovery plans may not adequately protect us from a serious disaster.</w:t>
      </w:r>
    </w:p>
    <w:p>
      <w:pPr>
        <w:spacing w:after="0" w:line="5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Natural disasters could severely disrupt our operations, and have a material adverse impact on our business, results of operations, financial condition and prospects. If a natural disaster, power outage, cybersecurity attack or other force majeure event occurred that prevented us from using all or a significant portion of our headquarters, damaged critical infrastructure, such as the manufacturing facilities of our CDMOs, limited our ability to access or use our Helicon discovery platform or that otherwise disrupted operations, it may be difficult or, in certain cases, impossible for us to continue our business for a substantial period of time. The disaster recovery and business continuity plans we have currently are limited and are unlikely to prove adequate in the event of a serious disaster or similar event. Cybersecurity liability insurance is difficult to obtain and may not cover any damages we would sustain based on any breach of our computer security protocols or other cybersecurity attack. We may incur substantial expenses as a result of the limited nature of our disaster recovery and business continuity plans, which could have a material adverse impact on our business.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7" w:name="page78"/>
    <w:bookmarkEnd w:id="7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 and This Offering</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develop.</w:t>
      </w:r>
    </w:p>
    <w:p>
      <w:pPr>
        <w:spacing w:after="0" w:line="93"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The initial public offering price for our common stock was determined through negotiations with the underwriters.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 An inactive market may also impair our ability to raise capital by selling shares, which in turn could materially adversely affect our business.</w:t>
      </w:r>
    </w:p>
    <w:p>
      <w:pPr>
        <w:spacing w:after="0" w:line="226" w:lineRule="exact"/>
        <w:rPr>
          <w:sz w:val="20"/>
          <w:szCs w:val="20"/>
          <w:color w:val="auto"/>
        </w:rPr>
      </w:pPr>
    </w:p>
    <w:p>
      <w:pPr>
        <w:ind w:left="720" w:right="8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 and fluctuate substantially, which could result in substantial losses for purchasers of our common stock in this offering.</w:t>
      </w:r>
    </w:p>
    <w:p>
      <w:pPr>
        <w:spacing w:after="0" w:line="39"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Our stock price is likely to be volatile. The stock market in general, and the market for biotechnology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 the commencement, enrollment, completion or results of 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pipeline, the development of which could each generate news or significant adverse events that could impact financial results or recommendations by securities analysts.</w:t>
      </w:r>
    </w:p>
    <w:p>
      <w:pPr>
        <w:spacing w:after="0" w:line="146"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spacing w:after="0" w:line="141"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satisfy listing requirements of Nasdaq or obtain or maintain a listing of our common stock on Nasdaq.</w:t>
      </w:r>
    </w:p>
    <w:p>
      <w:pPr>
        <w:spacing w:after="0" w:line="93" w:lineRule="exact"/>
        <w:rPr>
          <w:sz w:val="20"/>
          <w:szCs w:val="20"/>
          <w:color w:val="auto"/>
        </w:rPr>
      </w:pPr>
    </w:p>
    <w:p>
      <w:pPr>
        <w:ind w:left="720" w:right="819" w:firstLine="343"/>
        <w:spacing w:after="0" w:line="256" w:lineRule="auto"/>
        <w:rPr>
          <w:sz w:val="20"/>
          <w:szCs w:val="20"/>
          <w:color w:val="auto"/>
        </w:rPr>
      </w:pPr>
      <w:r>
        <w:rPr>
          <w:rFonts w:ascii="Times New Roman" w:cs="Times New Roman" w:eastAsia="Times New Roman" w:hAnsi="Times New Roman"/>
          <w:sz w:val="14"/>
          <w:szCs w:val="14"/>
          <w:color w:val="auto"/>
        </w:rPr>
        <w:t>After listing on The Nasdaq Global Market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The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could cause our common stock price to fall.</w:t>
      </w:r>
    </w:p>
    <w:p>
      <w:pPr>
        <w:spacing w:after="0" w:line="93" w:lineRule="exact"/>
        <w:rPr>
          <w:sz w:val="20"/>
          <w:szCs w:val="20"/>
          <w:color w:val="auto"/>
        </w:rPr>
      </w:pPr>
    </w:p>
    <w:p>
      <w:pPr>
        <w:jc w:val="both"/>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36" w:lineRule="exact"/>
        <w:rPr>
          <w:sz w:val="20"/>
          <w:szCs w:val="20"/>
          <w:color w:val="auto"/>
        </w:rPr>
      </w:pPr>
    </w:p>
    <w:p>
      <w:pPr>
        <w:jc w:val="both"/>
        <w:ind w:left="720" w:right="939" w:firstLine="343"/>
        <w:spacing w:after="0" w:line="258" w:lineRule="auto"/>
        <w:rPr>
          <w:sz w:val="20"/>
          <w:szCs w:val="20"/>
          <w:color w:val="auto"/>
        </w:rPr>
      </w:pPr>
      <w:r>
        <w:rPr>
          <w:rFonts w:ascii="Times New Roman" w:cs="Times New Roman" w:eastAsia="Times New Roman" w:hAnsi="Times New Roman"/>
          <w:sz w:val="14"/>
          <w:szCs w:val="14"/>
          <w:color w:val="auto"/>
        </w:rPr>
        <w:t>Upon the completion of this offering and the concurrent private placement,        shares of common stock and non-voting common stock will be outstanding (or        shares if the underwriters exercise their overallotment option in full), based on the number of shares outstanding as of March 31, 2026, after giving effect to the conversion of    shares of our convertible preferred</w:t>
      </w:r>
    </w:p>
    <w:tbl>
      <w:tblPr>
        <w:tblLayout w:type="fixed"/>
        <w:tblInd w:w="200" w:type="dxa"/>
        <w:tblCellMar>
          <w:top w:w="0" w:type="dxa"/>
          <w:left w:w="0" w:type="dxa"/>
          <w:bottom w:w="0" w:type="dxa"/>
          <w:right w:w="0" w:type="dxa"/>
        </w:tblCellMar>
      </w:tblPr>
      <w:tr>
        <w:trPr>
          <w:trHeight w:val="154"/>
        </w:trPr>
        <w:tc>
          <w:tcPr>
            <w:tcW w:w="2200" w:type="dxa"/>
            <w:vAlign w:val="bottom"/>
          </w:tcPr>
          <w:p>
            <w:pPr>
              <w:ind w:left="520"/>
              <w:spacing w:after="0" w:line="154" w:lineRule="exact"/>
              <w:rPr>
                <w:sz w:val="20"/>
                <w:szCs w:val="20"/>
                <w:color w:val="auto"/>
              </w:rPr>
            </w:pPr>
            <w:r>
              <w:rPr>
                <w:rFonts w:ascii="Times New Roman" w:cs="Times New Roman" w:eastAsia="Times New Roman" w:hAnsi="Times New Roman"/>
                <w:sz w:val="14"/>
                <w:szCs w:val="14"/>
                <w:color w:val="auto"/>
              </w:rPr>
              <w:t xml:space="preserve">stock into an aggregate of    </w:t>
            </w:r>
          </w:p>
        </w:tc>
        <w:tc>
          <w:tcPr>
            <w:tcW w:w="2520" w:type="dxa"/>
            <w:vAlign w:val="bottom"/>
          </w:tcPr>
          <w:p>
            <w:pPr>
              <w:jc w:val="right"/>
              <w:ind w:right="270"/>
              <w:spacing w:after="0" w:line="154" w:lineRule="exact"/>
              <w:rPr>
                <w:sz w:val="20"/>
                <w:szCs w:val="20"/>
                <w:color w:val="auto"/>
              </w:rPr>
            </w:pPr>
            <w:r>
              <w:rPr>
                <w:rFonts w:ascii="Times New Roman" w:cs="Times New Roman" w:eastAsia="Times New Roman" w:hAnsi="Times New Roman"/>
                <w:sz w:val="14"/>
                <w:szCs w:val="14"/>
                <w:color w:val="auto"/>
              </w:rPr>
              <w:t>      shares of our common stock and</w:t>
            </w:r>
          </w:p>
        </w:tc>
        <w:tc>
          <w:tcPr>
            <w:tcW w:w="3880" w:type="dxa"/>
            <w:vAlign w:val="bottom"/>
          </w:tcPr>
          <w:p>
            <w:pPr>
              <w:ind w:left="80"/>
              <w:spacing w:after="0" w:line="154" w:lineRule="exact"/>
              <w:rPr>
                <w:sz w:val="20"/>
                <w:szCs w:val="20"/>
                <w:color w:val="auto"/>
              </w:rPr>
            </w:pPr>
            <w:r>
              <w:rPr>
                <w:rFonts w:ascii="Times New Roman" w:cs="Times New Roman" w:eastAsia="Times New Roman" w:hAnsi="Times New Roman"/>
                <w:sz w:val="14"/>
                <w:szCs w:val="14"/>
                <w:color w:val="auto"/>
              </w:rPr>
              <w:t>shares of our non-voting common stock and outstanding</w:t>
            </w:r>
          </w:p>
        </w:tc>
      </w:tr>
      <w:tr>
        <w:trPr>
          <w:trHeight w:val="168"/>
        </w:trPr>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SAFE into an aggregate of</w:t>
            </w: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of our common stock, based on the assumed initial offering price of $   per share, which is the</w:t>
            </w:r>
          </w:p>
        </w:tc>
      </w:tr>
      <w:tr>
        <w:trPr>
          <w:trHeight w:val="183"/>
        </w:trPr>
        <w:tc>
          <w:tcPr>
            <w:tcW w:w="47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midpoint of the price range set forth on the cover page of this prospectus.</w:t>
            </w:r>
          </w:p>
        </w:tc>
        <w:tc>
          <w:tcPr>
            <w:tcW w:w="3880" w:type="dxa"/>
            <w:vAlign w:val="bottom"/>
          </w:tcPr>
          <w:p>
            <w:pPr>
              <w:spacing w:after="0"/>
              <w:rPr>
                <w:sz w:val="15"/>
                <w:szCs w:val="15"/>
                <w:color w:val="auto"/>
              </w:rPr>
            </w:pPr>
          </w:p>
        </w:tc>
      </w:tr>
      <w:tr>
        <w:trPr>
          <w:trHeight w:val="336"/>
        </w:trPr>
        <w:tc>
          <w:tcPr>
            <w:tcW w:w="2200" w:type="dxa"/>
            <w:vAlign w:val="bottom"/>
          </w:tcPr>
          <w:p>
            <w:pPr>
              <w:spacing w:after="0"/>
              <w:rPr>
                <w:sz w:val="24"/>
                <w:szCs w:val="24"/>
                <w:color w:val="auto"/>
              </w:rPr>
            </w:pP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76</w:t>
            </w:r>
          </w:p>
        </w:tc>
        <w:tc>
          <w:tcPr>
            <w:tcW w:w="3880" w:type="dxa"/>
            <w:vAlign w:val="bottom"/>
          </w:tcPr>
          <w:p>
            <w:pPr>
              <w:spacing w:after="0"/>
              <w:rPr>
                <w:sz w:val="24"/>
                <w:szCs w:val="24"/>
                <w:color w:val="auto"/>
              </w:rPr>
            </w:pPr>
          </w:p>
        </w:tc>
      </w:tr>
      <w:tr>
        <w:trPr>
          <w:trHeight w:val="590"/>
        </w:trPr>
        <w:tc>
          <w:tcPr>
            <w:tcW w:w="22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8" w:name="page79"/>
    <w:bookmarkEnd w:id="7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Substantially all shares of common stock expected to be sold in this offering will be freely tradable without restriction or further registration under the Securities Act of 1933, as amended (the “Securities Act”), unless held by our “affiliates” as defined in Rule 144 under the Securities Act. The resale of the remaining shares, or approximately    % of our outstanding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w:t>
      </w:r>
      <w:r>
        <w:rPr>
          <w:rFonts w:ascii="Times New Roman" w:cs="Times New Roman" w:eastAsia="Times New Roman" w:hAnsi="Times New Roman"/>
          <w:sz w:val="14"/>
          <w:szCs w:val="14"/>
          <w:i w:val="1"/>
          <w:iCs w:val="1"/>
          <w:color w:val="auto"/>
        </w:rPr>
        <w:t>Shares Eligible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Future Sale</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060"/>
        <w:spacing w:after="0"/>
        <w:tabs>
          <w:tab w:leader="none" w:pos="7500" w:val="left"/>
        </w:tabs>
        <w:rPr>
          <w:sz w:val="20"/>
          <w:szCs w:val="20"/>
          <w:color w:val="auto"/>
        </w:rPr>
      </w:pPr>
      <w:r>
        <w:rPr>
          <w:rFonts w:ascii="Times New Roman" w:cs="Times New Roman" w:eastAsia="Times New Roman" w:hAnsi="Times New Roman"/>
          <w:sz w:val="14"/>
          <w:szCs w:val="14"/>
          <w:color w:val="auto"/>
        </w:rPr>
        <w:t xml:space="preserve">Upon the completion of this offering and the concurrent private placement, the holders of approximately          </w:t>
      </w:r>
      <w:r>
        <w:rPr>
          <w:sz w:val="20"/>
          <w:szCs w:val="20"/>
          <w:color w:val="auto"/>
        </w:rPr>
        <w:tab/>
      </w:r>
      <w:r>
        <w:rPr>
          <w:rFonts w:ascii="Times New Roman" w:cs="Times New Roman" w:eastAsia="Times New Roman" w:hAnsi="Times New Roman"/>
          <w:sz w:val="13"/>
          <w:szCs w:val="13"/>
          <w:color w:val="auto"/>
        </w:rPr>
        <w:t>shares of our</w:t>
      </w:r>
    </w:p>
    <w:p>
      <w:pPr>
        <w:spacing w:after="0" w:line="22" w:lineRule="exact"/>
        <w:rPr>
          <w:sz w:val="20"/>
          <w:szCs w:val="20"/>
          <w:color w:val="auto"/>
        </w:rPr>
      </w:pPr>
    </w:p>
    <w:p>
      <w:pPr>
        <w:ind w:left="720" w:right="759"/>
        <w:spacing w:after="0" w:line="252" w:lineRule="auto"/>
        <w:rPr>
          <w:sz w:val="20"/>
          <w:szCs w:val="20"/>
          <w:color w:val="auto"/>
        </w:rPr>
      </w:pPr>
      <w:r>
        <w:rPr>
          <w:rFonts w:ascii="Times New Roman" w:cs="Times New Roman" w:eastAsia="Times New Roman" w:hAnsi="Times New Roman"/>
          <w:sz w:val="14"/>
          <w:szCs w:val="14"/>
          <w:color w:val="auto"/>
        </w:rPr>
        <w:t>common stock and shares of our non-voting common stock, or approximately    % of our outstanding capital stock shares following this offering, will have rights, subject to some conditions, to require us to file registration statements covering the sale of their shares (or, in the case of the non-voting common stock, the voting common stock to be received upon conversion of the non-voting common stock) or to include their shares in registration statements that we may file for ourselves or our other stockholders. See the section titled “</w:t>
      </w:r>
      <w:r>
        <w:rPr>
          <w:rFonts w:ascii="Times New Roman" w:cs="Times New Roman" w:eastAsia="Times New Roman" w:hAnsi="Times New Roman"/>
          <w:sz w:val="14"/>
          <w:szCs w:val="14"/>
          <w:i w:val="1"/>
          <w:iCs w:val="1"/>
          <w:color w:val="auto"/>
        </w:rPr>
        <w:t>Description of Capital Stock—Registration Rights</w:t>
      </w:r>
      <w:r>
        <w:rPr>
          <w:rFonts w:ascii="Times New Roman" w:cs="Times New Roman" w:eastAsia="Times New Roman" w:hAnsi="Times New Roman"/>
          <w:sz w:val="14"/>
          <w:szCs w:val="14"/>
          <w:color w:val="auto"/>
        </w:rPr>
        <w:t>” for more information.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left="720" w:right="959" w:firstLine="343"/>
        <w:spacing w:after="0" w:line="267" w:lineRule="auto"/>
        <w:rPr>
          <w:sz w:val="20"/>
          <w:szCs w:val="20"/>
          <w:color w:val="auto"/>
        </w:rPr>
      </w:pPr>
      <w:r>
        <w:rPr>
          <w:rFonts w:ascii="Times New Roman" w:cs="Times New Roman" w:eastAsia="Times New Roman" w:hAnsi="Times New Roman"/>
          <w:sz w:val="14"/>
          <w:szCs w:val="14"/>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18" w:lineRule="exact"/>
        <w:rPr>
          <w:sz w:val="20"/>
          <w:szCs w:val="20"/>
          <w:color w:val="auto"/>
        </w:rPr>
      </w:pPr>
    </w:p>
    <w:p>
      <w:pPr>
        <w:ind w:left="720" w:right="9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you purchase our common stock in this offering, you will incur immediate and substantial dilution in the book value of your shares.</w:t>
      </w:r>
    </w:p>
    <w:p>
      <w:pPr>
        <w:spacing w:after="0" w:line="3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You will suffer immediate and substantial dilution in the net tangible book value of our common stock if you purchase in this offering. Based on the initial public offering price of $        per share, after giving effect to this offering and the concurrent private placement, purchasers of common stock in this offering and the concurrent private placement will experience immediate dilution of $        per share in net tangible book value of our common shares. In addition, after giving effect to this offering and the concurrent private placement, investors purchasing common stock in this offering will contribute    % of the total amount invested by stockholders since inception but will only own    % of the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the section titled “</w:t>
      </w:r>
      <w:r>
        <w:rPr>
          <w:rFonts w:ascii="Times New Roman" w:cs="Times New Roman" w:eastAsia="Times New Roman" w:hAnsi="Times New Roman"/>
          <w:sz w:val="14"/>
          <w:szCs w:val="14"/>
          <w:i w:val="1"/>
          <w:iCs w:val="1"/>
          <w:color w:val="auto"/>
        </w:rPr>
        <w:t>Dilution</w:t>
      </w:r>
      <w:r>
        <w:rPr>
          <w:rFonts w:ascii="Times New Roman" w:cs="Times New Roman" w:eastAsia="Times New Roman" w:hAnsi="Times New Roman"/>
          <w:sz w:val="14"/>
          <w:szCs w:val="14"/>
          <w:color w:val="auto"/>
        </w:rPr>
        <w:t>” appearing elsewhere in this prospectus for a more detailed description of the dilution to new investors in the offering and the concurrent private placement.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9" w:name="page80"/>
    <w:bookmarkEnd w:id="7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right="7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existing stockholders, restrict our operations or require us to relinquish rights to our technologies or product candidates.</w:t>
      </w:r>
    </w:p>
    <w:p>
      <w:pPr>
        <w:spacing w:after="0" w:line="3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your ownership interest could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 parties or through asset sales, we may have to relinquish valuable rights to our technologies or product candidates or grant licenses on terms unfavorable to us.</w:t>
      </w:r>
    </w:p>
    <w:p>
      <w:pPr>
        <w:spacing w:after="0" w:line="231" w:lineRule="exact"/>
        <w:rPr>
          <w:sz w:val="20"/>
          <w:szCs w:val="20"/>
          <w:color w:val="auto"/>
        </w:rPr>
      </w:pPr>
    </w:p>
    <w:p>
      <w:pPr>
        <w:ind w:left="720" w:right="7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39"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may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25" w:lineRule="exact"/>
        <w:rPr>
          <w:sz w:val="20"/>
          <w:szCs w:val="20"/>
          <w:color w:val="auto"/>
        </w:rPr>
      </w:pPr>
    </w:p>
    <w:p>
      <w:pPr>
        <w:ind w:left="720" w:right="7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principal stockholders and management own a significant percentage of our stock and will be able to exert significant control over matters subject to stockholder approval.</w:t>
      </w:r>
    </w:p>
    <w:p>
      <w:pPr>
        <w:spacing w:after="0" w:line="39"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Our executive officers, directors, five percent stockholders and their affiliates beneficially own approximately    % of our common stock and, upon closing of this offering and the concurrent private placement, that same group will beneficially own approximately    % of our outstanding common stock (assuming no exercise of the underwriters’ option to purchase additional shares and no exercise of outstanding options and without giving effect to (i) any potential purchases by such persons in this offering or (ii) issuance of options granted to certain of our employees and non-employee directors upon the pricing of this offering). Therefore, even after this offering, these stockholders will have the ability to influence us through their ownership positions. For example, these stockholders,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46" w:lineRule="exact"/>
        <w:rPr>
          <w:sz w:val="20"/>
          <w:szCs w:val="20"/>
          <w:color w:val="auto"/>
        </w:rPr>
      </w:pPr>
    </w:p>
    <w:p>
      <w:pPr>
        <w:ind w:left="720" w:right="859" w:firstLine="343"/>
        <w:spacing w:after="0" w:line="261" w:lineRule="auto"/>
        <w:rPr>
          <w:sz w:val="20"/>
          <w:szCs w:val="20"/>
          <w:color w:val="auto"/>
        </w:rPr>
      </w:pPr>
      <w:r>
        <w:rPr>
          <w:rFonts w:ascii="Times New Roman" w:cs="Times New Roman" w:eastAsia="Times New Roman" w:hAnsi="Times New Roman"/>
          <w:sz w:val="14"/>
          <w:szCs w:val="14"/>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41" w:lineRule="exact"/>
        <w:rPr>
          <w:sz w:val="20"/>
          <w:szCs w:val="20"/>
          <w:color w:val="auto"/>
        </w:rPr>
      </w:pPr>
    </w:p>
    <w:p>
      <w:pPr>
        <w:ind w:left="720" w:right="819" w:firstLine="505"/>
        <w:spacing w:after="0" w:line="261" w:lineRule="auto"/>
        <w:rPr>
          <w:sz w:val="20"/>
          <w:szCs w:val="20"/>
          <w:color w:val="auto"/>
        </w:rPr>
      </w:pPr>
      <w:r>
        <w:rPr>
          <w:rFonts w:ascii="Times New Roman" w:cs="Times New Roman" w:eastAsia="Times New Roman" w:hAnsi="Times New Roman"/>
          <w:sz w:val="14"/>
          <w:szCs w:val="14"/>
          <w:color w:val="auto"/>
        </w:rPr>
        <w:t>In addition, certain of our stockholders hold non-voting common stock that is convertible at the stockholder’s discretion into common stock, subject to certain restrictions. To the extent holders of our non-voting common stock exercise their option to make this conversion, the relative voting power of such stockholder will increase and the relative voting power of all other holders of common stock will decrease, which may limit your ability to influence matters subject to stockholder approval.</w:t>
      </w:r>
    </w:p>
    <w:p>
      <w:pPr>
        <w:spacing w:after="0" w:line="223" w:lineRule="exact"/>
        <w:rPr>
          <w:sz w:val="20"/>
          <w:szCs w:val="20"/>
          <w:color w:val="auto"/>
        </w:rPr>
      </w:pPr>
    </w:p>
    <w:p>
      <w:pPr>
        <w:ind w:left="720" w:right="8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Participation in this offering by our existing stockholders and their affiliated entities may reduce the public float for our common stock.</w:t>
      </w:r>
    </w:p>
    <w:p>
      <w:pPr>
        <w:spacing w:after="0" w:line="39"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26" w:lineRule="exact"/>
        <w:rPr>
          <w:sz w:val="20"/>
          <w:szCs w:val="20"/>
          <w:color w:val="auto"/>
        </w:rPr>
      </w:pPr>
    </w:p>
    <w:p>
      <w:pPr>
        <w:ind w:left="720" w:right="11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our cash and cash equivalents, including the net proceeds from this offering and the concurrent private placement, and may not use them effectively.</w:t>
      </w:r>
    </w:p>
    <w:p>
      <w:pPr>
        <w:spacing w:after="0" w:line="39" w:lineRule="exact"/>
        <w:rPr>
          <w:sz w:val="20"/>
          <w:szCs w:val="20"/>
          <w:color w:val="auto"/>
        </w:rPr>
      </w:pPr>
    </w:p>
    <w:p>
      <w:pPr>
        <w:ind w:left="720" w:right="779" w:firstLine="343"/>
        <w:spacing w:after="0" w:line="283"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our cash and cash equivalents, including the net proceeds from this offering and the concurrent private placement, and could spend the proceeds in ways that do not improve our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0" w:name="page81"/>
    <w:bookmarkEnd w:id="8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819"/>
        <w:spacing w:after="0" w:line="258" w:lineRule="auto"/>
        <w:rPr>
          <w:sz w:val="20"/>
          <w:szCs w:val="20"/>
          <w:color w:val="auto"/>
        </w:rPr>
      </w:pPr>
      <w:r>
        <w:rPr>
          <w:rFonts w:ascii="Times New Roman" w:cs="Times New Roman" w:eastAsia="Times New Roman" w:hAnsi="Times New Roman"/>
          <w:sz w:val="14"/>
          <w:szCs w:val="14"/>
          <w:color w:val="auto"/>
        </w:rPr>
        <w:t>or enhance the value of our common stock. The failure by our management to apply these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this offering and the concurrent private placement, in a manner that does not produce income or that loses value. See the section 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appearing elsewhere in this prospectus.</w:t>
      </w:r>
    </w:p>
    <w:p>
      <w:pPr>
        <w:spacing w:after="0" w:line="226" w:lineRule="exact"/>
        <w:rPr>
          <w:sz w:val="20"/>
          <w:szCs w:val="20"/>
          <w:color w:val="auto"/>
        </w:rPr>
      </w:pPr>
    </w:p>
    <w:p>
      <w:pPr>
        <w:jc w:val="both"/>
        <w:ind w:left="720" w:right="10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Provisions in our seventh amended and restated certificate of incorporation, which will be in effect immediately prior to the closing of this offering, and amended and restated bylaws, which became effective upon the effectiveness of this registration statement of which this prospectus forms a part, may significantly reduce the value of our shares to a potential acquiror or make it difficult for a third party to acquire, or attempt to acquire, control of our company, even if a change of control was considered favorable by you and other stockholders. For example, our board of directors will have the authority to issue up to 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The issuance of shares of preferred stock may result in the loss of voting control to other stockholders.</w:t>
      </w:r>
    </w:p>
    <w:p>
      <w:pPr>
        <w:spacing w:after="0" w:line="149"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will contain, and our amended and restated bylaws contain, other provisions that could have an anti-takeover effect, including:</w:t>
      </w:r>
    </w:p>
    <w:p>
      <w:pPr>
        <w:spacing w:after="0" w:line="41" w:lineRule="exact"/>
        <w:rPr>
          <w:sz w:val="20"/>
          <w:szCs w:val="20"/>
          <w:color w:val="auto"/>
        </w:rPr>
      </w:pPr>
    </w:p>
    <w:p>
      <w:pPr>
        <w:ind w:left="1480" w:hanging="246"/>
        <w:spacing w:after="0"/>
        <w:tabs>
          <w:tab w:leader="none" w:pos="1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one of our three classes of directors will be elected each year;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will not be entitled to remove directors other than by a two-thirds vote and only for cause;</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will not be permitted to take actions by written consent;</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cannot call a special meeting of stockholders; and</w:t>
      </w:r>
    </w:p>
    <w:p>
      <w:pPr>
        <w:spacing w:after="0" w:line="91" w:lineRule="exact"/>
        <w:rPr>
          <w:rFonts w:ascii="Times New Roman" w:cs="Times New Roman" w:eastAsia="Times New Roman" w:hAnsi="Times New Roman"/>
          <w:sz w:val="14"/>
          <w:szCs w:val="14"/>
          <w:color w:val="auto"/>
        </w:rPr>
      </w:pPr>
    </w:p>
    <w:p>
      <w:pPr>
        <w:ind w:left="1480" w:right="1199" w:hanging="246"/>
        <w:spacing w:after="0" w:line="283" w:lineRule="auto"/>
        <w:tabs>
          <w:tab w:leader="none" w:pos="1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must give advance notice to nominate directors or submit proposals for consideration at stockholder meetings.</w:t>
      </w:r>
    </w:p>
    <w:p>
      <w:pPr>
        <w:spacing w:after="0" w:line="125"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Corporation Law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4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Any provision of our seventh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8" w:lineRule="exact"/>
        <w:rPr>
          <w:sz w:val="20"/>
          <w:szCs w:val="20"/>
          <w:color w:val="auto"/>
        </w:rPr>
      </w:pPr>
    </w:p>
    <w:p>
      <w:pPr>
        <w:ind w:left="720" w:right="7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39" w:lineRule="exact"/>
        <w:rPr>
          <w:sz w:val="20"/>
          <w:szCs w:val="20"/>
          <w:color w:val="auto"/>
        </w:rPr>
      </w:pPr>
    </w:p>
    <w:p>
      <w:pPr>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We do not currently intend to declare or pay cash dividends on our capital stock. We currently intend to retain all of our future earnings, if any, to finance the growth and development of our business. In addition, the terms of any future debt agreements may preclude us from paying dividends.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As a result, capital appreciation, if any, of our common stock will be your sole source of gain for the foreseeable future.</w:t>
      </w:r>
    </w:p>
    <w:p>
      <w:pPr>
        <w:spacing w:after="0" w:line="258" w:lineRule="exact"/>
        <w:rPr>
          <w:sz w:val="20"/>
          <w:szCs w:val="20"/>
          <w:color w:val="auto"/>
        </w:rPr>
      </w:pPr>
    </w:p>
    <w:p>
      <w:pPr>
        <w:ind w:left="720" w:right="7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the Court of Chancery of the State of Delaware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ind w:left="720" w:right="999" w:firstLine="343"/>
        <w:spacing w:after="0" w:line="267" w:lineRule="auto"/>
        <w:rPr>
          <w:sz w:val="20"/>
          <w:szCs w:val="20"/>
          <w:color w:val="auto"/>
        </w:rPr>
      </w:pPr>
      <w:r>
        <w:rPr>
          <w:rFonts w:ascii="Times New Roman" w:cs="Times New Roman" w:eastAsia="Times New Roman" w:hAnsi="Times New Roman"/>
          <w:sz w:val="14"/>
          <w:szCs w:val="14"/>
          <w:color w:val="auto"/>
        </w:rPr>
        <w:t>Our amended and restated bylaws, which became effective upon the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39"/>
        <w:spacing w:after="0" w:line="253" w:lineRule="auto"/>
        <w:rPr>
          <w:sz w:val="20"/>
          <w:szCs w:val="20"/>
          <w:color w:val="auto"/>
        </w:rPr>
      </w:pPr>
      <w:r>
        <w:rPr>
          <w:rFonts w:ascii="Times New Roman" w:cs="Times New Roman" w:eastAsia="Times New Roman" w:hAnsi="Times New Roman"/>
          <w:sz w:val="14"/>
          <w:szCs w:val="14"/>
          <w:color w:val="auto"/>
        </w:rPr>
        <w:t>behalf, (ii) any action asserting a claim of breach of, or a claim based on, fiduciary duty owed by any of our current or former directors, officers, and employees to us or our stockholders, (iii) any action asserting a claim arising pursuant to any provision of the DGCL,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4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1" w:lineRule="exact"/>
        <w:rPr>
          <w:sz w:val="20"/>
          <w:szCs w:val="20"/>
          <w:color w:val="auto"/>
        </w:rPr>
      </w:pPr>
    </w:p>
    <w:p>
      <w:pPr>
        <w:ind w:left="720" w:right="10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p>
    <w:p>
      <w:pPr>
        <w:spacing w:after="0" w:line="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As a public company, and particularly after we are no longer an “emerging growth company,” we will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p>
    <w:p>
      <w:pPr>
        <w:spacing w:after="0" w:line="226" w:lineRule="exact"/>
        <w:rPr>
          <w:sz w:val="20"/>
          <w:szCs w:val="20"/>
          <w:color w:val="auto"/>
        </w:rPr>
      </w:pPr>
    </w:p>
    <w:p>
      <w:pPr>
        <w:ind w:left="720" w:right="8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the reduced disclosure requirements applicable to emerging growth companies may make our common stock less attractive to investors.</w:t>
      </w:r>
    </w:p>
    <w:p>
      <w:pPr>
        <w:spacing w:after="0" w:line="39"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We are an EGC, as defined in the JOBS Act. We will remain an EGC until the earlier of: (i) the last day of the fiscal year in which we have total annual gross revenues of $1.235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last day of the fiscal year in which the market value of our common stock and non-voting common stock that is held by non-affiliates exceeds $700.0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(“Section 404”); not being required to comply with any requirement that may be adopted by the Public Company Accounting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39"/>
        <w:spacing w:after="0" w:line="261" w:lineRule="auto"/>
        <w:rPr>
          <w:sz w:val="20"/>
          <w:szCs w:val="20"/>
          <w:color w:val="auto"/>
        </w:rPr>
      </w:pPr>
      <w:r>
        <w:rPr>
          <w:rFonts w:ascii="Times New Roman" w:cs="Times New Roman" w:eastAsia="Times New Roman" w:hAnsi="Times New Roman"/>
          <w:sz w:val="14"/>
          <w:szCs w:val="14"/>
          <w:color w:val="auto"/>
        </w:rPr>
        <w:t>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p>
    <w:p>
      <w:pPr>
        <w:spacing w:after="0" w:line="141"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may not be subject to new or revised accounting standards at the same time that they become applicable to other public companies that are not EGCs.</w:t>
      </w:r>
    </w:p>
    <w:p>
      <w:pPr>
        <w:spacing w:after="0" w:line="226" w:lineRule="exact"/>
        <w:rPr>
          <w:sz w:val="20"/>
          <w:szCs w:val="20"/>
          <w:color w:val="auto"/>
        </w:rPr>
      </w:pPr>
    </w:p>
    <w:p>
      <w:pPr>
        <w:ind w:left="720" w:right="9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39"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which will require annual management assessment of the effectiveness of our internal control over financial reporting starting with our second filing of an Annual Report on Form 10-K.</w:t>
      </w:r>
    </w:p>
    <w:p>
      <w:pPr>
        <w:spacing w:after="0" w:line="144"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4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Our future ability to utilize our NOL carryforwards and certain other tax attributes may be limited.</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Since our inception, we have incurred losses and we may never achieve profitability. As of December 31, 2025, we had U.S. federal NOL carryforwards of $357.9 million (of which $348.9 million can be carried forward indefinitely and the remainder of which begins to expire in 2036) and state NOL carryforwards of $347.4 million (of which $2.7 million can be carried forward indefinitely and the remainder of which begin to expire in 2036). We also had U.S. federal research and development tax credit carryforwards of $17.2 million available to offset future U.S. federal income taxes, which begin to expire in 2030. As of December 31, 2025, we had state tax credit carryforwards of $7.7 million which begin to expire in 2030. To the extent that we continue to generate taxable losses,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3" w:name="page84"/>
    <w:bookmarkEnd w:id="8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39"/>
        <w:spacing w:after="0" w:line="253" w:lineRule="auto"/>
        <w:rPr>
          <w:sz w:val="20"/>
          <w:szCs w:val="20"/>
          <w:color w:val="auto"/>
        </w:rPr>
      </w:pPr>
      <w:r>
        <w:rPr>
          <w:rFonts w:ascii="Times New Roman" w:cs="Times New Roman" w:eastAsia="Times New Roman" w:hAnsi="Times New Roman"/>
          <w:sz w:val="14"/>
          <w:szCs w:val="14"/>
          <w:color w:val="auto"/>
        </w:rPr>
        <w:t>under current law, our unused U.S. federal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who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We may experience ownership changes in the future as a result of this offering or subsequent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in their implementation or interpretation may adversely affect our business and financial condition.</w:t>
      </w:r>
    </w:p>
    <w:p>
      <w:pPr>
        <w:spacing w:after="0" w:line="93" w:lineRule="exact"/>
        <w:rPr>
          <w:sz w:val="20"/>
          <w:szCs w:val="20"/>
          <w:color w:val="auto"/>
        </w:rPr>
      </w:pPr>
    </w:p>
    <w:p>
      <w:pPr>
        <w:ind w:left="720" w:right="819" w:firstLine="343"/>
        <w:spacing w:after="0" w:line="278" w:lineRule="auto"/>
        <w:rPr>
          <w:sz w:val="20"/>
          <w:szCs w:val="20"/>
          <w:color w:val="auto"/>
        </w:rPr>
      </w:pPr>
      <w:r>
        <w:rPr>
          <w:rFonts w:ascii="Times New Roman" w:cs="Times New Roman" w:eastAsia="Times New Roman" w:hAnsi="Times New Roman"/>
          <w:sz w:val="13"/>
          <w:szCs w:val="13"/>
          <w:color w:val="auto"/>
        </w:rPr>
        <w:t>The rules dealing with U.S. federal, state and local income taxation are constantly under review by persons involved in the legislative process and by the Internal Revenue Service (the “IRS”)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 Future changes in tax law could have a material adverse effect on our business, cash flow, financial condition or results of operations.</w:t>
      </w:r>
    </w:p>
    <w:p>
      <w:pPr>
        <w:spacing w:after="0" w:line="216" w:lineRule="exact"/>
        <w:rPr>
          <w:sz w:val="20"/>
          <w:szCs w:val="20"/>
          <w:color w:val="auto"/>
        </w:rPr>
      </w:pPr>
    </w:p>
    <w:p>
      <w:pPr>
        <w:ind w:left="720" w:right="7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56"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41"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We must devote significant resources to understanding and complying with the changing landscape in this area. Each law is also subject to various interpretations by courts and Regulatory Authorities, creating additional uncertainty, and we may fail to comply with the evolving data protection laws, which may expose us to risk of enforcement actions taken by authorities, private rights of action in some jurisdictions and potential significant penalties if we are found to be non-compliant. Some of these laws and regulations also carry the possibility of criminal sanctions.</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the United States, numerous federal, state and local laws and regulations, including federal health information privacy laws, state information security and data breach notification laws, federal consumer protection laws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Section 5 of the Federal Trade Commission Act), state consumer protection and privacy laws and other similar laws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wiretapping and communications interception laws) govern the processing of health-related and other personal data.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149"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Additionally, we may be subject to new laws governing the privacy of consumer health data. These various privacy and data security laws may impact our business activities, including our identification of research subjects, relationships with business partners and ultimately the marketing and distribution of our products. Regulators and legislators in the United States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the Department of Justice’s final rule issued in December 2024, effective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4" w:name="page85"/>
    <w:bookmarkEnd w:id="8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spacing w:after="0" w:line="257" w:lineRule="auto"/>
        <w:rPr>
          <w:sz w:val="20"/>
          <w:szCs w:val="20"/>
          <w:color w:val="auto"/>
        </w:rPr>
      </w:pPr>
      <w:r>
        <w:rPr>
          <w:rFonts w:ascii="Times New Roman" w:cs="Times New Roman" w:eastAsia="Times New Roman" w:hAnsi="Times New Roman"/>
          <w:sz w:val="14"/>
          <w:szCs w:val="14"/>
          <w:color w:val="auto"/>
        </w:rPr>
        <w:t>April 8, 2025,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spacing w:after="0" w:line="14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may govern privacy, data security and the transfer of personal data between jurisdictions. For example, the EU’s General Data Protection Regulation (“EU GDPR”) and the United Kingdom’s General Data Protection Regulation (“UK GDPR” and,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 party processors. Under GDPR, companies may face temporary or definitive bans on data processing and other corrective activities, fines of up to €20.0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p>
    <w:p>
      <w:pPr>
        <w:spacing w:after="0" w:line="149"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52"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Although the UK is regarded as a third country under the EU GDPR, the European Commission has adopted an adequacy decision in favor of the UK, a decision recognizing the UK as providing adequate protection under the EU GDPR and enabling data transfers from Member States to the UK without additional safeguards. The UK adequacy decision was renewed in December 2025 and will automatically expire in December 2031. The EU GDPR and the UK GDPR currently impose substantially similar obligations. However, the European Commission retains the authority to monitor developments in UK law, including implementation of the Data (Use and Access) Act 2025, and may amend, suspend or repeal the adequacy decisions if it determines that the UK no longer ensures an essentially equivalent level of protection. Any such action, or a successful legal challenge to the adequacy decisions could lead to additional compliance costs and could increase our overall risk.</w:t>
      </w:r>
    </w:p>
    <w:p>
      <w:pPr>
        <w:spacing w:after="0" w:line="145" w:lineRule="exact"/>
        <w:rPr>
          <w:sz w:val="20"/>
          <w:szCs w:val="20"/>
          <w:color w:val="auto"/>
        </w:rPr>
      </w:pPr>
    </w:p>
    <w:p>
      <w:pPr>
        <w:ind w:left="720" w:right="759" w:firstLine="343"/>
        <w:spacing w:after="0" w:line="276" w:lineRule="auto"/>
        <w:rPr>
          <w:sz w:val="20"/>
          <w:szCs w:val="20"/>
          <w:color w:val="auto"/>
        </w:rPr>
      </w:pPr>
      <w:r>
        <w:rPr>
          <w:rFonts w:ascii="Times New Roman" w:cs="Times New Roman" w:eastAsia="Times New Roman" w:hAnsi="Times New Roman"/>
          <w:sz w:val="13"/>
          <w:szCs w:val="13"/>
          <w:color w:val="auto"/>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Member State. Member States had until October 17, 2024 to transpose NIS 2 into national legislation, although many countries have still not completed the transposition. As such, the cybersecurity regulatory landscape in the EEA is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5" w:name="page86"/>
    <w:bookmarkEnd w:id="8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20" w:right="879"/>
        <w:spacing w:after="0" w:line="267" w:lineRule="auto"/>
        <w:rPr>
          <w:sz w:val="20"/>
          <w:szCs w:val="20"/>
          <w:color w:val="auto"/>
        </w:rPr>
      </w:pPr>
      <w:r>
        <w:rPr>
          <w:rFonts w:ascii="Times New Roman" w:cs="Times New Roman" w:eastAsia="Times New Roman" w:hAnsi="Times New Roman"/>
          <w:sz w:val="14"/>
          <w:szCs w:val="14"/>
          <w:color w:val="auto"/>
        </w:rPr>
        <w:t>currently fragmented and uncertain. To the extent we are subject to NIS 2, we will require additional investment of our resources in compliance programs. Under NIS 2 companies may be subject to administrative fines of up to the higher amount of €10.0 million or 2% of worldwide turnover.</w:t>
      </w:r>
    </w:p>
    <w:p>
      <w:pPr>
        <w:spacing w:after="0" w:line="136"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may at times fail in our efforts to comply with our privacy and data security obligations. Moreover, despite our efforts, our personnel or third parties on whom we rely, including CROs supporting our clinical trials, clinical trial sites with whom we have contracted and other third parties supporting our clinical trials,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Unfavorable U.S. or global economic conditions could adversely affect our business, financial condition or results of operations.</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wars in Ukraine and the Middle East, and the increasingly strained relationship between the United States and China. Sanctions imposed by the United States and other countries in response to such conflicts may adversely impact the financial markets and the global economy, and the economic countermeasures by the affected countries or others could exacerbate market and economic instability.</w:t>
      </w:r>
    </w:p>
    <w:p>
      <w:pPr>
        <w:spacing w:after="0" w:line="14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6" w:name="page87"/>
    <w:bookmarkEnd w:id="8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5"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This prospectus, including the sections titled “</w:t>
      </w:r>
      <w:r>
        <w:rPr>
          <w:rFonts w:ascii="Times New Roman" w:cs="Times New Roman" w:eastAsia="Times New Roman" w:hAnsi="Times New Roman"/>
          <w:sz w:val="14"/>
          <w:szCs w:val="14"/>
          <w:i w:val="1"/>
          <w:iCs w:val="1"/>
          <w:color w:val="auto"/>
        </w:rPr>
        <w:t>Prospectus Summary,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Management’s Discussion and Analysis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Financial Condition and Results of Operations,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contains express or implied forward-looking statements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on our management’s belief and assumptions and on information currently available to our management.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8"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57" w:lineRule="exact"/>
        <w:rPr>
          <w:sz w:val="20"/>
          <w:szCs w:val="20"/>
          <w:color w:val="auto"/>
        </w:rPr>
      </w:pPr>
    </w:p>
    <w:p>
      <w:pPr>
        <w:ind w:left="1480" w:right="99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research and development programs, preclinical studies and clinical trials;</w:t>
      </w:r>
    </w:p>
    <w:p>
      <w:pPr>
        <w:spacing w:after="0" w:line="40" w:lineRule="exact"/>
        <w:rPr>
          <w:rFonts w:ascii="Times New Roman" w:cs="Times New Roman" w:eastAsia="Times New Roman" w:hAnsi="Times New Roman"/>
          <w:sz w:val="14"/>
          <w:szCs w:val="14"/>
          <w:color w:val="auto"/>
        </w:rPr>
      </w:pPr>
    </w:p>
    <w:p>
      <w:pPr>
        <w:ind w:left="1480" w:right="87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clinical trials to demonstrate safety and efficacy of our product candidates, and other positive results, and the ability of our preclinical studies to predict later clinical trial results;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scope and likelihood of regulatory filings and approvals of our product candidates;</w:t>
      </w:r>
    </w:p>
    <w:p>
      <w:pPr>
        <w:spacing w:after="0" w:line="91" w:lineRule="exact"/>
        <w:rPr>
          <w:rFonts w:ascii="Times New Roman" w:cs="Times New Roman" w:eastAsia="Times New Roman" w:hAnsi="Times New Roman"/>
          <w:sz w:val="14"/>
          <w:szCs w:val="14"/>
          <w:color w:val="auto"/>
        </w:rPr>
      </w:pPr>
    </w:p>
    <w:p>
      <w:pPr>
        <w:ind w:left="1480" w:right="103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platform, programs, and current and future product candidates;</w:t>
      </w:r>
    </w:p>
    <w:p>
      <w:pPr>
        <w:spacing w:after="0" w:line="40" w:lineRule="exact"/>
        <w:rPr>
          <w:rFonts w:ascii="Times New Roman" w:cs="Times New Roman" w:eastAsia="Times New Roman" w:hAnsi="Times New Roman"/>
          <w:sz w:val="14"/>
          <w:szCs w:val="14"/>
          <w:color w:val="auto"/>
        </w:rPr>
      </w:pPr>
    </w:p>
    <w:p>
      <w:pPr>
        <w:ind w:left="1480" w:right="107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cash and the sufficiency of our existing cash and cash equivalents to fund our future operating expenses and capital expenditure requirements;</w:t>
      </w:r>
    </w:p>
    <w:p>
      <w:pPr>
        <w:spacing w:after="0" w:line="40" w:lineRule="exact"/>
        <w:rPr>
          <w:rFonts w:ascii="Times New Roman" w:cs="Times New Roman" w:eastAsia="Times New Roman" w:hAnsi="Times New Roman"/>
          <w:sz w:val="14"/>
          <w:szCs w:val="14"/>
          <w:color w:val="auto"/>
        </w:rPr>
      </w:pPr>
    </w:p>
    <w:p>
      <w:pPr>
        <w:ind w:left="1480" w:right="129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91"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current and future product candidates for clinical trials and for commercial use, if approved;</w:t>
      </w:r>
    </w:p>
    <w:p>
      <w:pPr>
        <w:spacing w:after="0" w:line="40" w:lineRule="exact"/>
        <w:rPr>
          <w:rFonts w:ascii="Times New Roman" w:cs="Times New Roman" w:eastAsia="Times New Roman" w:hAnsi="Times New Roman"/>
          <w:sz w:val="14"/>
          <w:szCs w:val="14"/>
          <w:color w:val="auto"/>
        </w:rPr>
      </w:pPr>
    </w:p>
    <w:p>
      <w:pPr>
        <w:ind w:left="1480" w:right="121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regulations and regulatory developments in the United States and other jurisdictions;</w:t>
      </w:r>
    </w:p>
    <w:p>
      <w:pPr>
        <w:spacing w:after="0" w:line="91"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fluctuating interest rates and rising inflation;</w:t>
      </w:r>
    </w:p>
    <w:p>
      <w:pPr>
        <w:spacing w:after="0" w:line="91"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the continued service of our key personnel and to identify, hire and then retain additional qualified personnel;</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EGC under the JOBS Act;</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completion of the concurrent private placement; and</w:t>
      </w:r>
    </w:p>
    <w:p>
      <w:pPr>
        <w:spacing w:after="0" w:line="91" w:lineRule="exact"/>
        <w:rPr>
          <w:rFonts w:ascii="Times New Roman" w:cs="Times New Roman" w:eastAsia="Times New Roman" w:hAnsi="Times New Roman"/>
          <w:sz w:val="14"/>
          <w:szCs w:val="14"/>
          <w:color w:val="auto"/>
        </w:rPr>
      </w:pPr>
    </w:p>
    <w:p>
      <w:pPr>
        <w:ind w:left="1480" w:right="1059" w:hanging="246"/>
        <w:spacing w:after="0" w:line="283" w:lineRule="auto"/>
        <w:tabs>
          <w:tab w:leader="none" w:pos="14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our existing cash and cash equivalents and the proceeds from this offering and the concurrent private placement.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7" w:name="page88"/>
    <w:bookmarkEnd w:id="8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No forward-looking statement is a guarantee of future performance. Except as required by applicable law, we do not plan to publicly update or revise any forward-looking statements contained herein until after we distribute this prospectus,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150"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4"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8" w:name="page89"/>
    <w:bookmarkEnd w:id="8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estimate that the net proceeds to us from this offering will be approximately $            million (or approximately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            million if the underwriters exercise their overallotment option in full) based on an assumed initial public offering price of</w:t>
      </w:r>
    </w:p>
    <w:p>
      <w:pPr>
        <w:spacing w:after="0" w:line="7" w:lineRule="exact"/>
        <w:rPr>
          <w:sz w:val="20"/>
          <w:szCs w:val="20"/>
          <w:color w:val="auto"/>
        </w:rPr>
      </w:pPr>
    </w:p>
    <w:p>
      <w:pPr>
        <w:ind w:left="720" w:right="799"/>
        <w:spacing w:after="0" w:line="254" w:lineRule="auto"/>
        <w:rPr>
          <w:sz w:val="20"/>
          <w:szCs w:val="20"/>
          <w:color w:val="auto"/>
        </w:rPr>
      </w:pPr>
      <w:r>
        <w:rPr>
          <w:rFonts w:ascii="Times New Roman" w:cs="Times New Roman" w:eastAsia="Times New Roman" w:hAnsi="Times New Roman"/>
          <w:sz w:val="14"/>
          <w:szCs w:val="14"/>
          <w:color w:val="auto"/>
        </w:rPr>
        <w:t>$        per share, which is the midpoint of the price range set forth on the cover page of this prospectus, after deducting underwriting discounts and commissions and estimated offering expenses payable by us. We also expect to receive net proceeds of approximately $ million from the sale of shares of our common stock in the concurrent private placement, after deducting estimated private placement expenses payable by us.</w:t>
      </w:r>
    </w:p>
    <w:p>
      <w:pPr>
        <w:spacing w:after="0" w:line="145"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Each $1.00 increase or decrease, as applicable, in the assumed initial public offering price of $        per share, which is the midpoint of the price range set forth on the cover of this prospectus, would increase or decrease, as applicable, the net proceeds to us from this offering and the concurrent private placement by $        million, assuming the number of shares offered by us, as set forth on the cover page of this prospectus, remains the same, and after deducting underwriting discounts and commissions and estimated expenses payable by us. Similarly, each increase or decrease, as applicable, of 1.0 million shares in the number of shares of common stock offered by us, as set forth on the cover page of this prospectus, would increase or decrease, as applicable, the net proceeds to us from this offering and the concurrent private placement by $        million, assuming the assumed initial public offering price of $        per share remains the same, and after deducting underwriting discounts and commissions and estimated expenses payable by us.</w:t>
      </w:r>
    </w:p>
    <w:p>
      <w:pPr>
        <w:spacing w:after="0" w:line="314"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principal purposes of this offering are to create a public market for our common stock and thereby facilitate future access to the public equity markets, increase our visibility in the marketplace, and obtain additional capital to support our operations. We currently intend to use the net proceeds from this offering and the concurrent private placement, together with our existing cash and cash equivalents, as follows:</w:t>
      </w:r>
    </w:p>
    <w:p>
      <w:pPr>
        <w:spacing w:after="0" w:line="57" w:lineRule="exact"/>
        <w:rPr>
          <w:sz w:val="20"/>
          <w:szCs w:val="20"/>
          <w:color w:val="auto"/>
        </w:rPr>
      </w:pPr>
    </w:p>
    <w:p>
      <w:pPr>
        <w:ind w:left="1480" w:right="919" w:hanging="246"/>
        <w:spacing w:after="0" w:line="283" w:lineRule="auto"/>
        <w:tabs>
          <w:tab w:leader="none" w:pos="1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to continue the ongoing clinical development of zolucatetide in desmoid tumors, including continuation of dose expansion and the initiation of a Phase 3 registrational trial to topline data;</w:t>
      </w:r>
    </w:p>
    <w:p>
      <w:pPr>
        <w:spacing w:after="0" w:line="40" w:lineRule="exact"/>
        <w:rPr>
          <w:rFonts w:ascii="Times New Roman" w:cs="Times New Roman" w:eastAsia="Times New Roman" w:hAnsi="Times New Roman"/>
          <w:sz w:val="14"/>
          <w:szCs w:val="14"/>
          <w:color w:val="auto"/>
        </w:rPr>
      </w:pPr>
    </w:p>
    <w:p>
      <w:pPr>
        <w:ind w:left="1480" w:right="879" w:hanging="246"/>
        <w:spacing w:after="0" w:line="267" w:lineRule="auto"/>
        <w:tabs>
          <w:tab w:leader="none" w:pos="1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to continue the ongoing clinical development of zolucatetide across several additional indications, including dose escalation and expansion in FAP, HCC, and other rare tumors to collect data to support our registrational trial;</w:t>
      </w:r>
    </w:p>
    <w:p>
      <w:pPr>
        <w:spacing w:after="0" w:line="51" w:lineRule="exact"/>
        <w:rPr>
          <w:rFonts w:ascii="Times New Roman" w:cs="Times New Roman" w:eastAsia="Times New Roman" w:hAnsi="Times New Roman"/>
          <w:sz w:val="14"/>
          <w:szCs w:val="14"/>
          <w:color w:val="auto"/>
        </w:rPr>
      </w:pPr>
    </w:p>
    <w:p>
      <w:pPr>
        <w:ind w:left="1480" w:right="1039" w:hanging="246"/>
        <w:spacing w:after="0" w:line="283" w:lineRule="auto"/>
        <w:tabs>
          <w:tab w:leader="none" w:pos="1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to advance our pipeline of additional programs, including our ERG, AR</w:t>
      </w:r>
      <w:r>
        <w:rPr>
          <w:rFonts w:ascii="Times New Roman" w:cs="Times New Roman" w:eastAsia="Times New Roman" w:hAnsi="Times New Roman"/>
          <w:sz w:val="14"/>
          <w:szCs w:val="14"/>
          <w:color w:val="auto"/>
          <w:vertAlign w:val="superscript"/>
        </w:rPr>
        <w:t>ON</w:t>
      </w:r>
      <w:r>
        <w:rPr>
          <w:rFonts w:ascii="Times New Roman" w:cs="Times New Roman" w:eastAsia="Times New Roman" w:hAnsi="Times New Roman"/>
          <w:sz w:val="14"/>
          <w:szCs w:val="14"/>
          <w:color w:val="auto"/>
        </w:rPr>
        <w:t>, and ß-catenin degraders to Phase 1 clinical data; and</w:t>
      </w:r>
    </w:p>
    <w:p>
      <w:pPr>
        <w:spacing w:after="0" w:line="40" w:lineRule="exact"/>
        <w:rPr>
          <w:rFonts w:ascii="Times New Roman" w:cs="Times New Roman" w:eastAsia="Times New Roman" w:hAnsi="Times New Roman"/>
          <w:sz w:val="14"/>
          <w:szCs w:val="14"/>
          <w:color w:val="auto"/>
        </w:rPr>
      </w:pPr>
    </w:p>
    <w:p>
      <w:pPr>
        <w:ind w:left="1480" w:right="879" w:hanging="246"/>
        <w:spacing w:after="0" w:line="283" w:lineRule="auto"/>
        <w:tabs>
          <w:tab w:leader="none" w:pos="1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remainder for continued evolution of the Helicon platform and for general corporate purposes, including additional development efforts, working capital, and operating expenses.</w:t>
      </w:r>
    </w:p>
    <w:p>
      <w:pPr>
        <w:spacing w:after="0" w:line="125" w:lineRule="exact"/>
        <w:rPr>
          <w:sz w:val="20"/>
          <w:szCs w:val="20"/>
          <w:color w:val="auto"/>
        </w:rPr>
      </w:pPr>
    </w:p>
    <w:p>
      <w:pPr>
        <w:ind w:left="720" w:right="959" w:firstLine="343"/>
        <w:spacing w:after="0" w:line="267" w:lineRule="auto"/>
        <w:rPr>
          <w:sz w:val="20"/>
          <w:szCs w:val="20"/>
          <w:color w:val="auto"/>
        </w:rPr>
      </w:pPr>
      <w:r>
        <w:rPr>
          <w:rFonts w:ascii="Times New Roman" w:cs="Times New Roman" w:eastAsia="Times New Roman" w:hAnsi="Times New Roman"/>
          <w:sz w:val="14"/>
          <w:szCs w:val="14"/>
          <w:color w:val="auto"/>
        </w:rPr>
        <w:t>We may also use a portion of the remaining net proceeds and our existing cash and cash equivalents to in-license, acquire, or invest in complementary businesses, technologies, products, or assets. However, we have no current commitments, agreements, understandings or obligations to do so.</w:t>
      </w:r>
    </w:p>
    <w:p>
      <w:pPr>
        <w:spacing w:after="0" w:line="136"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We believe that our existing cash and cash equivalents, together with the anticipated net proceeds from this offering and the concurrent private placement and the upfront payment of $50.0 million we will receive from Regeneron, will enable us to fund our operating expenses and capital expenditure requirements through   . We have based this estimate on assumptions that may prove to be wrong, and we could exhaust our available capital resources sooner than we expect. Even if this offering and the concurrent private placement are successful, we will require additional funding in order to finance operations and complete our ongoing and planned clinical trials. Access to such funding on acceptable terms cannot be assured.</w:t>
      </w:r>
    </w:p>
    <w:p>
      <w:pPr>
        <w:spacing w:after="0" w:line="14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Our expected use of proceeds from this offering and the concurrent private placement described above represents our current intentions based on our present plans and business condition. As of the date of this prospectus, we cannot predict with certainty all of the particular uses for the net proceeds to be received upon the completion of this offering and the concurrent private placement or the actual amounts that we will spend on the uses set forth above. We expect that we will require additional funds in order to fully accomplish the specified uses of the proceeds of this offering and the concurrent private placement.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9" w:name="page90"/>
    <w:bookmarkEnd w:id="8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We will have broad discretion over how to use the net proceeds to us from this offering and the concurrent private placement and investors will be relying on the judgment of our management regarding the application of the net proceeds. Pending our use of the net proceeds from this offering and the concurrent private placement,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0" w:name="page91"/>
    <w:bookmarkEnd w:id="9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143"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In addition, our ability to pay cash dividends on our capital stock is limited by our term loan from Silicon Valley Bank and may in the future be limited by the terms of any future debt or preferred securities we issue or any credit facilities we enter into.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1" w:name="page92"/>
    <w:bookmarkEnd w:id="9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sets forth our existing cash and cash equivalents, excluding restricted cash, and our total capitalization as of</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March 31, 2026:</w:t>
      </w:r>
    </w:p>
    <w:p>
      <w:pPr>
        <w:spacing w:after="0" w:line="77" w:lineRule="exact"/>
        <w:rPr>
          <w:sz w:val="20"/>
          <w:szCs w:val="20"/>
          <w:color w:val="auto"/>
        </w:rPr>
      </w:pPr>
    </w:p>
    <w:p>
      <w:pPr>
        <w:ind w:left="1480" w:hanging="246"/>
        <w:spacing w:after="0"/>
        <w:tabs>
          <w:tab w:leader="none" w:pos="1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giving effect to (i) the conversion of all outstanding shares of convertible preferred stock into an</w:t>
      </w:r>
    </w:p>
    <w:p>
      <w:pPr>
        <w:spacing w:after="0" w:line="22" w:lineRule="exact"/>
        <w:rPr>
          <w:sz w:val="20"/>
          <w:szCs w:val="20"/>
          <w:color w:val="auto"/>
        </w:rPr>
      </w:pPr>
    </w:p>
    <w:p>
      <w:pPr>
        <w:ind w:left="1480" w:right="819"/>
        <w:spacing w:after="0" w:line="253" w:lineRule="auto"/>
        <w:rPr>
          <w:sz w:val="20"/>
          <w:szCs w:val="20"/>
          <w:color w:val="auto"/>
        </w:rPr>
      </w:pPr>
      <w:r>
        <w:rPr>
          <w:rFonts w:ascii="Times New Roman" w:cs="Times New Roman" w:eastAsia="Times New Roman" w:hAnsi="Times New Roman"/>
          <w:sz w:val="14"/>
          <w:szCs w:val="14"/>
          <w:color w:val="auto"/>
        </w:rPr>
        <w:t>aggregate of        shares of our common stock and shares of our non-voting common stock upon the closing of this offering, (ii) the conversion of our outstanding SAFE into        shares of our common stock, based on the assumed initial offering price of $        per share, which is the midpoint of the price range set forth on the cover page of this prospectus, and (iii) the filing and effectiveness of our seventh amended and restated certificate of incorporation, which will occur immediately prior to the closing of this offering; and</w:t>
      </w:r>
    </w:p>
    <w:p>
      <w:pPr>
        <w:spacing w:after="0" w:line="62" w:lineRule="exact"/>
        <w:rPr>
          <w:sz w:val="20"/>
          <w:szCs w:val="20"/>
          <w:color w:val="auto"/>
        </w:rPr>
      </w:pPr>
    </w:p>
    <w:p>
      <w:pPr>
        <w:ind w:left="1480" w:hanging="246"/>
        <w:spacing w:after="0"/>
        <w:tabs>
          <w:tab w:leader="none" w:pos="14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as adjusted basis, giving effect to (i) the pro forma adjustments set forth above, (ii) the issuance and sale</w:t>
      </w:r>
    </w:p>
    <w:p>
      <w:pPr>
        <w:spacing w:after="0" w:line="22" w:lineRule="exact"/>
        <w:rPr>
          <w:sz w:val="20"/>
          <w:szCs w:val="20"/>
          <w:color w:val="auto"/>
        </w:rPr>
      </w:pPr>
    </w:p>
    <w:p>
      <w:pPr>
        <w:ind w:left="1480" w:right="779"/>
        <w:spacing w:after="0" w:line="250" w:lineRule="auto"/>
        <w:rPr>
          <w:sz w:val="20"/>
          <w:szCs w:val="20"/>
          <w:color w:val="auto"/>
        </w:rPr>
      </w:pPr>
      <w:r>
        <w:rPr>
          <w:rFonts w:ascii="Times New Roman" w:cs="Times New Roman" w:eastAsia="Times New Roman" w:hAnsi="Times New Roman"/>
          <w:sz w:val="14"/>
          <w:szCs w:val="14"/>
          <w:color w:val="auto"/>
        </w:rPr>
        <w:t>of        shares of common stock in this offering at the assumed initial public offering price of $        per share, the midpoint of the price range set forth on the cover page of this prospectus, after deducting underwriting discounts and</w:t>
      </w:r>
    </w:p>
    <w:p>
      <w:pPr>
        <w:spacing w:after="0" w:line="1" w:lineRule="exact"/>
        <w:rPr>
          <w:sz w:val="20"/>
          <w:szCs w:val="20"/>
          <w:color w:val="auto"/>
        </w:rPr>
      </w:pPr>
    </w:p>
    <w:p>
      <w:pPr>
        <w:jc w:val="both"/>
        <w:ind w:left="1480" w:right="879"/>
        <w:spacing w:after="0" w:line="254" w:lineRule="auto"/>
        <w:rPr>
          <w:sz w:val="20"/>
          <w:szCs w:val="20"/>
          <w:color w:val="auto"/>
        </w:rPr>
      </w:pPr>
      <w:r>
        <w:rPr>
          <w:rFonts w:ascii="Times New Roman" w:cs="Times New Roman" w:eastAsia="Times New Roman" w:hAnsi="Times New Roman"/>
          <w:sz w:val="14"/>
          <w:szCs w:val="14"/>
          <w:color w:val="auto"/>
        </w:rPr>
        <w:t>commissions and estimated offering expenses payable by us, and (iii) the issuance and sale of shares of common stock in the concurrent private placement at a price per share equal to 90% of the assumed initial public offering price per share of the shares offered in this offering, or $ , which is the midpoint of the price range set forth on the cover page of this prospectus, after deducting estimated private placement expenses payable by us.</w:t>
      </w:r>
    </w:p>
    <w:p>
      <w:pPr>
        <w:spacing w:after="0" w:line="145"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The pro forma as adjusted information below is illustrative only, and our capitalization following the completion of this offering and the concurrent private placement will be adjusted based on the actual initial public offering price and other terms of this offering and concurrent private placement determined at pricing.</w:t>
      </w:r>
    </w:p>
    <w:p>
      <w:pPr>
        <w:spacing w:after="0" w:line="136"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You should read this information together with our consolidated financial statements and the related notes included elsewhere in this prospectus, and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p>
    <w:p>
      <w:pPr>
        <w:spacing w:after="0" w:line="120"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6"/>
          </w:tcPr>
          <w:p>
            <w:pPr>
              <w:jc w:val="center"/>
              <w:ind w:right="138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ind w:right="10"/>
              <w:spacing w:after="0" w:line="85" w:lineRule="exact"/>
              <w:rPr>
                <w:sz w:val="20"/>
                <w:szCs w:val="20"/>
                <w:color w:val="auto"/>
              </w:rPr>
            </w:pPr>
            <w:r>
              <w:rPr>
                <w:rFonts w:ascii="Times New Roman" w:cs="Times New Roman" w:eastAsia="Times New Roman" w:hAnsi="Times New Roman"/>
                <w:sz w:val="9"/>
                <w:szCs w:val="9"/>
                <w:b w:val="1"/>
                <w:bCs w:val="1"/>
                <w:color w:val="auto"/>
              </w:rPr>
              <w:t>Pro Forma,</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4100" w:type="dxa"/>
            <w:vAlign w:val="bottom"/>
            <w:gridSpan w:val="3"/>
          </w:tcPr>
          <w:p>
            <w:pPr>
              <w:ind w:left="128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7"/>
              </w:rPr>
              <w:t>As Adjusted</w:t>
            </w:r>
            <w:r>
              <w:rPr>
                <w:rFonts w:ascii="Times New Roman" w:cs="Times New Roman" w:eastAsia="Times New Roman" w:hAnsi="Times New Roman"/>
                <w:sz w:val="15"/>
                <w:szCs w:val="15"/>
                <w:b w:val="1"/>
                <w:bCs w:val="1"/>
                <w:color w:val="auto"/>
                <w:w w:val="97"/>
                <w:vertAlign w:val="superscript"/>
              </w:rPr>
              <w:t>(1)</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28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329,039</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12"/>
                <w:szCs w:val="12"/>
                <w:color w:val="auto"/>
              </w:rPr>
            </w:pPr>
          </w:p>
        </w:tc>
        <w:tc>
          <w:tcPr>
            <w:tcW w:w="134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4"/>
                <w:szCs w:val="14"/>
                <w:color w:val="auto"/>
              </w:rPr>
              <w:t>Current liabilities:</w:t>
            </w:r>
          </w:p>
        </w:tc>
        <w:tc>
          <w:tcPr>
            <w:tcW w:w="148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Term loan, net of discount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2820" w:type="dxa"/>
            <w:vAlign w:val="bottom"/>
            <w:tcBorders>
              <w:top w:val="single" w:sz="8" w:color="CFF0FC"/>
            </w:tcBorders>
            <w:gridSpan w:val="2"/>
          </w:tcPr>
          <w:p>
            <w:pPr>
              <w:spacing w:after="0" w:line="159" w:lineRule="exact"/>
              <w:rPr>
                <w:sz w:val="20"/>
                <w:szCs w:val="20"/>
                <w:color w:val="auto"/>
              </w:rPr>
            </w:pPr>
            <w:r>
              <w:rPr>
                <w:rFonts w:ascii="Times New Roman" w:cs="Times New Roman" w:eastAsia="Times New Roman" w:hAnsi="Times New Roman"/>
                <w:sz w:val="14"/>
                <w:szCs w:val="14"/>
                <w:color w:val="auto"/>
              </w:rPr>
              <w:t>Simple agreement for future equity</w:t>
            </w: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top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3760" w:type="dxa"/>
            <w:vAlign w:val="bottom"/>
            <w:gridSpan w:val="4"/>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Convertible preferred stock (Series A, Series B, Series C,</w:t>
            </w: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Series D, Series E and Series F), $0.0001 par value;</w:t>
            </w: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102,814,601 shares authorized, issued and outstanding,</w:t>
            </w: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actual; no shares authorized, issued or outstanding,</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814,540</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8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 forma and pro forma as adjusted</w:t>
            </w: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28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Stockholders’ (deficit) equity:</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2820" w:type="dxa"/>
            <w:vAlign w:val="bottom"/>
            <w:gridSpan w:val="2"/>
            <w:shd w:val="clear" w:color="auto" w:fill="CFF0FC"/>
          </w:tcPr>
          <w:p>
            <w:pPr>
              <w:ind w:left="140"/>
              <w:spacing w:after="0" w:line="153" w:lineRule="exact"/>
              <w:rPr>
                <w:sz w:val="20"/>
                <w:szCs w:val="20"/>
                <w:color w:val="auto"/>
              </w:rPr>
            </w:pPr>
            <w:r>
              <w:rPr>
                <w:rFonts w:ascii="Times New Roman" w:cs="Times New Roman" w:eastAsia="Times New Roman" w:hAnsi="Times New Roman"/>
                <w:sz w:val="14"/>
                <w:szCs w:val="14"/>
                <w:color w:val="auto"/>
              </w:rPr>
              <w:t>Preferred stock, $0.0001 par value; no shares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authorized,</w:t>
            </w:r>
          </w:p>
        </w:tc>
        <w:tc>
          <w:tcPr>
            <w:tcW w:w="1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issued or outstanding, actual; shares authorized, and</w:t>
            </w: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no shares issued or outstanding, pro forma and pro</w:t>
            </w: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forma as adjusted</w:t>
            </w:r>
          </w:p>
        </w:tc>
        <w:tc>
          <w:tcPr>
            <w:tcW w:w="14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760" w:type="dxa"/>
            <w:vAlign w:val="bottom"/>
            <w:gridSpan w:val="4"/>
          </w:tcPr>
          <w:p>
            <w:pPr>
              <w:ind w:left="140"/>
              <w:spacing w:after="0" w:line="153" w:lineRule="exact"/>
              <w:rPr>
                <w:sz w:val="20"/>
                <w:szCs w:val="20"/>
                <w:color w:val="auto"/>
              </w:rPr>
            </w:pPr>
            <w:r>
              <w:rPr>
                <w:rFonts w:ascii="Times New Roman" w:cs="Times New Roman" w:eastAsia="Times New Roman" w:hAnsi="Times New Roman"/>
                <w:sz w:val="14"/>
                <w:szCs w:val="14"/>
                <w:color w:val="auto"/>
              </w:rPr>
              <w:t>Common stock, $0.0001 par value; 150,132,000 shares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authorized and 3,274,905 shares issued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outstanding, actual; shares authorized, issued and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76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outstanding, pro forma; shares authorized, shares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issued and outstanding, pro forma as adjusted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3760" w:type="dxa"/>
            <w:vAlign w:val="bottom"/>
            <w:gridSpan w:val="4"/>
            <w:shd w:val="clear" w:color="auto" w:fill="CFF0FC"/>
          </w:tcPr>
          <w:p>
            <w:pPr>
              <w:ind w:left="140"/>
              <w:spacing w:after="0" w:line="153" w:lineRule="exact"/>
              <w:rPr>
                <w:sz w:val="20"/>
                <w:szCs w:val="20"/>
                <w:color w:val="auto"/>
              </w:rPr>
            </w:pPr>
            <w:r>
              <w:rPr>
                <w:rFonts w:ascii="Times New Roman" w:cs="Times New Roman" w:eastAsia="Times New Roman" w:hAnsi="Times New Roman"/>
                <w:sz w:val="14"/>
                <w:szCs w:val="14"/>
                <w:color w:val="auto"/>
              </w:rPr>
              <w:t>Non-voting common stock, $0.0001 par value; no shares</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8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authorized, issued or outstanding, actual;</w:t>
            </w:r>
          </w:p>
        </w:tc>
        <w:tc>
          <w:tcPr>
            <w:tcW w:w="9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authorized, and</w:t>
            </w:r>
          </w:p>
        </w:tc>
        <w:tc>
          <w:tcPr>
            <w:tcW w:w="24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shares issued and outstanding, pro</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8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forma and pro forma as adjusted</w:t>
            </w: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282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Additional paid-in capital</w:t>
            </w: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16,500</w:t>
            </w: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1340" w:type="dxa"/>
            <w:vAlign w:val="bottom"/>
            <w:tcBorders>
              <w:bottom w:val="single" w:sz="8" w:color="CFF0FC"/>
            </w:tcBorders>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Accumulated deficit</w:t>
            </w:r>
          </w:p>
        </w:tc>
        <w:tc>
          <w:tcPr>
            <w:tcW w:w="14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(586,820)</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282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stockholders' (deficit) equity</w:t>
            </w: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(570,320)</w:t>
            </w: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13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capitalization</w:t>
            </w:r>
          </w:p>
        </w:tc>
        <w:tc>
          <w:tcPr>
            <w:tcW w:w="14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303,621</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1280" w:type="dxa"/>
            <w:vAlign w:val="bottom"/>
          </w:tcPr>
          <w:p>
            <w:pPr>
              <w:spacing w:after="0"/>
              <w:rPr>
                <w:sz w:val="24"/>
                <w:szCs w:val="24"/>
                <w:color w:val="auto"/>
              </w:rPr>
            </w:pPr>
          </w:p>
        </w:tc>
        <w:tc>
          <w:tcPr>
            <w:tcW w:w="134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jc w:val="right"/>
              <w:ind w:right="470"/>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-3663950</wp:posOffset>
            </wp:positionV>
            <wp:extent cx="533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-3650615</wp:posOffset>
            </wp:positionV>
            <wp:extent cx="533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-3663950</wp:posOffset>
            </wp:positionV>
            <wp:extent cx="533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-3650615</wp:posOffset>
            </wp:positionV>
            <wp:extent cx="5334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-3430270</wp:posOffset>
            </wp:positionV>
            <wp:extent cx="533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-3430270</wp:posOffset>
            </wp:positionV>
            <wp:extent cx="533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-2783205</wp:posOffset>
            </wp:positionV>
            <wp:extent cx="533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-2783205</wp:posOffset>
            </wp:positionV>
            <wp:extent cx="533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-1181100</wp:posOffset>
            </wp:positionV>
            <wp:extent cx="533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-1181100</wp:posOffset>
            </wp:positionV>
            <wp:extent cx="5334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-953770</wp:posOffset>
            </wp:positionV>
            <wp:extent cx="5334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-953770</wp:posOffset>
            </wp:positionV>
            <wp:extent cx="5334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-727075</wp:posOffset>
            </wp:positionV>
            <wp:extent cx="533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-713740</wp:posOffset>
            </wp:positionV>
            <wp:extent cx="533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-727075</wp:posOffset>
            </wp:positionV>
            <wp:extent cx="533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-713740</wp:posOffset>
            </wp:positionV>
            <wp:extent cx="5334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2" w:name="page93"/>
    <w:bookmarkEnd w:id="9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60" w:right="779" w:hanging="339"/>
        <w:spacing w:after="0" w:line="254" w:lineRule="auto"/>
        <w:tabs>
          <w:tab w:leader="none" w:pos="1040" w:val="left"/>
        </w:tabs>
        <w:rPr>
          <w:sz w:val="20"/>
          <w:szCs w:val="20"/>
          <w:color w:val="auto"/>
        </w:rPr>
      </w:pPr>
      <w:r>
        <w:rPr>
          <w:rFonts w:ascii="Times New Roman" w:cs="Times New Roman" w:eastAsia="Times New Roman" w:hAnsi="Times New Roman"/>
          <w:sz w:val="14"/>
          <w:szCs w:val="14"/>
          <w:color w:val="auto"/>
        </w:rPr>
        <w:t>(1)</w:t>
        <w:tab/>
        <w:t>Each $1.00 increase or decrease, as applicable, in the assumed initial public offering price of $        per share, which is the midpoint of the price range set forth on the cover page of this prospectus, would increase or decrease, as applicable, the pro forma as adjusted amounts of each of our cash and cash equivalents, additional paid-in capital, total stockholders’ (deficit) equity and total capitalization by $        million, assuming that the number of shares offered by us, as set forth on the cover page of this prospectus, remains the same and after deducting underwriting discounts and commissions and estimated expenses payable by us. Similarly, each increase or decrease, as applicable, of 1.0 million shares in the number of shares of common stock offered by us would increase or decrease, as applicable, the pro forma as adjusted amount of each of our cash and cash equivalents, additional paid-in capital, total stockholders’ (deficit) equity and total capitalization by $        million, assuming no change in the assumed initial public offering price per share, and after deducting underwriting discounts and commissions and estimated expenses payable by us.</w:t>
      </w:r>
    </w:p>
    <w:p>
      <w:pPr>
        <w:spacing w:after="0" w:line="146" w:lineRule="exact"/>
        <w:rPr>
          <w:sz w:val="20"/>
          <w:szCs w:val="20"/>
          <w:color w:val="auto"/>
        </w:rPr>
      </w:pPr>
    </w:p>
    <w:p>
      <w:pPr>
        <w:ind w:left="720" w:right="859" w:firstLine="343"/>
        <w:spacing w:after="0" w:line="258" w:lineRule="auto"/>
        <w:rPr>
          <w:sz w:val="20"/>
          <w:szCs w:val="20"/>
          <w:color w:val="auto"/>
        </w:rPr>
      </w:pPr>
      <w:r>
        <w:rPr>
          <w:rFonts w:ascii="Times New Roman" w:cs="Times New Roman" w:eastAsia="Times New Roman" w:hAnsi="Times New Roman"/>
          <w:sz w:val="14"/>
          <w:szCs w:val="14"/>
          <w:color w:val="auto"/>
        </w:rPr>
        <w:t>The number of shares of our common stock and non-voting common stock that will be outstanding after this offering and the concurrent private placement on a pro forma and pro forma as adjusted basis is based on         shares of common stock outstanding as of March 31, 2026, after giving effect to (i) the conversion of all outstanding shares of our convertible preferred stock</w:t>
      </w:r>
    </w:p>
    <w:tbl>
      <w:tblPr>
        <w:tblLayout w:type="fixed"/>
        <w:tblInd w:w="200" w:type="dxa"/>
        <w:tblCellMar>
          <w:top w:w="0" w:type="dxa"/>
          <w:left w:w="0" w:type="dxa"/>
          <w:bottom w:w="0" w:type="dxa"/>
          <w:right w:w="0" w:type="dxa"/>
        </w:tblCellMar>
      </w:tblPr>
      <w:tr>
        <w:trPr>
          <w:trHeight w:val="154"/>
        </w:trPr>
        <w:tc>
          <w:tcPr>
            <w:tcW w:w="1780" w:type="dxa"/>
            <w:vAlign w:val="bottom"/>
            <w:gridSpan w:val="5"/>
          </w:tcPr>
          <w:p>
            <w:pPr>
              <w:ind w:left="520"/>
              <w:spacing w:after="0" w:line="154" w:lineRule="exact"/>
              <w:rPr>
                <w:sz w:val="20"/>
                <w:szCs w:val="20"/>
                <w:color w:val="auto"/>
              </w:rPr>
            </w:pPr>
            <w:r>
              <w:rPr>
                <w:rFonts w:ascii="Times New Roman" w:cs="Times New Roman" w:eastAsia="Times New Roman" w:hAnsi="Times New Roman"/>
                <w:sz w:val="14"/>
                <w:szCs w:val="14"/>
                <w:color w:val="auto"/>
                <w:w w:val="93"/>
              </w:rPr>
              <w:t>into the aggregate of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360" w:type="dxa"/>
            <w:vAlign w:val="bottom"/>
          </w:tcPr>
          <w:p>
            <w:pPr>
              <w:ind w:left="80"/>
              <w:spacing w:after="0" w:line="154" w:lineRule="exact"/>
              <w:rPr>
                <w:sz w:val="20"/>
                <w:szCs w:val="20"/>
                <w:color w:val="auto"/>
              </w:rPr>
            </w:pPr>
            <w:r>
              <w:rPr>
                <w:rFonts w:ascii="Times New Roman" w:cs="Times New Roman" w:eastAsia="Times New Roman" w:hAnsi="Times New Roman"/>
                <w:sz w:val="14"/>
                <w:szCs w:val="14"/>
                <w:color w:val="auto"/>
              </w:rPr>
              <w:t>   shares of common stock and</w:t>
            </w:r>
          </w:p>
        </w:tc>
        <w:tc>
          <w:tcPr>
            <w:tcW w:w="4180" w:type="dxa"/>
            <w:vAlign w:val="bottom"/>
            <w:gridSpan w:val="2"/>
          </w:tcPr>
          <w:p>
            <w:pPr>
              <w:ind w:left="120"/>
              <w:spacing w:after="0" w:line="154" w:lineRule="exact"/>
              <w:rPr>
                <w:sz w:val="20"/>
                <w:szCs w:val="20"/>
                <w:color w:val="auto"/>
              </w:rPr>
            </w:pPr>
            <w:r>
              <w:rPr>
                <w:rFonts w:ascii="Times New Roman" w:cs="Times New Roman" w:eastAsia="Times New Roman" w:hAnsi="Times New Roman"/>
                <w:sz w:val="14"/>
                <w:szCs w:val="14"/>
                <w:color w:val="auto"/>
              </w:rPr>
              <w:t>shares of non-voting common stock upon the closing of this</w:t>
            </w:r>
          </w:p>
        </w:tc>
      </w:tr>
      <w:tr>
        <w:trPr>
          <w:trHeight w:val="168"/>
        </w:trPr>
        <w:tc>
          <w:tcPr>
            <w:tcW w:w="4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 xml:space="preserve">offering, and (ii) the conversion of our outstanding SAFE into        </w:t>
            </w: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shares of our common stock, based on the assumed initial</w:t>
            </w:r>
          </w:p>
        </w:tc>
      </w:tr>
      <w:tr>
        <w:trPr>
          <w:trHeight w:val="168"/>
        </w:trPr>
        <w:tc>
          <w:tcPr>
            <w:tcW w:w="164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 xml:space="preserve">offering price of $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5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per share, which is the midpoint of the price range set forth on the cover page of this prospectus, and</w:t>
            </w:r>
          </w:p>
        </w:tc>
      </w:tr>
      <w:tr>
        <w:trPr>
          <w:trHeight w:val="183"/>
        </w:trPr>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excludes: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common stock issuable upon exercise of stock options outstanding as of March 31, 2026 under our</w:t>
            </w:r>
          </w:p>
        </w:tc>
      </w:tr>
      <w:tr>
        <w:trPr>
          <w:trHeight w:val="183"/>
        </w:trPr>
        <w:tc>
          <w:tcPr>
            <w:tcW w:w="1180" w:type="dxa"/>
            <w:vAlign w:val="bottom"/>
          </w:tcPr>
          <w:p>
            <w:pPr>
              <w:spacing w:after="0"/>
              <w:rPr>
                <w:sz w:val="15"/>
                <w:szCs w:val="15"/>
                <w:color w:val="auto"/>
              </w:rPr>
            </w:pPr>
          </w:p>
        </w:tc>
        <w:tc>
          <w:tcPr>
            <w:tcW w:w="324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 xml:space="preserve">2016 Plan, with a weighted average exercise price of $ </w:t>
            </w: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 share;</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common stock issuable upon exercise of stock options outstanding as of March 31, 2026 under our</w:t>
            </w:r>
          </w:p>
        </w:tc>
      </w:tr>
      <w:tr>
        <w:trPr>
          <w:trHeight w:val="183"/>
        </w:trPr>
        <w:tc>
          <w:tcPr>
            <w:tcW w:w="1180" w:type="dxa"/>
            <w:vAlign w:val="bottom"/>
          </w:tcPr>
          <w:p>
            <w:pPr>
              <w:spacing w:after="0"/>
              <w:rPr>
                <w:sz w:val="15"/>
                <w:szCs w:val="15"/>
                <w:color w:val="auto"/>
              </w:rPr>
            </w:pPr>
          </w:p>
        </w:tc>
        <w:tc>
          <w:tcPr>
            <w:tcW w:w="37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 xml:space="preserve">January 2026 Plan, with a weighted average exercise price of $ </w:t>
            </w:r>
          </w:p>
        </w:tc>
        <w:tc>
          <w:tcPr>
            <w:tcW w:w="3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per share;</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common stock issuable upon exercise of outstanding stock options granted after March 31, 2026</w:t>
            </w:r>
          </w:p>
        </w:tc>
      </w:tr>
      <w:tr>
        <w:trPr>
          <w:trHeight w:val="183"/>
        </w:trPr>
        <w:tc>
          <w:tcPr>
            <w:tcW w:w="1180" w:type="dxa"/>
            <w:vAlign w:val="bottom"/>
          </w:tcPr>
          <w:p>
            <w:pPr>
              <w:spacing w:after="0"/>
              <w:rPr>
                <w:sz w:val="15"/>
                <w:szCs w:val="15"/>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pursuant to our January 2026 Plan, with a weighted average exercise price of $            per share;</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common stock reserved for future issuance as of March 31, 2026 under the January 2026 Plan, which</w:t>
            </w:r>
          </w:p>
        </w:tc>
      </w:tr>
      <w:tr>
        <w:trPr>
          <w:trHeight w:val="183"/>
        </w:trPr>
        <w:tc>
          <w:tcPr>
            <w:tcW w:w="1180" w:type="dxa"/>
            <w:vAlign w:val="bottom"/>
          </w:tcPr>
          <w:p>
            <w:pPr>
              <w:spacing w:after="0"/>
              <w:rPr>
                <w:sz w:val="15"/>
                <w:szCs w:val="15"/>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will cease to be available for issuance at the time that our 2026 Plan becomes effective;</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our ESPP, which will become effective on the date</w:t>
            </w:r>
          </w:p>
        </w:tc>
      </w:tr>
      <w:tr>
        <w:trPr>
          <w:trHeight w:val="168"/>
        </w:trPr>
        <w:tc>
          <w:tcPr>
            <w:tcW w:w="1180" w:type="dxa"/>
            <w:vAlign w:val="bottom"/>
          </w:tcPr>
          <w:p>
            <w:pPr>
              <w:spacing w:after="0"/>
              <w:rPr>
                <w:sz w:val="14"/>
                <w:szCs w:val="14"/>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immediately prior to the effectiveness of the registration statement of which this prospectus forms a part, as well as any</w:t>
            </w:r>
          </w:p>
        </w:tc>
      </w:tr>
      <w:tr>
        <w:trPr>
          <w:trHeight w:val="183"/>
        </w:trPr>
        <w:tc>
          <w:tcPr>
            <w:tcW w:w="1180" w:type="dxa"/>
            <w:vAlign w:val="bottom"/>
          </w:tcPr>
          <w:p>
            <w:pPr>
              <w:spacing w:after="0"/>
              <w:rPr>
                <w:sz w:val="15"/>
                <w:szCs w:val="15"/>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automatic increases in the number of shares of common stock reserved for future issuance under the ESPP;</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w:t>
            </w:r>
          </w:p>
        </w:tc>
      </w:tr>
      <w:tr>
        <w:trPr>
          <w:trHeight w:val="168"/>
        </w:trPr>
        <w:tc>
          <w:tcPr>
            <w:tcW w:w="1180" w:type="dxa"/>
            <w:vAlign w:val="bottom"/>
          </w:tcPr>
          <w:p>
            <w:pPr>
              <w:spacing w:after="0"/>
              <w:rPr>
                <w:sz w:val="14"/>
                <w:szCs w:val="14"/>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become effective on the date immediately prior to the effectiveness of the registration statement of which this prospectus</w:t>
            </w:r>
          </w:p>
        </w:tc>
      </w:tr>
      <w:tr>
        <w:trPr>
          <w:trHeight w:val="168"/>
        </w:trPr>
        <w:tc>
          <w:tcPr>
            <w:tcW w:w="1180" w:type="dxa"/>
            <w:vAlign w:val="bottom"/>
          </w:tcPr>
          <w:p>
            <w:pPr>
              <w:spacing w:after="0"/>
              <w:rPr>
                <w:sz w:val="14"/>
                <w:szCs w:val="14"/>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forms a part, as well as any shares underlying outstanding stock awards granted under the January 2026 Plan and 2016</w:t>
            </w:r>
          </w:p>
        </w:tc>
      </w:tr>
      <w:tr>
        <w:trPr>
          <w:trHeight w:val="183"/>
        </w:trPr>
        <w:tc>
          <w:tcPr>
            <w:tcW w:w="1180" w:type="dxa"/>
            <w:vAlign w:val="bottom"/>
          </w:tcPr>
          <w:p>
            <w:pPr>
              <w:spacing w:after="0"/>
              <w:rPr>
                <w:sz w:val="15"/>
                <w:szCs w:val="15"/>
                <w:color w:val="auto"/>
              </w:rPr>
            </w:pPr>
          </w:p>
        </w:tc>
        <w:tc>
          <w:tcPr>
            <w:tcW w:w="7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Plan that expire or are repurchased, forfeited, cancelled, or withheld; and</w:t>
            </w:r>
          </w:p>
        </w:tc>
      </w:tr>
      <w:tr>
        <w:trPr>
          <w:trHeight w:val="238"/>
        </w:trPr>
        <w:tc>
          <w:tcPr>
            <w:tcW w:w="11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shares of our common stock issuable upon exercise of warrants outstanding as of March 31, 2026 at an exercise</w:t>
            </w:r>
          </w:p>
        </w:tc>
      </w:tr>
      <w:tr>
        <w:trPr>
          <w:trHeight w:val="183"/>
        </w:trPr>
        <w:tc>
          <w:tcPr>
            <w:tcW w:w="1180" w:type="dxa"/>
            <w:vAlign w:val="bottom"/>
          </w:tcPr>
          <w:p>
            <w:pPr>
              <w:spacing w:after="0"/>
              <w:rPr>
                <w:sz w:val="15"/>
                <w:szCs w:val="15"/>
                <w:color w:val="auto"/>
              </w:rPr>
            </w:pPr>
          </w:p>
        </w:tc>
        <w:tc>
          <w:tcPr>
            <w:tcW w:w="74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 xml:space="preserve">price of $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per share.</w:t>
            </w:r>
          </w:p>
        </w:tc>
        <w:tc>
          <w:tcPr>
            <w:tcW w:w="4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336"/>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90"/>
        </w:trPr>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3" w:name="page94"/>
    <w:bookmarkEnd w:id="9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720" w:right="999" w:firstLine="343"/>
        <w:spacing w:after="0" w:line="267" w:lineRule="auto"/>
        <w:rPr>
          <w:sz w:val="20"/>
          <w:szCs w:val="20"/>
          <w:color w:val="auto"/>
        </w:rPr>
      </w:pPr>
      <w:r>
        <w:rPr>
          <w:rFonts w:ascii="Times New Roman" w:cs="Times New Roman" w:eastAsia="Times New Roman" w:hAnsi="Times New Roman"/>
          <w:sz w:val="14"/>
          <w:szCs w:val="14"/>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 and the concurrent private placement.</w:t>
      </w:r>
    </w:p>
    <w:p>
      <w:pPr>
        <w:spacing w:after="0" w:line="136"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Our historical net tangible book deficit as of March 31, 2026 was $571.8 million, or $(174.60) per share of our common stock. Our historical net tangible book deficit represents the amount of our total tangible assets less our total liabilities, excluding the deferred offering costs, and the carrying value of our convertible preferred stock, which is not included within stockholders’ deficit. Historical net tangible book deficit per share represents historical net tangible book deficit divided by 3,274,905 shares of our common stock outstanding as of March 31, 2026.</w:t>
      </w:r>
    </w:p>
    <w:p>
      <w:pPr>
        <w:spacing w:after="0" w:line="144"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Our pro forma net tangible book value as of March 31, 2026 was $        million, or $        per share of our common stock (including shares of non-voting common stock). Pro forma net tangible book value per share represents the amount of our total tangible assets less our total liabilities, excluding the deferred offering costs, divided by the number of shares of our common stock outstanding as of March 31, 2026, after giving effect to (i) the conversion of all outstanding shares of convertible preferred stock</w:t>
      </w:r>
    </w:p>
    <w:p>
      <w:pPr>
        <w:spacing w:after="0" w:line="1" w:lineRule="exact"/>
        <w:rPr>
          <w:sz w:val="20"/>
          <w:szCs w:val="20"/>
          <w:color w:val="auto"/>
        </w:rPr>
      </w:pPr>
    </w:p>
    <w:p>
      <w:pPr>
        <w:ind w:left="720" w:right="1219"/>
        <w:spacing w:after="0" w:line="256" w:lineRule="auto"/>
        <w:rPr>
          <w:sz w:val="20"/>
          <w:szCs w:val="20"/>
          <w:color w:val="auto"/>
        </w:rPr>
      </w:pPr>
      <w:r>
        <w:rPr>
          <w:rFonts w:ascii="Times New Roman" w:cs="Times New Roman" w:eastAsia="Times New Roman" w:hAnsi="Times New Roman"/>
          <w:sz w:val="14"/>
          <w:szCs w:val="14"/>
          <w:color w:val="auto"/>
        </w:rPr>
        <w:t>into        shares of common stock and shares of non-voting common stock upon the closing of this offering and (ii) the conversion of our outstanding SAFE into        shares of our common stock, based on the assumed initial offering price of $        per share, which is the midpoint of the price range set forth on the cover page of this prospectus.</w:t>
      </w:r>
    </w:p>
    <w:p>
      <w:pPr>
        <w:spacing w:after="0" w:line="1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After giving further effect to (i) the sale of            shares of common stock that we are offering at the assumed initial public</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offering price of $            per share, which is the midpoint of the price range set forth on the cover page of this prospectus, and after</w:t>
      </w:r>
    </w:p>
    <w:p>
      <w:pPr>
        <w:spacing w:after="0" w:line="7" w:lineRule="exact"/>
        <w:rPr>
          <w:sz w:val="20"/>
          <w:szCs w:val="20"/>
          <w:color w:val="auto"/>
        </w:rPr>
      </w:pPr>
    </w:p>
    <w:p>
      <w:pPr>
        <w:ind w:left="720" w:right="839"/>
        <w:spacing w:after="0" w:line="250" w:lineRule="auto"/>
        <w:rPr>
          <w:sz w:val="20"/>
          <w:szCs w:val="20"/>
          <w:color w:val="auto"/>
        </w:rPr>
      </w:pPr>
      <w:r>
        <w:rPr>
          <w:rFonts w:ascii="Times New Roman" w:cs="Times New Roman" w:eastAsia="Times New Roman" w:hAnsi="Times New Roman"/>
          <w:sz w:val="14"/>
          <w:szCs w:val="14"/>
          <w:color w:val="auto"/>
        </w:rPr>
        <w:t>deducting underwriting discounts and commissions and estimated offering expenses payable by us and (ii) the sale of shares of common stock in the concurrent private placement at a price per share equal to 90% of the assumed initial public offering price per</w:t>
      </w:r>
    </w:p>
    <w:p>
      <w:pPr>
        <w:spacing w:after="0" w:line="1" w:lineRule="exact"/>
        <w:rPr>
          <w:sz w:val="20"/>
          <w:szCs w:val="20"/>
          <w:color w:val="auto"/>
        </w:rPr>
      </w:pPr>
    </w:p>
    <w:p>
      <w:pPr>
        <w:ind w:left="720" w:right="819"/>
        <w:spacing w:after="0" w:line="252" w:lineRule="auto"/>
        <w:rPr>
          <w:sz w:val="20"/>
          <w:szCs w:val="20"/>
          <w:color w:val="auto"/>
        </w:rPr>
      </w:pPr>
      <w:r>
        <w:rPr>
          <w:rFonts w:ascii="Times New Roman" w:cs="Times New Roman" w:eastAsia="Times New Roman" w:hAnsi="Times New Roman"/>
          <w:sz w:val="14"/>
          <w:szCs w:val="14"/>
          <w:color w:val="auto"/>
        </w:rPr>
        <w:t>share of the shares offered in this offering, or $ , which is the midpoint of the price range set forth on the cover page of this prospectus, after deducting estimated private placement expenses payable by us, our pro forma as adjusted net tangible book value as of March 31, 2026 would have been $        million, or $        per share of our common stock (including shares of non-voting common stock). This amount represents an immediate increase in pro forma net tangible book value of $        per share to our existing stockholders and an immediate dilution in pro forma net tangible book value of $        per share to new investors purchasing shares of common stock in this offering and the concurrent private placement.</w:t>
      </w:r>
    </w:p>
    <w:p>
      <w:pPr>
        <w:spacing w:after="0" w:line="149"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Dilution per share to new investors is determined by subtracting pro forma as adjusted net tangible book value per share after this offering and the concurrent private placement from the initial public offering price per share paid by new investors. The following table illustrates this dilution (without giving effect to any exercise by the underwriters of their overallotment option):</w:t>
      </w:r>
    </w:p>
    <w:p>
      <w:pPr>
        <w:spacing w:after="0" w:line="15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-92075</wp:posOffset>
            </wp:positionV>
            <wp:extent cx="3364230" cy="1066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4230" cy="106680"/>
                    </a:xfrm>
                    <a:prstGeom prst="rect">
                      <a:avLst/>
                    </a:prstGeom>
                    <a:noFill/>
                  </pic:spPr>
                </pic:pic>
              </a:graphicData>
            </a:graphic>
          </wp:anchor>
        </w:drawing>
      </w:r>
    </w:p>
    <w:p>
      <w:pPr>
        <w:spacing w:after="0" w:line="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Historical net tangible book deficit per share as of</w:t>
      </w:r>
    </w:p>
    <w:p>
      <w:pPr>
        <w:spacing w:after="0" w:line="7" w:lineRule="exact"/>
        <w:rPr>
          <w:sz w:val="20"/>
          <w:szCs w:val="20"/>
          <w:color w:val="auto"/>
        </w:rPr>
      </w:pPr>
    </w:p>
    <w:p>
      <w:pPr>
        <w:ind w:left="2100"/>
        <w:spacing w:after="0"/>
        <w:tabs>
          <w:tab w:leader="none" w:pos="5500" w:val="left"/>
          <w:tab w:leader="none" w:pos="5860" w:val="left"/>
        </w:tabs>
        <w:rPr>
          <w:sz w:val="20"/>
          <w:szCs w:val="20"/>
          <w:color w:val="auto"/>
        </w:rPr>
      </w:pPr>
      <w:r>
        <w:rPr>
          <w:rFonts w:ascii="Times New Roman" w:cs="Times New Roman" w:eastAsia="Times New Roman" w:hAnsi="Times New Roman"/>
          <w:sz w:val="14"/>
          <w:szCs w:val="14"/>
          <w:color w:val="auto"/>
        </w:rPr>
        <w:t>March 31, 2026</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(174.60)</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Increase per share as of March 31, 2026 attributable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-101600</wp:posOffset>
            </wp:positionV>
            <wp:extent cx="3364230" cy="2133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4230" cy="213360"/>
                    </a:xfrm>
                    <a:prstGeom prst="rect">
                      <a:avLst/>
                    </a:prstGeom>
                    <a:noFill/>
                  </pic:spPr>
                </pic:pic>
              </a:graphicData>
            </a:graphic>
          </wp:anchor>
        </w:drawing>
      </w:r>
    </w:p>
    <w:p>
      <w:pPr>
        <w:ind w:left="2100"/>
        <w:spacing w:after="0"/>
        <w:rPr>
          <w:sz w:val="20"/>
          <w:szCs w:val="20"/>
          <w:color w:val="auto"/>
        </w:rPr>
      </w:pPr>
      <w:r>
        <w:rPr>
          <w:rFonts w:ascii="Times New Roman" w:cs="Times New Roman" w:eastAsia="Times New Roman" w:hAnsi="Times New Roman"/>
          <w:sz w:val="14"/>
          <w:szCs w:val="14"/>
          <w:color w:val="auto"/>
        </w:rPr>
        <w:t>pro forma adjustments described above</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Pro forma net tangible book value per share as of</w:t>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March 31, 2026</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-101600</wp:posOffset>
            </wp:positionV>
            <wp:extent cx="3364230" cy="320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4230" cy="320675"/>
                    </a:xfrm>
                    <a:prstGeom prst="rect">
                      <a:avLst/>
                    </a:prstGeom>
                    <a:noFill/>
                  </pic:spPr>
                </pic:pic>
              </a:graphicData>
            </a:graphic>
          </wp:anchor>
        </w:drawing>
      </w:r>
    </w:p>
    <w:p>
      <w:pPr>
        <w:ind w:left="2100"/>
        <w:spacing w:after="0"/>
        <w:rPr>
          <w:sz w:val="20"/>
          <w:szCs w:val="20"/>
          <w:color w:val="auto"/>
        </w:rPr>
      </w:pPr>
      <w:r>
        <w:rPr>
          <w:rFonts w:ascii="Times New Roman" w:cs="Times New Roman" w:eastAsia="Times New Roman" w:hAnsi="Times New Roman"/>
          <w:sz w:val="14"/>
          <w:szCs w:val="14"/>
          <w:color w:val="auto"/>
        </w:rPr>
        <w:t>new investors participating in this offering and the</w:t>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concurrent private placement</w:t>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Pro forma as adjusted net tangible book value per share after</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this offering and the concurrent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-1270</wp:posOffset>
            </wp:positionV>
            <wp:extent cx="44069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40690" cy="698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Dilution per share to new investors participating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-101600</wp:posOffset>
            </wp:positionV>
            <wp:extent cx="3364230" cy="213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4230" cy="213360"/>
                    </a:xfrm>
                    <a:prstGeom prst="rect">
                      <a:avLst/>
                    </a:prstGeom>
                    <a:noFill/>
                  </pic:spPr>
                </pic:pic>
              </a:graphicData>
            </a:graphic>
          </wp:anchor>
        </w:drawing>
      </w:r>
    </w:p>
    <w:p>
      <w:pPr>
        <w:ind w:left="1960"/>
        <w:spacing w:after="0"/>
        <w:rPr>
          <w:sz w:val="20"/>
          <w:szCs w:val="20"/>
          <w:color w:val="auto"/>
        </w:rPr>
      </w:pPr>
      <w:r>
        <w:rPr>
          <w:rFonts w:ascii="Times New Roman" w:cs="Times New Roman" w:eastAsia="Times New Roman" w:hAnsi="Times New Roman"/>
          <w:sz w:val="14"/>
          <w:szCs w:val="14"/>
          <w:color w:val="auto"/>
        </w:rPr>
        <w:t>offering and the concurrent private placement</w:t>
      </w:r>
    </w:p>
    <w:p>
      <w:pPr>
        <w:spacing w:after="0" w:line="182"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The dilution information discussed above is illustrative only and may change based on the actual initial public offering price and other terms of this offering and the concurrent private placement. Each $1.00 increase or decrease, as applicable, in the assumed initial</w:t>
      </w:r>
    </w:p>
    <w:p>
      <w:pPr>
        <w:spacing w:after="0" w:line="1" w:lineRule="exact"/>
        <w:rPr>
          <w:sz w:val="20"/>
          <w:szCs w:val="20"/>
          <w:color w:val="auto"/>
        </w:rPr>
      </w:pPr>
    </w:p>
    <w:p>
      <w:pPr>
        <w:ind w:left="720" w:right="759"/>
        <w:spacing w:after="0" w:line="250" w:lineRule="auto"/>
        <w:rPr>
          <w:sz w:val="20"/>
          <w:szCs w:val="20"/>
          <w:color w:val="auto"/>
        </w:rPr>
      </w:pPr>
      <w:r>
        <w:rPr>
          <w:rFonts w:ascii="Times New Roman" w:cs="Times New Roman" w:eastAsia="Times New Roman" w:hAnsi="Times New Roman"/>
          <w:sz w:val="14"/>
          <w:szCs w:val="14"/>
          <w:color w:val="auto"/>
        </w:rPr>
        <w:t>public offering price of $        per share, which is the midpoint of the price range set forth on the cover page of this prospectus, would increase or decrease, as applicable, the pro forma as adjusted net tangible book value per share after this offering and the concurrent private placement by $        , and dilution per share to new investors purchasing common stock in this offering and the concurrent private placement by $        , assuming that the number of shares of common stock offered by us, as set forth on the</w:t>
      </w:r>
    </w:p>
    <w:p>
      <w:pPr>
        <w:spacing w:after="0" w:line="2" w:lineRule="exact"/>
        <w:rPr>
          <w:sz w:val="20"/>
          <w:szCs w:val="20"/>
          <w:color w:val="auto"/>
        </w:rPr>
      </w:pPr>
    </w:p>
    <w:p>
      <w:pPr>
        <w:ind w:left="720" w:right="819"/>
        <w:spacing w:after="0" w:line="261" w:lineRule="auto"/>
        <w:rPr>
          <w:sz w:val="20"/>
          <w:szCs w:val="20"/>
          <w:color w:val="auto"/>
        </w:rPr>
      </w:pPr>
      <w:r>
        <w:rPr>
          <w:rFonts w:ascii="Times New Roman" w:cs="Times New Roman" w:eastAsia="Times New Roman" w:hAnsi="Times New Roman"/>
          <w:sz w:val="14"/>
          <w:szCs w:val="14"/>
          <w:color w:val="auto"/>
        </w:rPr>
        <w:t>cover page of this prospectus, remains the same and after deducting underwriting discounts and commissions and estimated expenses payable by us. Similarly, each increase or decrease, as applicable, of 1.0 million shares in the number of shares of common stock</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4" w:name="page95"/>
    <w:bookmarkEnd w:id="9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799"/>
        <w:spacing w:after="0" w:line="260" w:lineRule="auto"/>
        <w:rPr>
          <w:sz w:val="20"/>
          <w:szCs w:val="20"/>
          <w:color w:val="auto"/>
        </w:rPr>
      </w:pPr>
      <w:r>
        <w:rPr>
          <w:rFonts w:ascii="Times New Roman" w:cs="Times New Roman" w:eastAsia="Times New Roman" w:hAnsi="Times New Roman"/>
          <w:sz w:val="14"/>
          <w:szCs w:val="14"/>
          <w:color w:val="auto"/>
        </w:rPr>
        <w:t>offered by us would increase or decrease, as applicable, our pro forma as adjusted net tangible book value per share after this offering and the concurrent private placement by $        per share, in each case, and increase or decrease, as applicable, the dilution to investors participating in this offering and the concurrent private placement by $        per share, assuming no change in the assumed initial public offering price, and after deducting underwriting discounts and commissions and estimated expenses payable by us.</w:t>
      </w:r>
    </w:p>
    <w:p>
      <w:pPr>
        <w:spacing w:after="0" w:line="312" w:lineRule="exact"/>
        <w:rPr>
          <w:sz w:val="20"/>
          <w:szCs w:val="20"/>
          <w:color w:val="auto"/>
        </w:rPr>
      </w:pPr>
    </w:p>
    <w:p>
      <w:pPr>
        <w:ind w:left="720" w:right="1039" w:firstLine="343"/>
        <w:spacing w:after="0" w:line="261" w:lineRule="auto"/>
        <w:rPr>
          <w:sz w:val="20"/>
          <w:szCs w:val="20"/>
          <w:color w:val="auto"/>
        </w:rPr>
      </w:pPr>
      <w:r>
        <w:rPr>
          <w:rFonts w:ascii="Times New Roman" w:cs="Times New Roman" w:eastAsia="Times New Roman" w:hAnsi="Times New Roman"/>
          <w:sz w:val="14"/>
          <w:szCs w:val="14"/>
          <w:color w:val="auto"/>
        </w:rPr>
        <w:t>If the underwriters exercise their overallotment option in full, our pro forma as adjusted net tangible book value after the offering and the concurrent private placement would be $        per share, representing an immediate increase in pro forma as</w:t>
      </w:r>
    </w:p>
    <w:p>
      <w:pPr>
        <w:spacing w:after="0" w:line="1" w:lineRule="exact"/>
        <w:rPr>
          <w:sz w:val="20"/>
          <w:szCs w:val="20"/>
          <w:color w:val="auto"/>
        </w:rPr>
      </w:pPr>
    </w:p>
    <w:p>
      <w:pPr>
        <w:ind w:left="720" w:right="819"/>
        <w:spacing w:after="0" w:line="250" w:lineRule="auto"/>
        <w:rPr>
          <w:sz w:val="20"/>
          <w:szCs w:val="20"/>
          <w:color w:val="auto"/>
        </w:rPr>
      </w:pPr>
      <w:r>
        <w:rPr>
          <w:rFonts w:ascii="Times New Roman" w:cs="Times New Roman" w:eastAsia="Times New Roman" w:hAnsi="Times New Roman"/>
          <w:sz w:val="14"/>
          <w:szCs w:val="14"/>
          <w:color w:val="auto"/>
        </w:rPr>
        <w:t>adjusted net tangible book value of $        per share to existing stockholders and immediate dilution in pro forma as adjusted net tangible book value dilution of $        per share to new investors, in each case assuming an initial public offering price of</w:t>
      </w:r>
    </w:p>
    <w:p>
      <w:pPr>
        <w:spacing w:after="0" w:line="1" w:lineRule="exact"/>
        <w:rPr>
          <w:sz w:val="20"/>
          <w:szCs w:val="20"/>
          <w:color w:val="auto"/>
        </w:rPr>
      </w:pPr>
    </w:p>
    <w:p>
      <w:pPr>
        <w:ind w:left="720" w:right="1119"/>
        <w:spacing w:after="0" w:line="261" w:lineRule="auto"/>
        <w:rPr>
          <w:sz w:val="20"/>
          <w:szCs w:val="20"/>
          <w:color w:val="auto"/>
        </w:rPr>
      </w:pPr>
      <w:r>
        <w:rPr>
          <w:rFonts w:ascii="Times New Roman" w:cs="Times New Roman" w:eastAsia="Times New Roman" w:hAnsi="Times New Roman"/>
          <w:sz w:val="14"/>
          <w:szCs w:val="14"/>
          <w:color w:val="auto"/>
        </w:rPr>
        <w:t>$        per share, which is the midpoint of the price range set forth on the cover page of this prospectus, and after deducting underwriting discounts and commissions and estimated offering expenses payable by us.</w:t>
      </w:r>
    </w:p>
    <w:p>
      <w:pPr>
        <w:spacing w:after="0" w:line="140"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The following table summarizes, on the pro forma as adjusted basis described above, as of March 31, 2026, the total number of shares of common stock purchased from us, the total consideration paid or to be paid to us, and the average price per share paid by existing stockholders or to be paid by new investors in this offering and the concurrent private placement, based on the assumed initial public offering price of $        per share, which is the midpoint of the price range set forth on the cover page of this prospectus, before deducting underwriting discounts and commissions and estimated expenses payable by us. New investors purchasing shares of our common stock in this offering and the concurrent private placement will pay an average price per share substantially higher than our existing stockholders paid.</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 and percentages)</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Existing stockholders</w:t>
      </w:r>
    </w:p>
    <w:p>
      <w:pPr>
        <w:spacing w:after="0" w:line="6" w:lineRule="exact"/>
        <w:rPr>
          <w:sz w:val="20"/>
          <w:szCs w:val="20"/>
          <w:color w:val="auto"/>
        </w:rPr>
      </w:pPr>
    </w:p>
    <w:p>
      <w:pPr>
        <w:ind w:left="820" w:right="380" w:hanging="104"/>
        <w:spacing w:after="0" w:line="250" w:lineRule="auto"/>
        <w:rPr>
          <w:sz w:val="20"/>
          <w:szCs w:val="20"/>
          <w:color w:val="auto"/>
        </w:rPr>
      </w:pPr>
      <w:r>
        <w:rPr>
          <w:rFonts w:ascii="Times New Roman" w:cs="Times New Roman" w:eastAsia="Times New Roman" w:hAnsi="Times New Roman"/>
          <w:sz w:val="14"/>
          <w:szCs w:val="14"/>
          <w:color w:val="auto"/>
        </w:rPr>
        <w:t>New investors purchasing shares in this offering and the concurrent private placement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80" w:type="dxa"/>
            <w:vAlign w:val="bottom"/>
          </w:tcPr>
          <w:p>
            <w:pPr>
              <w:spacing w:after="0"/>
              <w:rPr>
                <w:sz w:val="11"/>
                <w:szCs w:val="11"/>
                <w:color w:val="auto"/>
              </w:rPr>
            </w:pPr>
          </w:p>
        </w:tc>
        <w:tc>
          <w:tcPr>
            <w:tcW w:w="16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29"/>
        </w:trPr>
        <w:tc>
          <w:tcPr>
            <w:tcW w:w="180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Average Price</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2"/>
                <w:szCs w:val="12"/>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12"/>
                <w:szCs w:val="12"/>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0</wp:posOffset>
            </wp:positionV>
            <wp:extent cx="4806315" cy="1066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06315" cy="1066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spacing w:after="0"/>
        <w:tabs>
          <w:tab w:leader="none" w:pos="3060" w:val="left"/>
        </w:tabs>
        <w:rPr>
          <w:sz w:val="20"/>
          <w:szCs w:val="20"/>
          <w:color w:val="auto"/>
        </w:rPr>
      </w:pPr>
      <w:r>
        <w:rPr>
          <w:rFonts w:ascii="Times New Roman" w:cs="Times New Roman" w:eastAsia="Times New Roman" w:hAnsi="Times New Roman"/>
          <w:sz w:val="14"/>
          <w:szCs w:val="14"/>
          <w:color w:val="auto"/>
        </w:rPr>
        <w:t>100.0%</w:t>
      </w:r>
      <w:r>
        <w:rPr>
          <w:sz w:val="20"/>
          <w:szCs w:val="20"/>
          <w:color w:val="auto"/>
        </w:rPr>
        <w:tab/>
      </w:r>
      <w:r>
        <w:rPr>
          <w:rFonts w:ascii="Times New Roman" w:cs="Times New Roman" w:eastAsia="Times New Roman" w:hAnsi="Times New Roman"/>
          <w:sz w:val="14"/>
          <w:szCs w:val="14"/>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-99060</wp:posOffset>
            </wp:positionV>
            <wp:extent cx="4806315" cy="133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06315" cy="13335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800" w:space="140"/>
            <w:col w:w="5079"/>
          </w:cols>
          <w:pgMar w:left="1440" w:top="123" w:right="1440" w:bottom="1440" w:gutter="0" w:footer="0" w:header="0"/>
          <w:type w:val="continuous"/>
        </w:sectPr>
      </w:pPr>
    </w:p>
    <w:p>
      <w:pPr>
        <w:spacing w:after="0" w:line="1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The table above assumes no exercise of the underwriters’ overallotment option. If the underwriters exercise their overallotment option in full, our existing stockholders would own   %, and new investors purchasing shares of our common stock in this offering and the concurrent private placement would own   %, of the total number of shares of our common stock outstanding immediately after the completion of this offering and the concurrent private placement.</w:t>
      </w:r>
    </w:p>
    <w:p>
      <w:pPr>
        <w:spacing w:after="0" w:line="141"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number of shares of our common stock and non-voting common stock that will be outstanding after this offering and the concurrent private placement is based on        shares of common stock outstanding as of March 31, 2026, after giving effect to (i) the conversion of all outstanding shares of our convertible preferred stock into an aggregate of        shares of common stock and shares of non-voting common stock immediately prior to the completion of this offering and (ii) the conversion of our outstanding SAFE into shares of our common stock, based on the assumed initial offering price of $ per share, which is the midpoint of the price range set forth on the cover page of this prospectus, and excludes:</w:t>
      </w:r>
    </w:p>
    <w:p>
      <w:pPr>
        <w:spacing w:after="0" w:line="59"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of common stock issuable upon exercise of stock options outstanding as of March 31, 2026 under our</w:t>
            </w:r>
          </w:p>
        </w:tc>
      </w:tr>
      <w:tr>
        <w:trPr>
          <w:trHeight w:val="183"/>
        </w:trPr>
        <w:tc>
          <w:tcPr>
            <w:tcW w:w="140" w:type="dxa"/>
            <w:vAlign w:val="bottom"/>
          </w:tcPr>
          <w:p>
            <w:pPr>
              <w:spacing w:after="0"/>
              <w:rPr>
                <w:sz w:val="15"/>
                <w:szCs w:val="15"/>
                <w:color w:val="auto"/>
              </w:rPr>
            </w:pPr>
          </w:p>
        </w:tc>
        <w:tc>
          <w:tcPr>
            <w:tcW w:w="37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2016 Plan, with a weighted average exercise price of $          </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 share;</w:t>
            </w: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of common stock issuable upon exercise of stock options outstanding as of March 31, 2026 under our</w:t>
            </w:r>
          </w:p>
        </w:tc>
      </w:tr>
      <w:tr>
        <w:trPr>
          <w:trHeight w:val="183"/>
        </w:trPr>
        <w:tc>
          <w:tcPr>
            <w:tcW w:w="140" w:type="dxa"/>
            <w:vAlign w:val="bottom"/>
          </w:tcPr>
          <w:p>
            <w:pPr>
              <w:spacing w:after="0"/>
              <w:rPr>
                <w:sz w:val="15"/>
                <w:szCs w:val="15"/>
                <w:color w:val="auto"/>
              </w:rPr>
            </w:pPr>
          </w:p>
        </w:tc>
        <w:tc>
          <w:tcPr>
            <w:tcW w:w="37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xml:space="preserve">January 2026 Plan, with a weighted average exercise price of $ </w:t>
            </w:r>
          </w:p>
        </w:tc>
        <w:tc>
          <w:tcPr>
            <w:tcW w:w="3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per share;</w:t>
            </w: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of common stock issuable upon exercise of outstanding stock options granted after March 31, 2026</w:t>
            </w:r>
          </w:p>
        </w:tc>
      </w:tr>
      <w:tr>
        <w:trPr>
          <w:trHeight w:val="183"/>
        </w:trPr>
        <w:tc>
          <w:tcPr>
            <w:tcW w:w="140" w:type="dxa"/>
            <w:vAlign w:val="bottom"/>
          </w:tcPr>
          <w:p>
            <w:pPr>
              <w:spacing w:after="0"/>
              <w:rPr>
                <w:sz w:val="15"/>
                <w:szCs w:val="15"/>
                <w:color w:val="auto"/>
              </w:rPr>
            </w:pPr>
          </w:p>
        </w:tc>
        <w:tc>
          <w:tcPr>
            <w:tcW w:w="68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pursuant to our January 2026 Plan, with a weighted average exercise price of $            per share;</w:t>
            </w: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shares of common stock reserved for future issuance as of March 31, 2026 under the January 2026 Plan, which</w:t>
            </w:r>
          </w:p>
        </w:tc>
      </w:tr>
      <w:tr>
        <w:trPr>
          <w:trHeight w:val="183"/>
        </w:trPr>
        <w:tc>
          <w:tcPr>
            <w:tcW w:w="140" w:type="dxa"/>
            <w:vAlign w:val="bottom"/>
          </w:tcPr>
          <w:p>
            <w:pPr>
              <w:spacing w:after="0"/>
              <w:rPr>
                <w:sz w:val="15"/>
                <w:szCs w:val="15"/>
                <w:color w:val="auto"/>
              </w:rPr>
            </w:pPr>
          </w:p>
        </w:tc>
        <w:tc>
          <w:tcPr>
            <w:tcW w:w="68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will cease to be available for issuance at the time that our 2026 Plan becomes effective;</w:t>
            </w:r>
          </w:p>
        </w:tc>
      </w:t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our ESPP, which will become effective on the date</w:t>
            </w:r>
          </w:p>
        </w:tc>
      </w:tr>
      <w:tr>
        <w:trPr>
          <w:trHeight w:val="168"/>
        </w:trPr>
        <w:tc>
          <w:tcPr>
            <w:tcW w:w="140" w:type="dxa"/>
            <w:vAlign w:val="bottom"/>
          </w:tcPr>
          <w:p>
            <w:pPr>
              <w:spacing w:after="0"/>
              <w:rPr>
                <w:sz w:val="14"/>
                <w:szCs w:val="14"/>
                <w:color w:val="auto"/>
              </w:rPr>
            </w:pPr>
          </w:p>
        </w:tc>
        <w:tc>
          <w:tcPr>
            <w:tcW w:w="68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w w:val="99"/>
              </w:rPr>
              <w:t>immediately prior to the effectiveness of the registration statement of which this prospectus forms a part, as well as any</w:t>
            </w:r>
          </w:p>
        </w:tc>
      </w:tr>
      <w:tr>
        <w:trPr>
          <w:trHeight w:val="183"/>
        </w:trPr>
        <w:tc>
          <w:tcPr>
            <w:tcW w:w="140" w:type="dxa"/>
            <w:vAlign w:val="bottom"/>
          </w:tcPr>
          <w:p>
            <w:pPr>
              <w:spacing w:after="0"/>
              <w:rPr>
                <w:sz w:val="15"/>
                <w:szCs w:val="15"/>
                <w:color w:val="auto"/>
              </w:rPr>
            </w:pPr>
          </w:p>
        </w:tc>
        <w:tc>
          <w:tcPr>
            <w:tcW w:w="68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automatic increases in the number of shares of common stock reserved for future issuance under the ESPP;</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w:t>
            </w:r>
          </w:p>
        </w:tc>
      </w:tr>
    </w:tbl>
    <w:p>
      <w:pPr>
        <w:ind w:left="4440" w:right="759" w:hanging="2947"/>
        <w:spacing w:after="0" w:line="512" w:lineRule="auto"/>
        <w:rPr>
          <w:sz w:val="20"/>
          <w:szCs w:val="20"/>
          <w:color w:val="auto"/>
        </w:rPr>
      </w:pPr>
      <w:r>
        <w:rPr>
          <w:rFonts w:ascii="Times New Roman" w:cs="Times New Roman" w:eastAsia="Times New Roman" w:hAnsi="Times New Roman"/>
          <w:sz w:val="14"/>
          <w:szCs w:val="14"/>
          <w:color w:val="auto"/>
        </w:rPr>
        <w:t>become effective on the date immediately prior to the effectiveness of the registration statement of which this prospectus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245110</wp:posOffset>
            </wp:positionV>
            <wp:extent cx="54857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95" w:name="page96"/>
    <w:bookmarkEnd w:id="9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39"/>
        <w:spacing w:after="0" w:line="283" w:lineRule="auto"/>
        <w:rPr>
          <w:sz w:val="20"/>
          <w:szCs w:val="20"/>
          <w:color w:val="auto"/>
        </w:rPr>
      </w:pPr>
      <w:r>
        <w:rPr>
          <w:rFonts w:ascii="Times New Roman" w:cs="Times New Roman" w:eastAsia="Times New Roman" w:hAnsi="Times New Roman"/>
          <w:sz w:val="14"/>
          <w:szCs w:val="14"/>
          <w:color w:val="auto"/>
        </w:rPr>
        <w:t>forms a part, as well as shares underlying outstanding stock awards granted under the January 2026 Plan and 2016 Plan that expire or are repurchased, forfeited, cancelled, or withheld; and</w:t>
      </w:r>
    </w:p>
    <w:p>
      <w:pPr>
        <w:spacing w:after="0" w:line="41" w:lineRule="exact"/>
        <w:rPr>
          <w:sz w:val="20"/>
          <w:szCs w:val="20"/>
          <w:color w:val="auto"/>
        </w:rPr>
      </w:pPr>
    </w:p>
    <w:p>
      <w:pPr>
        <w:ind w:left="1480" w:right="819" w:hanging="239"/>
        <w:spacing w:after="0" w:line="283" w:lineRule="auto"/>
        <w:tabs>
          <w:tab w:leader="none" w:pos="1460" w:val="left"/>
        </w:tabs>
        <w:rPr>
          <w:sz w:val="20"/>
          <w:szCs w:val="20"/>
          <w:color w:val="auto"/>
        </w:rPr>
      </w:pPr>
      <w:r>
        <w:rPr>
          <w:rFonts w:ascii="Times New Roman" w:cs="Times New Roman" w:eastAsia="Times New Roman" w:hAnsi="Times New Roman"/>
          <w:sz w:val="14"/>
          <w:szCs w:val="14"/>
          <w:color w:val="auto"/>
        </w:rPr>
        <w:t>•</w:t>
        <w:tab/>
        <w:t>      shares of our common stock issuable upon exercise of warrants outstanding as of March 31, 2026 at an exercise price of $        per share.</w:t>
      </w:r>
    </w:p>
    <w:p>
      <w:pPr>
        <w:spacing w:after="0" w:line="125"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To the extent any outstanding options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6" w:name="page97"/>
    <w:bookmarkEnd w:id="9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59"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consolidated financial statements and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based upon our current plans and expectations that involve risks, uncertainties and assumptions, such as statements regarding our plans, strategies, objectives, expectations, intentions and beliefs. As a result of many factors, including those factors set forth in the “Special Note Regarding Forward-Looking Statements” and “Risk Factors” sections of this prospectus, our actual results could differ materially from the results described in or implied by the forward-looking statements contained in the following discussion and analysis.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We are a clinical-stage biopharmaceutical company built to develop transformative medicines addressing some of the most consequential, yet historically undruggable, protein targets driving human disease. We leverage our proprietary platform to pioneer a novel therapeutic modality, Helicons, which are stabilized helical peptides engineered to bind and precisely modulate proteins that have long been beyond the reach of conventional medicines.</w:t>
      </w:r>
    </w:p>
    <w:p>
      <w:pPr>
        <w:spacing w:after="0" w:line="151" w:lineRule="exact"/>
        <w:rPr>
          <w:sz w:val="20"/>
          <w:szCs w:val="20"/>
          <w:color w:val="auto"/>
        </w:rPr>
      </w:pPr>
    </w:p>
    <w:p>
      <w:pPr>
        <w:ind w:left="720" w:right="819" w:firstLine="343"/>
        <w:spacing w:after="0" w:line="259" w:lineRule="auto"/>
        <w:rPr>
          <w:sz w:val="20"/>
          <w:szCs w:val="20"/>
          <w:color w:val="auto"/>
        </w:rPr>
      </w:pPr>
      <w:r>
        <w:rPr>
          <w:rFonts w:ascii="Times New Roman" w:cs="Times New Roman" w:eastAsia="Times New Roman" w:hAnsi="Times New Roman"/>
          <w:sz w:val="14"/>
          <w:szCs w:val="14"/>
          <w:color w:val="auto"/>
        </w:rPr>
        <w:t xml:space="preserve">To our knowledge, our lead product candidate, zolucatetide, is the first-ever drug to directly target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the T-cell factor (“TCF”) family of transcription factors. This is the central node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cell signaling pathway which regulates cell proliferation and differentiation and whose hyperactivation is a driver of millions of cancer cases annually across many tumor types. Drugging this critical node eluded three decades of intensive efforts to do so across the pharmaceutical industry. Zolucatetide has been evaluated in over 150 patients to date and has generated promising clinical data in a range of solid tumors driven by alterations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In our lead indication, desmoid tumors, we have observed tumor reductions in 100% of patients with a 74% objective response rate (“ORR”) in patients who have had at least two post-baseline scans.</w:t>
      </w:r>
    </w:p>
    <w:p>
      <w:pPr>
        <w:spacing w:after="0" w:line="153"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Objective responses have been observed across patients who have failed </w:t>
      </w:r>
      <w:r>
        <w:rPr>
          <w:rFonts w:ascii="Arial" w:cs="Arial" w:eastAsia="Arial" w:hAnsi="Arial"/>
          <w:sz w:val="14"/>
          <w:szCs w:val="14"/>
          <w:b w:val="1"/>
          <w:bCs w:val="1"/>
          <w:color w:val="auto"/>
        </w:rPr>
        <w:t>g</w:t>
      </w:r>
      <w:r>
        <w:rPr>
          <w:rFonts w:ascii="Times New Roman" w:cs="Times New Roman" w:eastAsia="Times New Roman" w:hAnsi="Times New Roman"/>
          <w:sz w:val="14"/>
          <w:szCs w:val="14"/>
          <w:color w:val="auto"/>
        </w:rPr>
        <w:t>-secretase inhibitors (“GSIs”) and those who have never taken GSIs. Importantly, zolucatetide has been able to generate this rate of response with a tolerability profile that we believe is more favorable than that of currently available drug therapy. We plan to initiate a global registrational Phase 3 trial for zolucatetide in patients with desmoid tumors in the first half of 2027.</w:t>
      </w:r>
    </w:p>
    <w:p>
      <w:pPr>
        <w:spacing w:after="0" w:line="140" w:lineRule="exact"/>
        <w:rPr>
          <w:sz w:val="20"/>
          <w:szCs w:val="20"/>
          <w:color w:val="auto"/>
        </w:rPr>
      </w:pPr>
    </w:p>
    <w:p>
      <w:pPr>
        <w:ind w:left="720" w:right="739" w:firstLine="343"/>
        <w:spacing w:after="0" w:line="246" w:lineRule="auto"/>
        <w:rPr>
          <w:sz w:val="20"/>
          <w:szCs w:val="20"/>
          <w:color w:val="auto"/>
        </w:rPr>
      </w:pPr>
      <w:r>
        <w:rPr>
          <w:rFonts w:ascii="Times New Roman" w:cs="Times New Roman" w:eastAsia="Times New Roman" w:hAnsi="Times New Roman"/>
          <w:sz w:val="14"/>
          <w:szCs w:val="14"/>
          <w:color w:val="auto"/>
        </w:rPr>
        <w:t>We believe zolucatetide provides clinical validation of our first-in-industry Helicon approach and represents an expansive opportunity for medical and commercial impact. Our preclinical pipeline provides additional examples of the repeatability of our Helicon approach and includes programs targeting two key drivers of prostate cancer, the ETS-related gene (“ERG”) and the androgen receptor in its active state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Our current pipeline is focused on various cancers and tumor types; however, we believe Helicons could also have broad applicability against targets in many diseases with substantial unmet need outside oncology, and we plan to evaluate other therapeutic areas in the future.</w:t>
      </w:r>
    </w:p>
    <w:p>
      <w:pPr>
        <w:spacing w:after="0" w:line="1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An estimated 80% of biologically validated disease targets are considered undruggable, largely because the majority reside inside cells and present flat interaction surfaces. Small molecules can enter cells but cannot bind flat surfaces, and antibodies and other highly-selective biologics can selectively bind flat protein surfaces but cannot enter cells to access these targets. To our knowledge, Helicons are the only modality to date that can consistently solve this problem as they are engineered for cell penetration and capable of binding to flat intracellular protein target surfaces with high specificity. Helicons combine the precision of antibodies and biologics with the intracellular access and tunability of small molecules in a single modality – enabling direct engagement of historically inaccessible protein targets. Our proprietary Helicon discovery platform allows us to integrate ligands and additional functionalities at multiple positions to precisely tune potency, selectivity, and pharmacologic properties. While our initial programs are focused on disrupting protein-protein interactions and inducing targeted protein degradation, we believe our platform can incorporate other advances in small molecule drug design and extend them to targets that are likely to remain out of reach for other modalities.</w:t>
      </w:r>
    </w:p>
    <w:p>
      <w:pPr>
        <w:spacing w:after="0" w:line="146" w:lineRule="exact"/>
        <w:rPr>
          <w:sz w:val="20"/>
          <w:szCs w:val="20"/>
          <w:color w:val="auto"/>
        </w:rPr>
      </w:pPr>
    </w:p>
    <w:p>
      <w:pPr>
        <w:ind w:left="720" w:right="859" w:firstLine="343"/>
        <w:spacing w:after="0" w:line="255" w:lineRule="auto"/>
        <w:rPr>
          <w:sz w:val="20"/>
          <w:szCs w:val="20"/>
          <w:color w:val="auto"/>
        </w:rPr>
      </w:pPr>
      <w:r>
        <w:rPr>
          <w:rFonts w:ascii="Times New Roman" w:cs="Times New Roman" w:eastAsia="Times New Roman" w:hAnsi="Times New Roman"/>
          <w:sz w:val="14"/>
          <w:szCs w:val="14"/>
          <w:color w:val="auto"/>
        </w:rPr>
        <w:t>Our Helicon discovery platform integrates advanced artificial intelligence (“AI”) and physics-based computational modeling with high-throughput peptide synthesis and experimental screening to discover and develop drug candidates. Since our founding, we have advanced computational models as well as custom design, synthesis, handling and manufacturing know-how to position us to produce Helicons reliably and at scale. A decade of applying these capabilities to Helicon drug discovery has generated vast proprietary datasets, comprising millions of data points for hundreds of thousands of Helicons across dozens of drug-like properties. These data power a continuous learning loop that refines our models from target selection through lead optimization, enhancing our speed, precision, and ability to generate high quality molecules against difficult targets. As a result, our platform produces unique complex synthetic molecules at scale and a compounding advantage that we believe is difficult to replicate.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7" w:name="page98"/>
    <w:bookmarkEnd w:id="9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are advancing a wholly-owned pipeline of Helicon-based product candidates against high-value targets.</w:t>
      </w:r>
    </w:p>
    <w:p>
      <w:pPr>
        <w:spacing w:after="0" w:line="175"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To date, we have funded our operations primarily with proceeds from sales of our convertible preferred stock, borrowings under a term loan and the issuance of a Simple Agreement for Future Equity (“SAFE”). As of March 31, 2026, we received aggregate gross cash proceeds of $876.8 million, including $811.8 million from sales of our convertible preferred stock, $15.0 million from borrowings under our term loan and $50.0 million from the issuance of a SAFE. In May 2026, we entered into a license and collaboration agreement with Regeneron Pharmaceuticals, Inc. (“Regeneron”), and in connection therewith, we will receive a non-refundable upfront payment in the amount of $50.0 million. In addition, Regeneron has agreed to purchase $75.0 million of our common stock in the concurrent private placement or our next equity financing.</w:t>
      </w:r>
    </w:p>
    <w:p>
      <w:pPr>
        <w:spacing w:after="0" w:line="144"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We have incurred significant operating losses since inception and we expect to continue to incur substantial losses for the foreseeable future. Our ability to generate product revenue sufficient to achieve profitability will depend heavily on the successful development and eventual commercialization of one or more of our product candidates and any additional product candidates we may develop. Our net losses were $117.9 million and $145.9 million for the years ended December 31, 2024 and 2025, respectively, and $38.3 million and $45.3 million for the three months ended March 31, 2025 and 2026, respectively. As of March 31, 2026, we had an accumulated deficit of $586.8 million.</w:t>
      </w:r>
    </w:p>
    <w:p>
      <w:pPr>
        <w:spacing w:after="0" w:line="1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anticipate that our expenses and operating losses will increase substantially for the foreseeable future if and as we:</w:t>
      </w:r>
    </w:p>
    <w:p>
      <w:pPr>
        <w:spacing w:after="0" w:line="91" w:lineRule="exact"/>
        <w:rPr>
          <w:sz w:val="20"/>
          <w:szCs w:val="20"/>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the number of our development programs;</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our scope of research or development of our current programs and product candidates in preclinical development;</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the scope of our clinical trials for our product candidates;</w:t>
      </w:r>
    </w:p>
    <w:p>
      <w:pPr>
        <w:spacing w:after="0" w:line="91" w:lineRule="exact"/>
        <w:rPr>
          <w:rFonts w:ascii="Times New Roman" w:cs="Times New Roman" w:eastAsia="Times New Roman" w:hAnsi="Times New Roman"/>
          <w:sz w:val="14"/>
          <w:szCs w:val="14"/>
          <w:color w:val="auto"/>
        </w:rPr>
      </w:pPr>
    </w:p>
    <w:p>
      <w:pPr>
        <w:ind w:left="1480" w:right="1159" w:hanging="246"/>
        <w:spacing w:after="0" w:line="283" w:lineRule="auto"/>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additional preclinical, clinical or other studies or trials for our programs and product candidates, including pursuant to our licensing and collaboration arrangements;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or add additional manufacturers or suppliers;</w:t>
      </w:r>
    </w:p>
    <w:p>
      <w:pPr>
        <w:spacing w:after="0" w:line="9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infrastructure to our quality control and quality assurance groups to support our operations as we progress our product candidates toward commercialization;</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personnel;</w:t>
      </w:r>
    </w:p>
    <w:p>
      <w:pPr>
        <w:spacing w:after="0" w:line="91"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additional infrastructure to support our operations as a public company and our product development and planned future commercialization efforts;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and reimbursement for our product candidates and products;</w:t>
      </w:r>
    </w:p>
    <w:p>
      <w:pPr>
        <w:spacing w:after="0" w:line="91" w:lineRule="exact"/>
        <w:rPr>
          <w:rFonts w:ascii="Times New Roman" w:cs="Times New Roman" w:eastAsia="Times New Roman" w:hAnsi="Times New Roman"/>
          <w:sz w:val="14"/>
          <w:szCs w:val="14"/>
          <w:color w:val="auto"/>
        </w:rPr>
      </w:pPr>
    </w:p>
    <w:p>
      <w:pPr>
        <w:ind w:left="1480" w:right="1099" w:hanging="246"/>
        <w:spacing w:after="0" w:line="283" w:lineRule="auto"/>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products for which we may obtain marketing approval;</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technologies;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under any in-license agreements;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75"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will not generate revenue from product sales unless and until we successfully initiate and complete clinical development and obtain regulatory approval for one or more of our product candidates, which may not occur for several years, if at all. If we obtain regulatory approval for any of our product candidates and do not enter into a commercialization partnership, we expect to incur significant expenses related to developing our commercialization capability to support product sales, manufacturing, marketing, market access and distribution.</w:t>
      </w:r>
    </w:p>
    <w:p>
      <w:pPr>
        <w:spacing w:after="0" w:line="144"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Our net losses may fluctuate significantly from period to period, depending on the timing of our planned clinical trials and expenditures related to our research and developmental activities. Furthermore, following the closing of this offering, we expect to incur additional costs associated with operating as a public company, including significant audit, legal, and regulatory expenses, as well as director and officer insurance premiums and investor relations costs that we did not incur as a private company.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or royalty financings, and collaborations, strategic alliances, and marketing, distribution or licensing arrangements with third parties. We may be unable to raise additional funds or enter into such other agreements or arrangements when needed 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spacing w:after="0" w:line="261" w:lineRule="auto"/>
        <w:rPr>
          <w:sz w:val="20"/>
          <w:szCs w:val="20"/>
          <w:color w:val="auto"/>
        </w:rPr>
      </w:pPr>
      <w:r>
        <w:rPr>
          <w:rFonts w:ascii="Times New Roman" w:cs="Times New Roman" w:eastAsia="Times New Roman" w:hAnsi="Times New Roman"/>
          <w:sz w:val="14"/>
          <w:szCs w:val="14"/>
          <w:color w:val="auto"/>
        </w:rPr>
        <w:t>favorable terms, or at all. Our failure to raise capital or enter into such agreements or arrangements as, and when, needed, could have a material adverse effect on our business, results of operations, and financial condition, including requiring us to delay, reduce or eliminate product development or future commercialization efforts, or grant rights to develop and market development product candidates that we would otherwise prefer to develop and market ourselves.</w:t>
      </w:r>
    </w:p>
    <w:p>
      <w:pPr>
        <w:spacing w:after="0" w:line="141"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As a result, we will need substantial additional capital to support our continuing operations and pursue our strategy. As of March 31, 2026, we had total cash and cash equivalents of $329.0 million. We believe that our existing cash and cash equivalents, together with the anticipated net proceeds from this offering and the concurrent private placement and the upfront payment of $50.0 million we will receive from Regeneron, will enable us to fund our operating expenses and capital expenditure requirements through         . See the section titled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below and Note 1 to our unaudited condensed consolidated financial statements included elsewhere in this prospectus.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have not generated any product revenue. We do not expect to generate any revenue from product sales unless and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 in the future from product sales or payments from such collaboration or license agreements, or any combination thereof.</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operating expenses consist of (i) research and development expenses and (ii) general and administrative expenses.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3"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incurred in connection with the research and development of our programs. These expenses include:</w:t>
      </w:r>
    </w:p>
    <w:p>
      <w:pPr>
        <w:spacing w:after="0" w:line="41" w:lineRule="exact"/>
        <w:rPr>
          <w:sz w:val="20"/>
          <w:szCs w:val="20"/>
          <w:color w:val="auto"/>
        </w:rPr>
      </w:pPr>
    </w:p>
    <w:p>
      <w:pPr>
        <w:ind w:left="1480" w:right="999" w:hanging="246"/>
        <w:spacing w:after="0" w:line="267" w:lineRule="auto"/>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expenses, including expenses incurred under arrangements with third parties, such as contract research organizations (“CROs”), contract manufacturing organizations (“CMOs”), consultants and our clinical and scientific advisors;</w:t>
      </w:r>
    </w:p>
    <w:p>
      <w:pPr>
        <w:spacing w:after="0" w:line="5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personnel-related costs, including salaries, bonuses, benefits, and stock-based compensation for employees engaged in research and development functions;</w:t>
      </w:r>
    </w:p>
    <w:p>
      <w:pPr>
        <w:spacing w:after="0" w:line="40" w:lineRule="exact"/>
        <w:rPr>
          <w:rFonts w:ascii="Times New Roman" w:cs="Times New Roman" w:eastAsia="Times New Roman" w:hAnsi="Times New Roman"/>
          <w:sz w:val="14"/>
          <w:szCs w:val="14"/>
          <w:color w:val="auto"/>
        </w:rPr>
      </w:pPr>
    </w:p>
    <w:p>
      <w:pPr>
        <w:ind w:left="1480" w:right="1279" w:hanging="246"/>
        <w:spacing w:after="0" w:line="283" w:lineRule="auto"/>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for the procurement of materials, third-party license fees, laboratory supplies and non-capital equipment used in the research and development process; and</w:t>
      </w:r>
    </w:p>
    <w:p>
      <w:pPr>
        <w:spacing w:after="0" w:line="40" w:lineRule="exact"/>
        <w:rPr>
          <w:rFonts w:ascii="Times New Roman" w:cs="Times New Roman" w:eastAsia="Times New Roman" w:hAnsi="Times New Roman"/>
          <w:sz w:val="14"/>
          <w:szCs w:val="14"/>
          <w:color w:val="auto"/>
        </w:rPr>
      </w:pPr>
    </w:p>
    <w:p>
      <w:pPr>
        <w:ind w:left="1480" w:right="919" w:hanging="246"/>
        <w:spacing w:after="0" w:line="283" w:lineRule="auto"/>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amortization and other direct and allocated expenses, including rent, insurance, maintenance of facilities and other operating costs, incurred as a result of our research and development activities.</w:t>
      </w:r>
    </w:p>
    <w:p>
      <w:pPr>
        <w:spacing w:after="0" w:line="12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We expense research and development costs as incurred. We recognize external development costs based on an evaluation of the progress to completion of specific deliverables using information provided to us by our vendors. Payments for these activities are based on the terms of the individual agreements, which may differ from the pattern of costs incurred, and are reflected in our consolidated financial statements as prepaid expenses or accrued research and development expenses. Significant judgments and estimates are made in determining the accrued expense balances at the end of any reporting period.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44"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We use our personnel and infrastructure resources for our research and development efforts, including the advancement and development of our product candidates and managing external research and development efforts. A significant portion of our research and development costs have been, and will continue to be, external costs. Because we are working on multiple research and development programs at one time, we track many of our external expenses on a program-by-program basis. Due to our ability to use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9" w:name="page100"/>
    <w:bookmarkEnd w:id="9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39"/>
        <w:spacing w:after="0" w:line="283" w:lineRule="auto"/>
        <w:rPr>
          <w:sz w:val="20"/>
          <w:szCs w:val="20"/>
          <w:color w:val="auto"/>
        </w:rPr>
      </w:pPr>
      <w:r>
        <w:rPr>
          <w:rFonts w:ascii="Times New Roman" w:cs="Times New Roman" w:eastAsia="Times New Roman" w:hAnsi="Times New Roman"/>
          <w:sz w:val="14"/>
          <w:szCs w:val="14"/>
          <w:color w:val="auto"/>
        </w:rPr>
        <w:t>certain resources across several programs, personnel-related expenses and indirect or shared operating costs incurred for our research and development programs are not recorded or maintained on a program-by-program basis.</w:t>
      </w:r>
    </w:p>
    <w:p>
      <w:pPr>
        <w:spacing w:after="0" w:line="125"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We expect that our research and development expenses will increase substantially in connection with our ongoing clinical trials and our planned clinical development activities in the near term and in the future. However, we cannot reasonably estimate the costs or timing of the efforts that will be necessary to complete the development of any of our product candidates due to the numerous risks and uncertainties associated with their development, including the uncertainty of:</w:t>
      </w:r>
    </w:p>
    <w:p>
      <w:pPr>
        <w:spacing w:after="0" w:line="57" w:lineRule="exact"/>
        <w:rPr>
          <w:sz w:val="20"/>
          <w:szCs w:val="20"/>
          <w:color w:val="auto"/>
        </w:rPr>
      </w:pPr>
    </w:p>
    <w:p>
      <w:pPr>
        <w:ind w:left="1480" w:right="739" w:hanging="246"/>
        <w:spacing w:after="0" w:line="287"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costs and progress of clinical development activities related to zolucatetide, our ERG degrader and our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including expansion into other indications, and our other product candidates;</w:t>
      </w:r>
    </w:p>
    <w:p>
      <w:pPr>
        <w:spacing w:after="0" w:line="1" w:lineRule="exact"/>
        <w:rPr>
          <w:rFonts w:ascii="Times New Roman" w:cs="Times New Roman" w:eastAsia="Times New Roman" w:hAnsi="Times New Roman"/>
          <w:sz w:val="14"/>
          <w:szCs w:val="14"/>
          <w:color w:val="auto"/>
        </w:rPr>
      </w:pPr>
    </w:p>
    <w:p>
      <w:pPr>
        <w:ind w:left="1480" w:right="979" w:hanging="246"/>
        <w:spacing w:after="0" w:line="283"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of additional preclinical and clinical programs we decide to pursue, and the number of product candidates we decide to develop further;</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successful enrollment in and completion of clinical trials;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regulatory approvals for any of our product candidates that successfully complete clinical trials;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access rights to external products, technologies or intellectual property;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additional clinical, quality control, manufacturing and other scientific personnel;</w:t>
      </w:r>
    </w:p>
    <w:p>
      <w:pPr>
        <w:spacing w:after="0" w:line="91" w:lineRule="exact"/>
        <w:rPr>
          <w:rFonts w:ascii="Times New Roman" w:cs="Times New Roman" w:eastAsia="Times New Roman" w:hAnsi="Times New Roman"/>
          <w:sz w:val="14"/>
          <w:szCs w:val="14"/>
          <w:color w:val="auto"/>
        </w:rPr>
      </w:pPr>
    </w:p>
    <w:p>
      <w:pPr>
        <w:ind w:left="1480" w:right="979" w:hanging="246"/>
        <w:spacing w:after="0" w:line="283"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partnership, collaboration, or license arrangement, including the terms and timing of any milestone payments thereunder, if any;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inflation.</w:t>
      </w:r>
    </w:p>
    <w:p>
      <w:pPr>
        <w:spacing w:after="0" w:line="175"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Any changes in the outcome of any of these variables with respect to the development of our product candidates or any future product candidates that we may identify could result in a significant change in the costs and timing associated with the development of that product candidate. We may never succeed in achieving regulatory approval for any of our product candidates or any future product candidates that we may identify.</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expenses, including salaries, bonuses, benefits, and stock-based compensation expense for employees in certain executive, accounting and finance, business development, human resources, information technology, legal, and other administrative functions. Other significant general and administrative expenses include allocated facility and related costs, legal fees relating to corporate and intellectual property matters, professional fees for accounting, audit and tax services, consulting fees, information technology costs and insurance costs. General and administrative costs are expensed as incurred. These costs relate to the operation of the business, unrelated to the research and development function, or any individual program.</w:t>
      </w:r>
    </w:p>
    <w:p>
      <w:pPr>
        <w:spacing w:after="0" w:line="144"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increase substantially for the foreseeable future as we increase our headcount to support the expected growth in our research and development activities and the potential commercialization of our product candidates, if approved. We also expect to incur increased expenses associated with being a public company, including increased costs of accounting, audit, legal, regulatory and tax-related services associated with maintaining compliance with exchange listing and the U.S. Securities and Exchange Commission (“SEC”) requirements, director and officer insurance costs, and investor and public relations costs. Additionally, we expect to incur additional intellectual property-related expenses as we file patent applications to protect innovations arising from our research and development activities.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Interest income consists of interest earned from our cash, cash equivalents and marketable securities.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3" w:lineRule="exact"/>
        <w:rPr>
          <w:sz w:val="20"/>
          <w:szCs w:val="20"/>
          <w:color w:val="auto"/>
        </w:rPr>
      </w:pPr>
    </w:p>
    <w:p>
      <w:pPr>
        <w:ind w:left="720" w:right="979" w:firstLine="343"/>
        <w:spacing w:after="0" w:line="283" w:lineRule="auto"/>
        <w:rPr>
          <w:sz w:val="20"/>
          <w:szCs w:val="20"/>
          <w:color w:val="auto"/>
        </w:rPr>
      </w:pPr>
      <w:r>
        <w:rPr>
          <w:rFonts w:ascii="Times New Roman" w:cs="Times New Roman" w:eastAsia="Times New Roman" w:hAnsi="Times New Roman"/>
          <w:sz w:val="14"/>
          <w:szCs w:val="14"/>
          <w:color w:val="auto"/>
        </w:rPr>
        <w:t>Interest expense consists of interest incurred on our term loan, as amended, including amortization of debt discount and debt issuance costs, and interest expense associated with our finance leases for certain laboratory equipment.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0" w:name="page101"/>
    <w:bookmarkEnd w:id="10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Sublease Income - Related Party</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Sublease income – related party consists of income earned from our sublease of office and laboratory space to a related party.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The sublease expired in December 2025.</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Change in Fair Value of Preferred Stock Tranche Right Liability</w:t>
      </w:r>
    </w:p>
    <w:p>
      <w:pPr>
        <w:spacing w:after="0" w:line="93" w:lineRule="exact"/>
        <w:rPr>
          <w:sz w:val="20"/>
          <w:szCs w:val="20"/>
          <w:color w:val="auto"/>
        </w:rPr>
      </w:pPr>
    </w:p>
    <w:p>
      <w:pPr>
        <w:ind w:left="720" w:right="999" w:firstLine="343"/>
        <w:spacing w:after="0" w:line="256" w:lineRule="auto"/>
        <w:rPr>
          <w:sz w:val="20"/>
          <w:szCs w:val="20"/>
          <w:color w:val="auto"/>
        </w:rPr>
      </w:pPr>
      <w:r>
        <w:rPr>
          <w:rFonts w:ascii="Times New Roman" w:cs="Times New Roman" w:eastAsia="Times New Roman" w:hAnsi="Times New Roman"/>
          <w:sz w:val="14"/>
          <w:szCs w:val="14"/>
          <w:color w:val="auto"/>
        </w:rPr>
        <w:t>The purchase agreement for our Series E convertible preferred stock entered into in February 2024 provided us with an obligation to issue additional shares of Series E convertible preferred stock in a subsequent closing upon the satisfaction of certain conditions. We classified the preferred stock tranche right as a liability on our consolidated balance sheet as the preferred stock tranche right was determined to be a freestanding financial instrument that may have required us to transfer assets to settle our obligation upon events outside of our control. The preferred stock tranche right liability was initially recorded at fair value at the issuance date and was subsequently remeasured to fair value at each reporting date and immediately prior to settlement in January 2025.</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Other income consists of income associated with an award received from a Massachusetts state agency that provides incentives to life science companies.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No provision for income taxes was recorded for the years ended December 31, 2024 and 2025 or for the three months ended March 31, 2025 and 2026 due to our net losses and maintenance of a full valuation allowance against our net deferred tax assets. As of December 31, 2025, we had net operating loss carryforwards for federal income tax purposes of $357.9 million, of which $348.9 million can be carried forward indefinitely and the remainder of which begins to expire in 2036. In addition, we had state net operating loss carryforwards of $347.4 million as of December 31, 2025, of which $2.7 million can be carried forward indefinitely and the remainder of which begin to expire in 2036.</w:t>
      </w:r>
    </w:p>
    <w:p>
      <w:pPr>
        <w:spacing w:after="0" w:line="143"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2025, we had federal and state research and development tax credit carryforwards of $17.2 million and $7.7 million, respectively, which are available to reduce future tax liabilities, and which begin to expire in 2030.</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2025 and 2026</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periods presented (in thousands, except percentages):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r>
      <w:tr>
        <w:trPr>
          <w:trHeight w:val="106"/>
        </w:trPr>
        <w:tc>
          <w:tcPr>
            <w:tcW w:w="9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3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9"/>
                <w:szCs w:val="9"/>
                <w:color w:val="auto"/>
              </w:rPr>
            </w:pPr>
          </w:p>
        </w:tc>
      </w:tr>
      <w:tr>
        <w:trPr>
          <w:trHeight w:val="159"/>
        </w:trPr>
        <w:tc>
          <w:tcPr>
            <w:tcW w:w="900" w:type="dxa"/>
            <w:vAlign w:val="bottom"/>
          </w:tcPr>
          <w:p>
            <w:pPr>
              <w:spacing w:after="0"/>
              <w:rPr>
                <w:sz w:val="13"/>
                <w:szCs w:val="13"/>
                <w:color w:val="auto"/>
              </w:rPr>
            </w:pPr>
          </w:p>
        </w:tc>
        <w:tc>
          <w:tcPr>
            <w:tcW w:w="2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33,905</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37,753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11.3%</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6,336</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9,700</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53.1%</w:t>
            </w:r>
          </w:p>
        </w:tc>
        <w:tc>
          <w:tcPr>
            <w:tcW w:w="880" w:type="dxa"/>
            <w:vAlign w:val="bottom"/>
          </w:tcPr>
          <w:p>
            <w:pPr>
              <w:spacing w:after="0"/>
              <w:rPr>
                <w:sz w:val="14"/>
                <w:szCs w:val="14"/>
                <w:color w:val="auto"/>
              </w:rPr>
            </w:pPr>
          </w:p>
        </w:tc>
      </w:tr>
      <w:tr>
        <w:trPr>
          <w:trHeight w:val="159"/>
        </w:trPr>
        <w:tc>
          <w:tcPr>
            <w:tcW w:w="900" w:type="dxa"/>
            <w:vAlign w:val="bottom"/>
          </w:tcPr>
          <w:p>
            <w:pPr>
              <w:spacing w:after="0"/>
              <w:rPr>
                <w:sz w:val="13"/>
                <w:szCs w:val="13"/>
                <w:color w:val="auto"/>
              </w:rPr>
            </w:pPr>
          </w:p>
        </w:tc>
        <w:tc>
          <w:tcPr>
            <w:tcW w:w="25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6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47,453</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7,212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17.9%</w:t>
            </w:r>
          </w:p>
        </w:tc>
        <w:tc>
          <w:tcPr>
            <w:tcW w:w="88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2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(47,453)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(7,212)</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17.9%</w:t>
            </w:r>
          </w:p>
        </w:tc>
        <w:tc>
          <w:tcPr>
            <w:tcW w:w="88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93.2%</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Sublease income - related party</w:t>
            </w:r>
          </w:p>
        </w:tc>
        <w:tc>
          <w:tcPr>
            <w:tcW w:w="6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tcPr>
          <w:p>
            <w:pPr>
              <w:spacing w:after="0"/>
              <w:rPr>
                <w:sz w:val="14"/>
                <w:szCs w:val="14"/>
                <w:color w:val="auto"/>
              </w:rPr>
            </w:pPr>
          </w:p>
        </w:tc>
      </w:tr>
      <w:tr>
        <w:trPr>
          <w:trHeight w:val="159"/>
        </w:trPr>
        <w:tc>
          <w:tcPr>
            <w:tcW w:w="900" w:type="dxa"/>
            <w:vAlign w:val="bottom"/>
          </w:tcPr>
          <w:p>
            <w:pPr>
              <w:spacing w:after="0"/>
              <w:rPr>
                <w:sz w:val="13"/>
                <w:szCs w:val="13"/>
                <w:color w:val="auto"/>
              </w:rPr>
            </w:pPr>
          </w:p>
        </w:tc>
        <w:tc>
          <w:tcPr>
            <w:tcW w:w="25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other income, net</w:t>
            </w:r>
          </w:p>
        </w:tc>
        <w:tc>
          <w:tcPr>
            <w:tcW w:w="6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1,915</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2,137</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11.6%</w:t>
            </w:r>
          </w:p>
        </w:tc>
        <w:tc>
          <w:tcPr>
            <w:tcW w:w="880" w:type="dxa"/>
            <w:vAlign w:val="bottom"/>
          </w:tcPr>
          <w:p>
            <w:pPr>
              <w:spacing w:after="0"/>
              <w:rPr>
                <w:sz w:val="13"/>
                <w:szCs w:val="13"/>
                <w:color w:val="auto"/>
              </w:rPr>
            </w:pPr>
          </w:p>
        </w:tc>
      </w:tr>
      <w:tr>
        <w:trPr>
          <w:trHeight w:val="199"/>
        </w:trPr>
        <w:tc>
          <w:tcPr>
            <w:tcW w:w="900" w:type="dxa"/>
            <w:vAlign w:val="bottom"/>
          </w:tcPr>
          <w:p>
            <w:pPr>
              <w:spacing w:after="0"/>
              <w:rPr>
                <w:sz w:val="17"/>
                <w:szCs w:val="17"/>
                <w:color w:val="auto"/>
              </w:rPr>
            </w:pPr>
          </w:p>
        </w:tc>
        <w:tc>
          <w:tcPr>
            <w:tcW w:w="2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(38,326)</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(45,316)</w:t>
            </w:r>
          </w:p>
        </w:tc>
        <w:tc>
          <w:tcPr>
            <w:tcW w:w="26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(6,990)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18.2%</w:t>
            </w:r>
          </w:p>
        </w:tc>
        <w:tc>
          <w:tcPr>
            <w:tcW w:w="880" w:type="dxa"/>
            <w:vAlign w:val="bottom"/>
          </w:tcPr>
          <w:p>
            <w:pPr>
              <w:spacing w:after="0"/>
              <w:rPr>
                <w:sz w:val="17"/>
                <w:szCs w:val="17"/>
                <w:color w:val="auto"/>
              </w:rPr>
            </w:pPr>
          </w:p>
        </w:tc>
      </w:tr>
      <w:tr>
        <w:trPr>
          <w:trHeight w:val="476"/>
        </w:trPr>
        <w:tc>
          <w:tcPr>
            <w:tcW w:w="900" w:type="dxa"/>
            <w:vAlign w:val="bottom"/>
          </w:tcPr>
          <w:p>
            <w:pPr>
              <w:spacing w:after="0"/>
              <w:rPr>
                <w:sz w:val="24"/>
                <w:szCs w:val="24"/>
                <w:color w:val="auto"/>
              </w:rPr>
            </w:pPr>
          </w:p>
        </w:tc>
        <w:tc>
          <w:tcPr>
            <w:tcW w:w="25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99"/>
              </w:rPr>
              <w:t>99</w:t>
            </w: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880" w:type="dxa"/>
            <w:vAlign w:val="bottom"/>
          </w:tcPr>
          <w:p>
            <w:pPr>
              <w:spacing w:after="0"/>
              <w:rPr>
                <w:sz w:val="24"/>
                <w:szCs w:val="24"/>
                <w:color w:val="auto"/>
              </w:rPr>
            </w:pPr>
          </w:p>
        </w:tc>
      </w:tr>
      <w:tr>
        <w:trPr>
          <w:trHeight w:val="590"/>
        </w:trPr>
        <w:tc>
          <w:tcPr>
            <w:tcW w:w="9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-1607820</wp:posOffset>
            </wp:positionV>
            <wp:extent cx="4699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-1607820</wp:posOffset>
            </wp:positionV>
            <wp:extent cx="4699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-1607820</wp:posOffset>
            </wp:positionV>
            <wp:extent cx="4699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-953770</wp:posOffset>
            </wp:positionV>
            <wp:extent cx="4699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-953770</wp:posOffset>
            </wp:positionV>
            <wp:extent cx="469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-953770</wp:posOffset>
            </wp:positionV>
            <wp:extent cx="4699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-727075</wp:posOffset>
            </wp:positionV>
            <wp:extent cx="469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-713740</wp:posOffset>
            </wp:positionV>
            <wp:extent cx="469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-727075</wp:posOffset>
            </wp:positionV>
            <wp:extent cx="469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-713740</wp:posOffset>
            </wp:positionV>
            <wp:extent cx="4699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-727075</wp:posOffset>
            </wp:positionV>
            <wp:extent cx="4699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-713740</wp:posOffset>
            </wp:positionV>
            <wp:extent cx="4699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1" w:name="page102"/>
    <w:bookmarkEnd w:id="10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93" w:lineRule="exact"/>
        <w:rPr>
          <w:sz w:val="20"/>
          <w:szCs w:val="20"/>
          <w:color w:val="auto"/>
        </w:rPr>
      </w:pPr>
    </w:p>
    <w:p>
      <w:pPr>
        <w:ind w:left="720" w:right="129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 for the periods presented (in thousands, except percentages):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2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Borders>
              <w:bottom w:val="single" w:sz="8" w:color="auto"/>
            </w:tcBorders>
          </w:tcPr>
          <w:p>
            <w:pPr>
              <w:spacing w:after="0"/>
              <w:rPr>
                <w:sz w:val="11"/>
                <w:szCs w:val="11"/>
                <w:color w:val="auto"/>
              </w:rPr>
            </w:pPr>
          </w:p>
        </w:tc>
      </w:tr>
      <w:tr>
        <w:trPr>
          <w:trHeight w:val="106"/>
        </w:trPr>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jc w:val="right"/>
              <w:ind w:right="37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3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44"/>
        </w:trPr>
        <w:tc>
          <w:tcPr>
            <w:tcW w:w="28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External research and development expenses</w:t>
            </w:r>
          </w:p>
        </w:tc>
        <w:tc>
          <w:tcPr>
            <w:tcW w:w="440" w:type="dxa"/>
            <w:vAlign w:val="bottom"/>
            <w:tcBorders>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3"/>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by program:</w:t>
            </w:r>
          </w:p>
        </w:tc>
        <w:tc>
          <w:tcPr>
            <w:tcW w:w="440" w:type="dxa"/>
            <w:vAlign w:val="bottom"/>
            <w:tcBorders>
              <w:right w:val="single" w:sz="8" w:color="CFF0FC"/>
            </w:tcBorders>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Zolucatetide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13,145</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13,094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68"/>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β-Catenin Degrader</w:t>
            </w:r>
          </w:p>
        </w:tc>
        <w:tc>
          <w:tcPr>
            <w:tcW w:w="440" w:type="dxa"/>
            <w:vAlign w:val="bottom"/>
            <w:tcBorders>
              <w:right w:val="single" w:sz="8" w:color="CFF0FC"/>
            </w:tcBorders>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719</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ERG Degrader</w:t>
            </w:r>
          </w:p>
        </w:tc>
        <w:tc>
          <w:tcPr>
            <w:tcW w:w="4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1,640</w:t>
            </w:r>
          </w:p>
        </w:tc>
        <w:tc>
          <w:tcPr>
            <w:tcW w:w="16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77.6%</w:t>
            </w:r>
          </w:p>
        </w:tc>
      </w:tr>
      <w:tr>
        <w:trPr>
          <w:trHeight w:val="168"/>
        </w:trPr>
        <w:tc>
          <w:tcPr>
            <w:tcW w:w="2880" w:type="dxa"/>
            <w:vAlign w:val="bottom"/>
            <w:shd w:val="clear" w:color="auto" w:fill="CFF0FC"/>
          </w:tcPr>
          <w:p>
            <w:pPr>
              <w:ind w:left="140"/>
              <w:spacing w:after="0" w:line="169" w:lineRule="exact"/>
              <w:rPr>
                <w:sz w:val="20"/>
                <w:szCs w:val="20"/>
                <w:color w:val="auto"/>
              </w:rPr>
            </w:pPr>
            <w:r>
              <w:rPr>
                <w:rFonts w:ascii="Times New Roman" w:cs="Times New Roman" w:eastAsia="Times New Roman" w:hAnsi="Times New Roman"/>
                <w:sz w:val="14"/>
                <w:szCs w:val="14"/>
                <w:color w:val="auto"/>
              </w:rPr>
              <w:t>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w:t>
            </w:r>
          </w:p>
        </w:tc>
        <w:tc>
          <w:tcPr>
            <w:tcW w:w="440" w:type="dxa"/>
            <w:vAlign w:val="bottom"/>
            <w:tcBorders>
              <w:right w:val="single" w:sz="8" w:color="CFF0FC"/>
            </w:tcBorders>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865</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62.5%</w:t>
            </w: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Early discovery and other programs</w:t>
            </w:r>
          </w:p>
        </w:tc>
        <w:tc>
          <w:tcPr>
            <w:tcW w:w="4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994</w:t>
            </w:r>
          </w:p>
        </w:tc>
        <w:tc>
          <w:tcPr>
            <w:tcW w:w="16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28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Unallocated research and development</w:t>
            </w:r>
          </w:p>
        </w:tc>
        <w:tc>
          <w:tcPr>
            <w:tcW w:w="440" w:type="dxa"/>
            <w:vAlign w:val="bottom"/>
            <w:tcBorders>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83"/>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expenses:</w:t>
            </w:r>
          </w:p>
        </w:tc>
        <w:tc>
          <w:tcPr>
            <w:tcW w:w="440" w:type="dxa"/>
            <w:vAlign w:val="bottom"/>
            <w:tcBorders>
              <w:right w:val="single" w:sz="8" w:color="CFF0FC"/>
            </w:tcBorders>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Personnel-related expenses</w:t>
            </w:r>
          </w:p>
        </w:tc>
        <w:tc>
          <w:tcPr>
            <w:tcW w:w="4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9,350</w:t>
            </w:r>
          </w:p>
        </w:tc>
        <w:tc>
          <w:tcPr>
            <w:tcW w:w="16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10,701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14.4%</w:t>
            </w:r>
          </w:p>
        </w:tc>
      </w:tr>
      <w:tr>
        <w:trPr>
          <w:trHeight w:val="168"/>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440" w:type="dxa"/>
            <w:vAlign w:val="bottom"/>
            <w:tcBorders>
              <w:right w:val="single" w:sz="8" w:color="CFF0FC"/>
            </w:tcBorders>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4,329</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5,089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17.6%</w:t>
            </w: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Facility-related expenses</w:t>
            </w:r>
          </w:p>
        </w:tc>
        <w:tc>
          <w:tcPr>
            <w:tcW w:w="440" w:type="dxa"/>
            <w:vAlign w:val="bottom"/>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2,863</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3,141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w:t>
            </w:r>
          </w:p>
        </w:tc>
      </w:tr>
      <w:tr>
        <w:trPr>
          <w:trHeight w:val="179"/>
        </w:trPr>
        <w:tc>
          <w:tcPr>
            <w:tcW w:w="28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research and development expense</w:t>
            </w:r>
          </w:p>
        </w:tc>
        <w:tc>
          <w:tcPr>
            <w:tcW w:w="44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FF0FC"/>
            </w:tcBorders>
            <w:shd w:val="clear" w:color="auto" w:fill="CFF0FC"/>
          </w:tcPr>
          <w:p>
            <w:pPr>
              <w:jc w:val="right"/>
              <w:ind w:right="72"/>
              <w:spacing w:after="0" w:line="159" w:lineRule="exact"/>
              <w:rPr>
                <w:sz w:val="20"/>
                <w:szCs w:val="20"/>
                <w:color w:val="auto"/>
              </w:rPr>
            </w:pPr>
            <w:r>
              <w:rPr>
                <w:rFonts w:ascii="Times New Roman" w:cs="Times New Roman" w:eastAsia="Times New Roman" w:hAnsi="Times New Roman"/>
                <w:sz w:val="14"/>
                <w:szCs w:val="14"/>
                <w:color w:val="auto"/>
              </w:rPr>
              <w:t>33,905</w:t>
            </w:r>
          </w:p>
        </w:tc>
        <w:tc>
          <w:tcPr>
            <w:tcW w:w="16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37,753</w:t>
            </w:r>
          </w:p>
        </w:tc>
        <w:tc>
          <w:tcPr>
            <w:tcW w:w="26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3,848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-19685</wp:posOffset>
            </wp:positionV>
            <wp:extent cx="4699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-6350</wp:posOffset>
            </wp:positionV>
            <wp:extent cx="4699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-19685</wp:posOffset>
            </wp:positionV>
            <wp:extent cx="4699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-6350</wp:posOffset>
            </wp:positionV>
            <wp:extent cx="4699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-19685</wp:posOffset>
            </wp:positionV>
            <wp:extent cx="4699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-6350</wp:posOffset>
            </wp:positionV>
            <wp:extent cx="4699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Research and development expense was $33.9 million for the three months ended March 31, 2025, as compared to $37.8 million for the three months ended March 31, 2026. The increase of $3.8 million, or 11.3%, was primarily due to:</w:t>
      </w:r>
    </w:p>
    <w:p>
      <w:pPr>
        <w:spacing w:after="0" w:line="41" w:lineRule="exact"/>
        <w:rPr>
          <w:sz w:val="20"/>
          <w:szCs w:val="20"/>
          <w:color w:val="auto"/>
        </w:rPr>
      </w:pPr>
    </w:p>
    <w:p>
      <w:pPr>
        <w:ind w:left="1480" w:right="859" w:hanging="246"/>
        <w:spacing w:after="0" w:line="283" w:lineRule="auto"/>
        <w:tabs>
          <w:tab w:leader="none" w:pos="1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increase in external expenses for our ERG degrader preclinical program of $1.3 million, which was primarily due to increases in costs for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development studies and manufacturing;</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expenses of $1.4 million, which primarily was the result of an increase in headcount to support our research and development operations; and</w:t>
      </w:r>
    </w:p>
    <w:p>
      <w:pPr>
        <w:spacing w:after="0" w:line="40" w:lineRule="exact"/>
        <w:rPr>
          <w:rFonts w:ascii="Times New Roman" w:cs="Times New Roman" w:eastAsia="Times New Roman" w:hAnsi="Times New Roman"/>
          <w:sz w:val="14"/>
          <w:szCs w:val="14"/>
          <w:color w:val="auto"/>
        </w:rPr>
      </w:pPr>
    </w:p>
    <w:p>
      <w:pPr>
        <w:ind w:left="1480" w:right="979" w:hanging="246"/>
        <w:spacing w:after="0" w:line="267" w:lineRule="auto"/>
        <w:tabs>
          <w:tab w:leader="none" w:pos="1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research and development expenses of $0.8 million, which was primarily due to increases in laboratory supplies, consumables, external services, and other operating costs incurred as a result of our research and development activities.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93" w:lineRule="exact"/>
        <w:rPr>
          <w:sz w:val="20"/>
          <w:szCs w:val="20"/>
          <w:color w:val="auto"/>
        </w:rPr>
      </w:pPr>
    </w:p>
    <w:p>
      <w:pPr>
        <w:ind w:left="720" w:right="12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general and administrative expense for the periods presented (in thousands, except percentages):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60" w:type="dxa"/>
            <w:vAlign w:val="bottom"/>
            <w:tcBorders>
              <w:bottom w:val="single" w:sz="8" w:color="auto"/>
            </w:tcBorders>
          </w:tcPr>
          <w:p>
            <w:pPr>
              <w:spacing w:after="0"/>
              <w:rPr>
                <w:sz w:val="11"/>
                <w:szCs w:val="11"/>
                <w:color w:val="auto"/>
              </w:rPr>
            </w:pPr>
          </w:p>
        </w:tc>
      </w:tr>
      <w:tr>
        <w:trPr>
          <w:trHeight w:val="106"/>
        </w:trPr>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1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93"/>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Personnel-related expenses</w:t>
            </w:r>
          </w:p>
        </w:tc>
        <w:tc>
          <w:tcPr>
            <w:tcW w:w="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3,051</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3,944</w:t>
            </w:r>
          </w:p>
        </w:tc>
        <w:tc>
          <w:tcPr>
            <w:tcW w:w="480" w:type="dxa"/>
            <w:vAlign w:val="bottom"/>
            <w:gridSpan w:val="2"/>
            <w:shd w:val="clear" w:color="auto" w:fill="CFF0FC"/>
          </w:tcPr>
          <w:p>
            <w:pPr>
              <w:jc w:val="right"/>
              <w:ind w:right="28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29.3%</w:t>
            </w: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and consulting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1,613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3,423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95"/>
              </w:rPr>
              <w:t>1,810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r>
      <w:tr>
        <w:trPr>
          <w:trHeight w:val="168"/>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1,672</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2,333</w:t>
            </w:r>
          </w:p>
        </w:tc>
        <w:tc>
          <w:tcPr>
            <w:tcW w:w="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59"/>
        </w:trPr>
        <w:tc>
          <w:tcPr>
            <w:tcW w:w="32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general and administrative expense</w:t>
            </w:r>
          </w:p>
        </w:tc>
        <w:tc>
          <w:tcPr>
            <w:tcW w:w="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6,336</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9,700</w:t>
            </w:r>
          </w:p>
        </w:tc>
        <w:tc>
          <w:tcPr>
            <w:tcW w:w="480" w:type="dxa"/>
            <w:vAlign w:val="bottom"/>
            <w:gridSpan w:val="2"/>
          </w:tcPr>
          <w:p>
            <w:pPr>
              <w:jc w:val="right"/>
              <w:ind w:right="28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w w:val="95"/>
              </w:rPr>
              <w:t>3,364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53.1%</w:t>
            </w:r>
          </w:p>
        </w:tc>
      </w:tr>
      <w:tr>
        <w:trPr>
          <w:trHeight w:val="20"/>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-132715</wp:posOffset>
            </wp:positionV>
            <wp:extent cx="4699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-132715</wp:posOffset>
            </wp:positionV>
            <wp:extent cx="4699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-132715</wp:posOffset>
            </wp:positionV>
            <wp:extent cx="469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General and administrative expense was $6.3 million for the three months ended March 31, 2025, as compared to $9.7 million for the three months ended March 31, 2026. The increase of $3.4 million, or 53.1%, was primarily due to:</w:t>
      </w:r>
    </w:p>
    <w:p>
      <w:pPr>
        <w:spacing w:after="0" w:line="41" w:lineRule="exact"/>
        <w:rPr>
          <w:sz w:val="20"/>
          <w:szCs w:val="20"/>
          <w:color w:val="auto"/>
        </w:rPr>
      </w:pPr>
    </w:p>
    <w:p>
      <w:pPr>
        <w:ind w:left="1480" w:right="999" w:hanging="246"/>
        <w:spacing w:after="0" w:line="283" w:lineRule="auto"/>
        <w:tabs>
          <w:tab w:leader="none" w:pos="1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expenses of $0.9 million, which primarily was the result of an increase in headcount within our general and administrative function and severance charges;</w:t>
      </w:r>
    </w:p>
    <w:p>
      <w:pPr>
        <w:spacing w:after="0" w:line="40"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and consulting fees of $1.8 million, which primarily was the result of additional external costs incurred in preparation of our planned initial public offering (“IPO”) and intellectual property legal fees; and</w:t>
      </w:r>
    </w:p>
    <w:p>
      <w:pPr>
        <w:spacing w:after="0" w:line="40" w:lineRule="exact"/>
        <w:rPr>
          <w:rFonts w:ascii="Times New Roman" w:cs="Times New Roman" w:eastAsia="Times New Roman" w:hAnsi="Times New Roman"/>
          <w:sz w:val="14"/>
          <w:szCs w:val="14"/>
          <w:color w:val="auto"/>
        </w:rPr>
      </w:pPr>
    </w:p>
    <w:p>
      <w:pPr>
        <w:ind w:left="1480" w:right="1019" w:hanging="246"/>
        <w:spacing w:after="0" w:line="283" w:lineRule="auto"/>
        <w:tabs>
          <w:tab w:leader="none" w:pos="1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general and administrative expenses of $0.7 million, which was primarily driven by increases in information technology costs.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2" w:name="page103"/>
    <w:bookmarkEnd w:id="10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3" w:lineRule="exact"/>
        <w:rPr>
          <w:sz w:val="20"/>
          <w:szCs w:val="20"/>
          <w:color w:val="auto"/>
        </w:rPr>
      </w:pPr>
    </w:p>
    <w:p>
      <w:pPr>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Interest income was $1.3 million for the three months ended March 31, 2025, as compared to $2.4 million for the three months ended March 31, 2026. The increase of $1.2 million, or 93.2%, was primarily due to increases in our cash and cash equivalents balances.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Interest expense was $0.4 million for the three months ended March 31, 2025, as compared to $0.3 million for the three months ended March 31, 2026. The decrease of $0.1 million, or 26.8%, was primarily attributable to a decrease in interest expense on our term loan, which matures in October 2026.</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Sublease Income - Related Party</w:t>
      </w:r>
    </w:p>
    <w:p>
      <w:pPr>
        <w:spacing w:after="0" w:line="93" w:lineRule="exact"/>
        <w:rPr>
          <w:sz w:val="20"/>
          <w:szCs w:val="20"/>
          <w:color w:val="auto"/>
        </w:rPr>
      </w:pPr>
    </w:p>
    <w:p>
      <w:pPr>
        <w:ind w:left="720" w:right="1339" w:firstLine="343"/>
        <w:spacing w:after="0" w:line="283" w:lineRule="auto"/>
        <w:rPr>
          <w:sz w:val="20"/>
          <w:szCs w:val="20"/>
          <w:color w:val="auto"/>
        </w:rPr>
      </w:pPr>
      <w:r>
        <w:rPr>
          <w:rFonts w:ascii="Times New Roman" w:cs="Times New Roman" w:eastAsia="Times New Roman" w:hAnsi="Times New Roman"/>
          <w:sz w:val="14"/>
          <w:szCs w:val="14"/>
          <w:color w:val="auto"/>
        </w:rPr>
        <w:t>Sublease income – related party was $1.1 million for the three months ended March 31, 2025. The sublease expired in December 2025 and as a result, no sublease income was recognized during the three months ended March 31, 2026.</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2024 and 2025</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years presented (in thousands, except percentages):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Borders>
              <w:bottom w:val="single" w:sz="8" w:color="auto"/>
            </w:tcBorders>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59"/>
        </w:trPr>
        <w:tc>
          <w:tcPr>
            <w:tcW w:w="20" w:type="dxa"/>
            <w:vAlign w:val="bottom"/>
          </w:tcPr>
          <w:p>
            <w:pPr>
              <w:spacing w:after="0"/>
              <w:rPr>
                <w:sz w:val="13"/>
                <w:szCs w:val="13"/>
                <w:color w:val="auto"/>
              </w:rPr>
            </w:pPr>
          </w:p>
        </w:tc>
        <w:tc>
          <w:tcPr>
            <w:tcW w:w="3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100,829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125,583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24,754</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24.6%</w:t>
            </w:r>
          </w:p>
        </w:tc>
      </w:tr>
      <w:tr>
        <w:trPr>
          <w:trHeight w:val="168"/>
        </w:trPr>
        <w:tc>
          <w:tcPr>
            <w:tcW w:w="20" w:type="dxa"/>
            <w:vAlign w:val="bottom"/>
          </w:tcPr>
          <w:p>
            <w:pPr>
              <w:spacing w:after="0"/>
              <w:rPr>
                <w:sz w:val="14"/>
                <w:szCs w:val="14"/>
                <w:color w:val="auto"/>
              </w:rPr>
            </w:pPr>
          </w:p>
        </w:tc>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25,296</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26,496</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1,200</w:t>
            </w:r>
          </w:p>
        </w:tc>
        <w:tc>
          <w:tcPr>
            <w:tcW w:w="2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4.7%</w:t>
            </w:r>
          </w:p>
        </w:tc>
      </w:tr>
      <w:tr>
        <w:trPr>
          <w:trHeight w:val="159"/>
        </w:trPr>
        <w:tc>
          <w:tcPr>
            <w:tcW w:w="20" w:type="dxa"/>
            <w:vAlign w:val="bottom"/>
          </w:tcPr>
          <w:p>
            <w:pPr>
              <w:spacing w:after="0"/>
              <w:rPr>
                <w:sz w:val="13"/>
                <w:szCs w:val="13"/>
                <w:color w:val="auto"/>
              </w:rPr>
            </w:pPr>
          </w:p>
        </w:tc>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152,079</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2"/>
              <w:spacing w:after="0" w:line="159" w:lineRule="exact"/>
              <w:rPr>
                <w:sz w:val="20"/>
                <w:szCs w:val="20"/>
                <w:color w:val="auto"/>
              </w:rPr>
            </w:pPr>
            <w:r>
              <w:rPr>
                <w:rFonts w:ascii="Times New Roman" w:cs="Times New Roman" w:eastAsia="Times New Roman" w:hAnsi="Times New Roman"/>
                <w:sz w:val="14"/>
                <w:szCs w:val="14"/>
                <w:color w:val="auto"/>
              </w:rPr>
              <w:t>25,954</w:t>
            </w:r>
          </w:p>
        </w:tc>
        <w:tc>
          <w:tcPr>
            <w:tcW w:w="220" w:type="dxa"/>
            <w:vAlign w:val="bottom"/>
          </w:tcPr>
          <w:p>
            <w:pPr>
              <w:spacing w:after="0"/>
              <w:rPr>
                <w:sz w:val="13"/>
                <w:szCs w:val="13"/>
                <w:color w:val="auto"/>
              </w:rPr>
            </w:pPr>
          </w:p>
        </w:tc>
        <w:tc>
          <w:tcPr>
            <w:tcW w:w="68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20.6%</w:t>
            </w:r>
          </w:p>
        </w:tc>
      </w:tr>
      <w:tr>
        <w:trPr>
          <w:trHeight w:val="159"/>
        </w:trPr>
        <w:tc>
          <w:tcPr>
            <w:tcW w:w="20" w:type="dxa"/>
            <w:vAlign w:val="bottom"/>
          </w:tcPr>
          <w:p>
            <w:pPr>
              <w:spacing w:after="0"/>
              <w:rPr>
                <w:sz w:val="13"/>
                <w:szCs w:val="13"/>
                <w:color w:val="auto"/>
              </w:rPr>
            </w:pPr>
          </w:p>
        </w:tc>
        <w:tc>
          <w:tcPr>
            <w:tcW w:w="3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(152,079)</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(25,954)</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20.6%</w:t>
            </w:r>
          </w:p>
        </w:tc>
      </w:tr>
      <w:tr>
        <w:trPr>
          <w:trHeight w:val="168"/>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6,408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3,386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(3,022)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68"/>
        </w:trPr>
        <w:tc>
          <w:tcPr>
            <w:tcW w:w="2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20" w:type="dxa"/>
            <w:vAlign w:val="bottom"/>
          </w:tcPr>
          <w:p>
            <w:pPr>
              <w:spacing w:after="0"/>
              <w:rPr>
                <w:sz w:val="14"/>
                <w:szCs w:val="14"/>
                <w:color w:val="auto"/>
              </w:rPr>
            </w:pPr>
          </w:p>
        </w:tc>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Sublease income - related party</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4,166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4,228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r>
      <w:tr>
        <w:trPr>
          <w:trHeight w:val="153"/>
        </w:trPr>
        <w:tc>
          <w:tcPr>
            <w:tcW w:w="20" w:type="dxa"/>
            <w:vAlign w:val="bottom"/>
          </w:tcPr>
          <w:p>
            <w:pPr>
              <w:spacing w:after="0"/>
              <w:rPr>
                <w:sz w:val="13"/>
                <w:szCs w:val="13"/>
                <w:color w:val="auto"/>
              </w:rPr>
            </w:pPr>
          </w:p>
        </w:tc>
        <w:tc>
          <w:tcPr>
            <w:tcW w:w="308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Change in fair value of preferred stock tranche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right liability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68"/>
        </w:trPr>
        <w:tc>
          <w:tcPr>
            <w:tcW w:w="20" w:type="dxa"/>
            <w:vAlign w:val="bottom"/>
          </w:tcPr>
          <w:p>
            <w:pPr>
              <w:spacing w:after="0"/>
              <w:rPr>
                <w:sz w:val="14"/>
                <w:szCs w:val="14"/>
                <w:color w:val="auto"/>
              </w:rPr>
            </w:pPr>
          </w:p>
        </w:tc>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20" w:type="dxa"/>
            <w:vAlign w:val="bottom"/>
          </w:tcPr>
          <w:p>
            <w:pPr>
              <w:spacing w:after="0"/>
              <w:rPr>
                <w:sz w:val="13"/>
                <w:szCs w:val="13"/>
                <w:color w:val="auto"/>
              </w:rPr>
            </w:pPr>
          </w:p>
        </w:tc>
        <w:tc>
          <w:tcPr>
            <w:tcW w:w="308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Total other income, net</w:t>
            </w:r>
          </w:p>
        </w:tc>
        <w:tc>
          <w:tcPr>
            <w:tcW w:w="34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8,211</w:t>
            </w: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6,190</w:t>
            </w: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(24.6%)</w:t>
            </w:r>
          </w:p>
        </w:tc>
      </w:tr>
      <w:tr>
        <w:trPr>
          <w:trHeight w:val="179"/>
        </w:trPr>
        <w:tc>
          <w:tcPr>
            <w:tcW w:w="20" w:type="dxa"/>
            <w:vAlign w:val="bottom"/>
          </w:tcPr>
          <w:p>
            <w:pPr>
              <w:spacing w:after="0"/>
              <w:rPr>
                <w:sz w:val="15"/>
                <w:szCs w:val="15"/>
                <w:color w:val="auto"/>
              </w:rPr>
            </w:pPr>
          </w:p>
        </w:tc>
        <w:tc>
          <w:tcPr>
            <w:tcW w:w="3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2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(27,975)</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23.7%</w:t>
            </w: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-1221105</wp:posOffset>
            </wp:positionV>
            <wp:extent cx="4699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-1221105</wp:posOffset>
            </wp:positionV>
            <wp:extent cx="4699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-1221105</wp:posOffset>
            </wp:positionV>
            <wp:extent cx="4000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-246380</wp:posOffset>
            </wp:positionV>
            <wp:extent cx="4699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-246380</wp:posOffset>
            </wp:positionV>
            <wp:extent cx="469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-246380</wp:posOffset>
            </wp:positionV>
            <wp:extent cx="400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-19685</wp:posOffset>
            </wp:positionV>
            <wp:extent cx="4699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-6350</wp:posOffset>
            </wp:positionV>
            <wp:extent cx="4699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-19685</wp:posOffset>
            </wp:positionV>
            <wp:extent cx="4699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-6350</wp:posOffset>
            </wp:positionV>
            <wp:extent cx="4699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-19685</wp:posOffset>
            </wp:positionV>
            <wp:extent cx="4000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-6350</wp:posOffset>
            </wp:positionV>
            <wp:extent cx="4000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93" w:lineRule="exact"/>
        <w:rPr>
          <w:sz w:val="20"/>
          <w:szCs w:val="20"/>
          <w:color w:val="auto"/>
        </w:rPr>
      </w:pPr>
    </w:p>
    <w:p>
      <w:pPr>
        <w:ind w:left="720" w:right="1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for the years presented (in thousands, except percentages):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r>
      <w:tr>
        <w:trPr>
          <w:trHeight w:val="106"/>
        </w:trPr>
        <w:tc>
          <w:tcPr>
            <w:tcW w:w="9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9"/>
                <w:szCs w:val="9"/>
                <w:color w:val="auto"/>
              </w:rPr>
            </w:pPr>
          </w:p>
        </w:tc>
      </w:tr>
      <w:tr>
        <w:trPr>
          <w:trHeight w:val="159"/>
        </w:trPr>
        <w:tc>
          <w:tcPr>
            <w:tcW w:w="900" w:type="dxa"/>
            <w:vAlign w:val="bottom"/>
          </w:tcPr>
          <w:p>
            <w:pPr>
              <w:spacing w:after="0"/>
              <w:rPr>
                <w:sz w:val="13"/>
                <w:szCs w:val="13"/>
                <w:color w:val="auto"/>
              </w:rPr>
            </w:pPr>
          </w:p>
        </w:tc>
        <w:tc>
          <w:tcPr>
            <w:tcW w:w="3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External research and development expenses by program:</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90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Zolucatetide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32,633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41,798</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9,165</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28.1%</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β-Catenin Degrader</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4,067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(2,935)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ERG Degrader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4,594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2,761</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60.1%</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shd w:val="clear" w:color="auto" w:fill="CFF0FC"/>
          </w:tcPr>
          <w:p>
            <w:pPr>
              <w:ind w:left="140"/>
              <w:spacing w:after="0" w:line="169" w:lineRule="exact"/>
              <w:rPr>
                <w:sz w:val="20"/>
                <w:szCs w:val="20"/>
                <w:color w:val="auto"/>
              </w:rPr>
            </w:pPr>
            <w:r>
              <w:rPr>
                <w:rFonts w:ascii="Times New Roman" w:cs="Times New Roman" w:eastAsia="Times New Roman" w:hAnsi="Times New Roman"/>
                <w:sz w:val="14"/>
                <w:szCs w:val="14"/>
                <w:color w:val="auto"/>
              </w:rPr>
              <w:t>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4,043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2,685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197.7%</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Early discovery and other programs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Personnel-related 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27,577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35,347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7,770</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28.2%</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14,850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19,431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4,581</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30.8%</w:t>
            </w:r>
          </w:p>
        </w:tc>
        <w:tc>
          <w:tcPr>
            <w:tcW w:w="88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Facility-related expenses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11,318</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11,712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w:t>
            </w:r>
          </w:p>
        </w:tc>
        <w:tc>
          <w:tcPr>
            <w:tcW w:w="880" w:type="dxa"/>
            <w:vAlign w:val="bottom"/>
          </w:tcPr>
          <w:p>
            <w:pPr>
              <w:spacing w:after="0"/>
              <w:rPr>
                <w:sz w:val="14"/>
                <w:szCs w:val="14"/>
                <w:color w:val="auto"/>
              </w:rPr>
            </w:pPr>
          </w:p>
        </w:tc>
      </w:tr>
      <w:tr>
        <w:trPr>
          <w:trHeight w:val="179"/>
        </w:trPr>
        <w:tc>
          <w:tcPr>
            <w:tcW w:w="900" w:type="dxa"/>
            <w:vAlign w:val="bottom"/>
          </w:tcPr>
          <w:p>
            <w:pPr>
              <w:spacing w:after="0"/>
              <w:rPr>
                <w:sz w:val="15"/>
                <w:szCs w:val="15"/>
                <w:color w:val="auto"/>
              </w:rPr>
            </w:pPr>
          </w:p>
        </w:tc>
        <w:tc>
          <w:tcPr>
            <w:tcW w:w="3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research and development expense</w:t>
            </w:r>
          </w:p>
        </w:tc>
        <w:tc>
          <w:tcPr>
            <w:tcW w:w="2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100,829</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125,583</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shd w:val="clear" w:color="auto" w:fill="CFF0FC"/>
          </w:tcPr>
          <w:p>
            <w:pPr>
              <w:jc w:val="right"/>
              <w:ind w:right="72"/>
              <w:spacing w:after="0" w:line="159" w:lineRule="exact"/>
              <w:rPr>
                <w:sz w:val="20"/>
                <w:szCs w:val="20"/>
                <w:color w:val="auto"/>
              </w:rPr>
            </w:pPr>
            <w:r>
              <w:rPr>
                <w:rFonts w:ascii="Times New Roman" w:cs="Times New Roman" w:eastAsia="Times New Roman" w:hAnsi="Times New Roman"/>
                <w:sz w:val="14"/>
                <w:szCs w:val="14"/>
                <w:color w:val="auto"/>
              </w:rPr>
              <w:t>24,754</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24.6%</w:t>
            </w:r>
          </w:p>
        </w:tc>
        <w:tc>
          <w:tcPr>
            <w:tcW w:w="88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76"/>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90"/>
        </w:trPr>
        <w:tc>
          <w:tcPr>
            <w:tcW w:w="9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-727075</wp:posOffset>
            </wp:positionV>
            <wp:extent cx="4699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-713740</wp:posOffset>
            </wp:positionV>
            <wp:extent cx="4699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-727075</wp:posOffset>
            </wp:positionV>
            <wp:extent cx="4699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-713740</wp:posOffset>
            </wp:positionV>
            <wp:extent cx="4699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-727075</wp:posOffset>
            </wp:positionV>
            <wp:extent cx="4000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-713740</wp:posOffset>
            </wp:positionV>
            <wp:extent cx="4000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3" w:name="page104"/>
    <w:bookmarkEnd w:id="10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Research and development expense was $100.8 million for the year ended December 31, 2024, as compared to $125.6 million for the year ended December 31, 2025. The increase of $24.8 million, or 24.6%, was primarily due to:</w:t>
      </w:r>
    </w:p>
    <w:p>
      <w:pPr>
        <w:spacing w:after="0" w:line="41" w:lineRule="exact"/>
        <w:rPr>
          <w:sz w:val="20"/>
          <w:szCs w:val="20"/>
          <w:color w:val="auto"/>
        </w:rPr>
      </w:pPr>
    </w:p>
    <w:p>
      <w:pPr>
        <w:ind w:left="1480" w:right="799" w:hanging="246"/>
        <w:spacing w:after="0" w:line="267"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external expenses for our lead product candidate, zolucatetide, of $9.2 million, which was primarily attributable to increases in fees paid to CROs, CMOs and consultants as we continued to advance zolucatetide through a Phase 1/2 clinical trial in patients with advanced solid tumors;</w:t>
      </w:r>
    </w:p>
    <w:p>
      <w:pPr>
        <w:spacing w:after="0" w:line="56" w:lineRule="exact"/>
        <w:rPr>
          <w:rFonts w:ascii="Times New Roman" w:cs="Times New Roman" w:eastAsia="Times New Roman" w:hAnsi="Times New Roman"/>
          <w:sz w:val="14"/>
          <w:szCs w:val="14"/>
          <w:color w:val="auto"/>
        </w:rPr>
      </w:pPr>
    </w:p>
    <w:p>
      <w:pPr>
        <w:ind w:left="1480" w:right="919" w:hanging="246"/>
        <w:spacing w:after="0" w:line="244"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external expenses for two of our preclinical programs, ERG and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of $2.8 million and $2.7 million, respectively, which was primarily due to increases in costs for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development studies and consulting fees;</w:t>
      </w:r>
    </w:p>
    <w:p>
      <w:pPr>
        <w:spacing w:after="0" w:line="66"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expenses of $7.8 million, which primarily was the result of an increase in headcount to support our research and development operations; and</w:t>
      </w:r>
    </w:p>
    <w:p>
      <w:pPr>
        <w:spacing w:after="0" w:line="40" w:lineRule="exact"/>
        <w:rPr>
          <w:rFonts w:ascii="Times New Roman" w:cs="Times New Roman" w:eastAsia="Times New Roman" w:hAnsi="Times New Roman"/>
          <w:sz w:val="14"/>
          <w:szCs w:val="14"/>
          <w:color w:val="auto"/>
        </w:rPr>
      </w:pPr>
    </w:p>
    <w:p>
      <w:pPr>
        <w:ind w:left="1480" w:right="979" w:hanging="246"/>
        <w:spacing w:after="0" w:line="267"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research and development expenses of $4.6 million, which was primarily due to increases in laboratory supplies, consumables, external services, and other operating costs incurred as a result of our research and development activities.</w:t>
      </w:r>
    </w:p>
    <w:p>
      <w:pPr>
        <w:spacing w:after="0" w:line="136" w:lineRule="exact"/>
        <w:rPr>
          <w:sz w:val="20"/>
          <w:szCs w:val="20"/>
          <w:color w:val="auto"/>
        </w:rPr>
      </w:pPr>
    </w:p>
    <w:p>
      <w:pPr>
        <w:jc w:val="both"/>
        <w:ind w:left="720" w:right="9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The increases were partially offset by a decrease in external expenses associated with our ß-catenin degrader program of $2.9 million, which was primarily due to a reduction in costs for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development studies and consumables during 2025.</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93" w:lineRule="exact"/>
        <w:rPr>
          <w:sz w:val="20"/>
          <w:szCs w:val="20"/>
          <w:color w:val="auto"/>
        </w:rPr>
      </w:pPr>
    </w:p>
    <w:p>
      <w:pPr>
        <w:ind w:left="720" w:right="13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summarizes our general and administrative expenses for the years presented (in thousands, except percentages):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3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40" w:type="dxa"/>
            <w:vAlign w:val="bottom"/>
            <w:tcBorders>
              <w:bottom w:val="single" w:sz="8" w:color="auto"/>
            </w:tcBorders>
          </w:tcPr>
          <w:p>
            <w:pPr>
              <w:spacing w:after="0"/>
              <w:rPr>
                <w:sz w:val="11"/>
                <w:szCs w:val="11"/>
                <w:color w:val="auto"/>
              </w:rPr>
            </w:pPr>
          </w:p>
        </w:tc>
      </w:tr>
      <w:tr>
        <w:trPr>
          <w:trHeight w:val="106"/>
        </w:trPr>
        <w:tc>
          <w:tcPr>
            <w:tcW w:w="3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31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93"/>
              <w:spacing w:after="0" w:line="106" w:lineRule="exact"/>
              <w:rPr>
                <w:sz w:val="20"/>
                <w:szCs w:val="20"/>
                <w:color w:val="auto"/>
              </w:rPr>
            </w:pPr>
            <w:r>
              <w:rPr>
                <w:rFonts w:ascii="Times New Roman" w:cs="Times New Roman" w:eastAsia="Times New Roman" w:hAnsi="Times New Roman"/>
                <w:sz w:val="11"/>
                <w:szCs w:val="11"/>
                <w:color w:val="auto"/>
              </w:rPr>
              <w:t>%</w:t>
            </w:r>
          </w:p>
        </w:tc>
      </w:tr>
      <w:tr>
        <w:trPr>
          <w:trHeight w:val="159"/>
        </w:trPr>
        <w:tc>
          <w:tcPr>
            <w:tcW w:w="3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Personnel-related expenses</w:t>
            </w:r>
          </w:p>
        </w:tc>
        <w:tc>
          <w:tcPr>
            <w:tcW w:w="1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11,545</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11,640</w:t>
            </w:r>
          </w:p>
        </w:tc>
        <w:tc>
          <w:tcPr>
            <w:tcW w:w="26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0.8%</w:t>
            </w:r>
          </w:p>
        </w:tc>
      </w:tr>
      <w:tr>
        <w:trPr>
          <w:trHeight w:val="16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and consulting fees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6,919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7,316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397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7,540</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708</w:t>
            </w: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59"/>
        </w:trPr>
        <w:tc>
          <w:tcPr>
            <w:tcW w:w="34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general and administrative expense</w:t>
            </w:r>
          </w:p>
        </w:tc>
        <w:tc>
          <w:tcPr>
            <w:tcW w:w="12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25,296</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26,496</w:t>
            </w:r>
          </w:p>
        </w:tc>
        <w:tc>
          <w:tcPr>
            <w:tcW w:w="26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1,200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-132715</wp:posOffset>
            </wp:positionV>
            <wp:extent cx="4699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-132715</wp:posOffset>
            </wp:positionV>
            <wp:extent cx="4699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-132715</wp:posOffset>
            </wp:positionV>
            <wp:extent cx="4000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General and administrative expense was $25.3 million for the year ended December 31, 2024, as compared to $26.5 million for the year ended December 31, 2025. The increase of $1.2 million, or 4.7%, was primarily due to:</w:t>
      </w:r>
    </w:p>
    <w:p>
      <w:pPr>
        <w:spacing w:after="0" w:line="41" w:lineRule="exact"/>
        <w:rPr>
          <w:sz w:val="20"/>
          <w:szCs w:val="20"/>
          <w:color w:val="auto"/>
        </w:rPr>
      </w:pPr>
    </w:p>
    <w:p>
      <w:pPr>
        <w:ind w:left="1480" w:right="739" w:hanging="246"/>
        <w:spacing w:after="0" w:line="283" w:lineRule="auto"/>
        <w:tabs>
          <w:tab w:leader="none" w:pos="14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and consulting fees of $0.4 million, which primarily was the result of additional external costs required to support our growing operations; and</w:t>
      </w:r>
    </w:p>
    <w:p>
      <w:pPr>
        <w:spacing w:after="0" w:line="40" w:lineRule="exact"/>
        <w:rPr>
          <w:rFonts w:ascii="Times New Roman" w:cs="Times New Roman" w:eastAsia="Times New Roman" w:hAnsi="Times New Roman"/>
          <w:sz w:val="14"/>
          <w:szCs w:val="14"/>
          <w:color w:val="auto"/>
        </w:rPr>
      </w:pPr>
    </w:p>
    <w:p>
      <w:pPr>
        <w:ind w:left="1480" w:right="1019" w:hanging="246"/>
        <w:spacing w:after="0" w:line="283" w:lineRule="auto"/>
        <w:tabs>
          <w:tab w:leader="none" w:pos="14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general and administrative expenses of $0.7 million, which was primarily driven by increases in information technology costs.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3" w:lineRule="exact"/>
        <w:rPr>
          <w:sz w:val="20"/>
          <w:szCs w:val="20"/>
          <w:color w:val="auto"/>
        </w:rPr>
      </w:pPr>
    </w:p>
    <w:p>
      <w:pPr>
        <w:ind w:left="720" w:right="1159" w:firstLine="343"/>
        <w:spacing w:after="0" w:line="267" w:lineRule="auto"/>
        <w:rPr>
          <w:sz w:val="20"/>
          <w:szCs w:val="20"/>
          <w:color w:val="auto"/>
        </w:rPr>
      </w:pPr>
      <w:r>
        <w:rPr>
          <w:rFonts w:ascii="Times New Roman" w:cs="Times New Roman" w:eastAsia="Times New Roman" w:hAnsi="Times New Roman"/>
          <w:sz w:val="14"/>
          <w:szCs w:val="14"/>
          <w:color w:val="auto"/>
        </w:rPr>
        <w:t>Interest income was $6.4 million for the year ended December 31, 2024, as compared to $3.4 million for the year ended December 31, 2025. The decrease of $3.0 million, or 47.2%, was due to decreases in our cash, cash equivalents and marketable securities balances and decreases in yields.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3" w:lineRule="exact"/>
        <w:rPr>
          <w:sz w:val="20"/>
          <w:szCs w:val="20"/>
          <w:color w:val="auto"/>
        </w:rPr>
      </w:pPr>
    </w:p>
    <w:p>
      <w:pPr>
        <w:ind w:left="720" w:right="1019" w:firstLine="343"/>
        <w:spacing w:after="0" w:line="267" w:lineRule="auto"/>
        <w:rPr>
          <w:sz w:val="20"/>
          <w:szCs w:val="20"/>
          <w:color w:val="auto"/>
        </w:rPr>
      </w:pPr>
      <w:r>
        <w:rPr>
          <w:rFonts w:ascii="Times New Roman" w:cs="Times New Roman" w:eastAsia="Times New Roman" w:hAnsi="Times New Roman"/>
          <w:sz w:val="14"/>
          <w:szCs w:val="14"/>
          <w:color w:val="auto"/>
        </w:rPr>
        <w:t>Interest expense was $1.5 million for each of the years ended December 31, 2024 and 2025. Interest expense on our finance leases that were entered into in September through December 2024 increased $0.2 million, which was offset by a $0.2 million decrease of interest expense on our term loan, which matures in October 2026.</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Sublease Income - Related Party</w:t>
      </w:r>
    </w:p>
    <w:p>
      <w:pPr>
        <w:spacing w:after="0" w:line="93" w:lineRule="exact"/>
        <w:rPr>
          <w:sz w:val="20"/>
          <w:szCs w:val="20"/>
          <w:color w:val="auto"/>
        </w:rPr>
      </w:pPr>
    </w:p>
    <w:p>
      <w:pPr>
        <w:ind w:left="720" w:right="1159" w:firstLine="343"/>
        <w:spacing w:after="0" w:line="283" w:lineRule="auto"/>
        <w:rPr>
          <w:sz w:val="20"/>
          <w:szCs w:val="20"/>
          <w:color w:val="auto"/>
        </w:rPr>
      </w:pPr>
      <w:r>
        <w:rPr>
          <w:rFonts w:ascii="Times New Roman" w:cs="Times New Roman" w:eastAsia="Times New Roman" w:hAnsi="Times New Roman"/>
          <w:sz w:val="14"/>
          <w:szCs w:val="14"/>
          <w:color w:val="auto"/>
        </w:rPr>
        <w:t>Sublease income – related party was $4.2 million for each of the years ended December 31, 2024 and 2025. The sublease expired in December 2025.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4" w:name="page105"/>
    <w:bookmarkEnd w:id="10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Change in Fair Value of Preferred Stock Tranche Right Liability</w:t>
      </w:r>
    </w:p>
    <w:p>
      <w:pPr>
        <w:spacing w:after="0" w:line="93" w:lineRule="exact"/>
        <w:rPr>
          <w:sz w:val="20"/>
          <w:szCs w:val="20"/>
          <w:color w:val="auto"/>
        </w:rPr>
      </w:pPr>
    </w:p>
    <w:p>
      <w:pPr>
        <w:jc w:val="both"/>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Change in fair value of preferred stock tranche right liability for the year ended December 31, 2024 consisted of an increase in the fair value of the liability of $1.0 million. In January 2025, the preferred stock tranche right was settled. No change in fair value of the related liability was recognized during the year ended December 31, 2025 prior to settlement.</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Other income remained consistent at $0.1 million for each of the years ended December 31, 2024 and 2025.</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3"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Since our inception, we have incurred significant losses. We have not yet commercialized any of our product candidates, which are in clinical or preclinical development, and we do not expect to generate any revenue from product sales unless and until we successfully complete development and obtain regulatory approval for one or more of our product candidates, which may not occur for several years, if at all.</w:t>
      </w:r>
    </w:p>
    <w:p>
      <w:pPr>
        <w:spacing w:after="0" w:line="141"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To date, we have funded our operations primarily with proceeds from sales of our convertible preferred stock, borrowings under a term loan, and issuance of a SAFE. As of March 31, 2026, we received aggregate gross cash proceeds of $876.8 million, including $811.8 million from sales of our convertible preferred stock, $15.0 million from borrowings under our term loan and $50.0 million from the issuance of a SAFE. In May 2026, we entered into a license and collaboration agreement with Regeneron, and in connection therewith, we will receive a non-refundable upfront payment in the amount of $50.0 million. In addition, Regeneron has agreed to purchase $75.0 million of our common stock in the concurrent private placement or our next equity financing.</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Comparison of the three months ended March 31, 2025 and 2026</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periods presented (in thousands, except percentages):</w:t>
      </w:r>
    </w:p>
    <w:p>
      <w:pPr>
        <w:spacing w:after="0" w:line="17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2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Borders>
              <w:bottom w:val="single" w:sz="8" w:color="auto"/>
            </w:tcBorders>
          </w:tcPr>
          <w:p>
            <w:pPr>
              <w:jc w:val="right"/>
              <w:ind w:right="33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33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93"/>
              <w:spacing w:after="0" w:line="10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8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cash (used in) provided by:</w:t>
            </w:r>
          </w:p>
        </w:tc>
        <w:tc>
          <w:tcPr>
            <w:tcW w:w="520" w:type="dxa"/>
            <w:vAlign w:val="bottom"/>
            <w:tcBorders>
              <w:right w:val="single" w:sz="8" w:color="CFF0FC"/>
            </w:tcBorders>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68"/>
        </w:trPr>
        <w:tc>
          <w:tcPr>
            <w:tcW w:w="2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520" w:type="dxa"/>
            <w:vAlign w:val="bottom"/>
            <w:tcBorders>
              <w:right w:val="single" w:sz="8" w:color="CFF0FC"/>
            </w:tcBorders>
            <w:shd w:val="clear" w:color="auto" w:fill="CFF0FC"/>
          </w:tcPr>
          <w:p>
            <w:pPr>
              <w:spacing w:after="0"/>
              <w:rPr>
                <w:sz w:val="14"/>
                <w:szCs w:val="14"/>
                <w:color w:val="auto"/>
              </w:rPr>
            </w:pP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6,689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520" w:type="dxa"/>
            <w:vAlign w:val="bottom"/>
          </w:tcPr>
          <w:p>
            <w:pPr>
              <w:spacing w:after="0"/>
              <w:rPr>
                <w:sz w:val="14"/>
                <w:szCs w:val="14"/>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67,289</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350,897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283,608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0" w:type="dxa"/>
            <w:vAlign w:val="bottom"/>
          </w:tcPr>
          <w:p>
            <w:pPr>
              <w:spacing w:after="0"/>
              <w:rPr>
                <w:sz w:val="1"/>
                <w:szCs w:val="1"/>
                <w:color w:val="auto"/>
              </w:rPr>
            </w:pPr>
          </w:p>
        </w:tc>
      </w:tr>
      <w:tr>
        <w:trPr>
          <w:trHeight w:val="144"/>
        </w:trPr>
        <w:tc>
          <w:tcPr>
            <w:tcW w:w="2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increase in cash, cash equivalents and</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39,824</w:t>
            </w:r>
          </w:p>
        </w:tc>
        <w:tc>
          <w:tcPr>
            <w:tcW w:w="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301,328</w:t>
            </w:r>
          </w:p>
        </w:tc>
        <w:tc>
          <w:tcPr>
            <w:tcW w:w="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261,504</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00"/>
              <w:spacing w:after="0" w:line="151" w:lineRule="exact"/>
              <w:rPr>
                <w:sz w:val="20"/>
                <w:szCs w:val="20"/>
                <w:color w:val="auto"/>
              </w:rPr>
            </w:pPr>
            <w:r>
              <w:rPr>
                <w:rFonts w:ascii="Times New Roman" w:cs="Times New Roman" w:eastAsia="Times New Roman" w:hAnsi="Times New Roman"/>
                <w:sz w:val="14"/>
                <w:szCs w:val="14"/>
                <w:color w:val="auto"/>
              </w:rPr>
              <w:t>restricted cash</w:t>
            </w:r>
          </w:p>
        </w:tc>
        <w:tc>
          <w:tcPr>
            <w:tcW w:w="520" w:type="dxa"/>
            <w:vAlign w:val="bottom"/>
            <w:tcBorders>
              <w:right w:val="single" w:sz="8" w:color="CFF0FC"/>
            </w:tcBorders>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656.6%</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-19685</wp:posOffset>
            </wp:positionV>
            <wp:extent cx="469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-6350</wp:posOffset>
            </wp:positionV>
            <wp:extent cx="4699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-19685</wp:posOffset>
            </wp:positionV>
            <wp:extent cx="4699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-6350</wp:posOffset>
            </wp:positionV>
            <wp:extent cx="4699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-19685</wp:posOffset>
            </wp:positionV>
            <wp:extent cx="4699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-6350</wp:posOffset>
            </wp:positionV>
            <wp:extent cx="4699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66675</wp:posOffset>
            </wp:positionV>
            <wp:extent cx="64071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Helicon platform, drug discovery and development efforts and related infrastructure. The cash used in operating activities resulted primarily from our net losses adjusted for non-cash charges, which are generally due to stock-based compensation, depreciation and amortization and non-cash lease expense, as well as changes in components of operating assets and liabilities, which are generally due to increased expenses and timing of vendor payments.</w:t>
      </w:r>
    </w:p>
    <w:p>
      <w:pPr>
        <w:spacing w:after="0" w:line="14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For the three months ended March 31, 2025, net cash used in operating activities was $34.2 million, primarily due to a net loss of $38.3 million, which was offset by net non-cash expenses of $3.3 million and changes in operating assets and liabilities. The changes in operating assets and liabilities were primarily driven by an increase in accounts payable, accrued expenses and other liabilities of $3.4 million, partially offset by a decrease in operating lease liabilities of $1.5 million and an increase in prepaid expenses and other assets of $1.1 million.</w:t>
      </w:r>
    </w:p>
    <w:p>
      <w:pPr>
        <w:spacing w:after="0" w:line="144" w:lineRule="exact"/>
        <w:rPr>
          <w:sz w:val="20"/>
          <w:szCs w:val="20"/>
          <w:color w:val="auto"/>
        </w:rPr>
      </w:pPr>
    </w:p>
    <w:p>
      <w:pPr>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For the three months ended March 31, 2026, net cash used in operating activities was $49.2 million, primarily due to a net loss of $45.3 million and changes in operating assets and liabilities, which was offset by net non-cash expenses of $3.6 million. The changes in operating assets and liabilities were primarily driven by a decrease in accounts payable, accrued expenses and other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5" w:name="page106"/>
    <w:bookmarkEnd w:id="10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39"/>
        <w:spacing w:after="0" w:line="283" w:lineRule="auto"/>
        <w:rPr>
          <w:sz w:val="20"/>
          <w:szCs w:val="20"/>
          <w:color w:val="auto"/>
        </w:rPr>
      </w:pPr>
      <w:r>
        <w:rPr>
          <w:rFonts w:ascii="Times New Roman" w:cs="Times New Roman" w:eastAsia="Times New Roman" w:hAnsi="Times New Roman"/>
          <w:sz w:val="14"/>
          <w:szCs w:val="14"/>
          <w:color w:val="auto"/>
        </w:rPr>
        <w:t>liabilities of $3.2 million, a decrease in operating lease liabilities of $1.7 million and an increase in prepaid expenses and other assets of $2.8 million.</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3" w:lineRule="exact"/>
        <w:rPr>
          <w:sz w:val="20"/>
          <w:szCs w:val="20"/>
          <w:color w:val="auto"/>
        </w:rPr>
      </w:pPr>
    </w:p>
    <w:p>
      <w:pPr>
        <w:ind w:left="720" w:right="1039" w:firstLine="343"/>
        <w:spacing w:after="0" w:line="267" w:lineRule="auto"/>
        <w:rPr>
          <w:sz w:val="20"/>
          <w:szCs w:val="20"/>
          <w:color w:val="auto"/>
        </w:rPr>
      </w:pPr>
      <w:r>
        <w:rPr>
          <w:rFonts w:ascii="Times New Roman" w:cs="Times New Roman" w:eastAsia="Times New Roman" w:hAnsi="Times New Roman"/>
          <w:sz w:val="14"/>
          <w:szCs w:val="14"/>
          <w:color w:val="auto"/>
        </w:rPr>
        <w:t>During the three months ended March 31, 2025, net cash provided by investing activities was $6.7 million, which primarily consisted of maturities of marketable securities of $23.4 million, partially offset by purchases of marketable securities of $16.7 million.</w:t>
      </w:r>
    </w:p>
    <w:p>
      <w:pPr>
        <w:spacing w:after="0" w:line="136"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During the three months ended March 31, 2026, net cash used in investing activities was $0.4 million which was attributable to purchases of property and equipment.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3" w:lineRule="exact"/>
        <w:rPr>
          <w:sz w:val="20"/>
          <w:szCs w:val="20"/>
          <w:color w:val="auto"/>
        </w:rPr>
      </w:pPr>
    </w:p>
    <w:p>
      <w:pPr>
        <w:ind w:left="720" w:right="939" w:firstLine="343"/>
        <w:spacing w:after="0" w:line="267" w:lineRule="auto"/>
        <w:rPr>
          <w:sz w:val="20"/>
          <w:szCs w:val="20"/>
          <w:color w:val="auto"/>
        </w:rPr>
      </w:pPr>
      <w:r>
        <w:rPr>
          <w:rFonts w:ascii="Times New Roman" w:cs="Times New Roman" w:eastAsia="Times New Roman" w:hAnsi="Times New Roman"/>
          <w:sz w:val="14"/>
          <w:szCs w:val="14"/>
          <w:color w:val="auto"/>
        </w:rPr>
        <w:t>During the three months ended March 31, 2025, net cash provided by financing activities was $67.3 million, which primarily consisted of gross proceeds from the issuance of our Series E convertible preferred stock and the settlement of a related preferred stock tranche right of $67.5 million.</w:t>
      </w:r>
    </w:p>
    <w:p>
      <w:pPr>
        <w:spacing w:after="0" w:line="136" w:lineRule="exact"/>
        <w:rPr>
          <w:sz w:val="20"/>
          <w:szCs w:val="20"/>
          <w:color w:val="auto"/>
        </w:rPr>
      </w:pPr>
    </w:p>
    <w:p>
      <w:pPr>
        <w:jc w:val="both"/>
        <w:ind w:left="720" w:right="879" w:firstLine="343"/>
        <w:spacing w:after="0" w:line="267" w:lineRule="auto"/>
        <w:rPr>
          <w:sz w:val="20"/>
          <w:szCs w:val="20"/>
          <w:color w:val="auto"/>
        </w:rPr>
      </w:pPr>
      <w:r>
        <w:rPr>
          <w:rFonts w:ascii="Times New Roman" w:cs="Times New Roman" w:eastAsia="Times New Roman" w:hAnsi="Times New Roman"/>
          <w:sz w:val="14"/>
          <w:szCs w:val="14"/>
          <w:color w:val="auto"/>
        </w:rPr>
        <w:t>During the three months ended March 31, 2026, net cash provided by financing activities was $350.9 million, which primarily consisted of gross proceeds from the issuance of our Series F convertible preferred stock of $305.2 million and gross proceeds from the issuance of a SAFE of $50.0 million, partially offset by principal payments on our term loan of $3.8 million.</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2025</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years presented (in thousands, except percentages):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3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33"/>
              <w:spacing w:after="0" w:line="10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cash (used in) provided by:</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(103,613)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(20,100)</w:t>
            </w:r>
          </w:p>
        </w:tc>
        <w:tc>
          <w:tcPr>
            <w:tcW w:w="22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68"/>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30,242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39,758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9,516</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68"/>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78,068</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64,382</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(13,686)</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4"/>
        </w:trPr>
        <w:tc>
          <w:tcPr>
            <w:tcW w:w="30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increase (decrease) in cash, cash equivalents</w:t>
            </w:r>
          </w:p>
        </w:tc>
        <w:tc>
          <w:tcPr>
            <w:tcW w:w="4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4,697</w:t>
            </w:r>
          </w:p>
        </w:tc>
        <w:tc>
          <w:tcPr>
            <w:tcW w:w="2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(19,573)</w:t>
            </w:r>
          </w:p>
        </w:tc>
        <w:tc>
          <w:tcPr>
            <w:tcW w:w="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FF0FC"/>
            </w:tcBorders>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(24,270)</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00"/>
              <w:spacing w:after="0" w:line="151" w:lineRule="exact"/>
              <w:rPr>
                <w:sz w:val="20"/>
                <w:szCs w:val="20"/>
                <w:color w:val="auto"/>
              </w:rPr>
            </w:pPr>
            <w:r>
              <w:rPr>
                <w:rFonts w:ascii="Times New Roman" w:cs="Times New Roman" w:eastAsia="Times New Roman" w:hAnsi="Times New Roman"/>
                <w:sz w:val="14"/>
                <w:szCs w:val="14"/>
                <w:color w:val="auto"/>
              </w:rPr>
              <w:t>and restricted cash</w:t>
            </w:r>
          </w:p>
        </w:tc>
        <w:tc>
          <w:tcPr>
            <w:tcW w:w="46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33"/>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-19685</wp:posOffset>
            </wp:positionV>
            <wp:extent cx="4699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-6350</wp:posOffset>
            </wp:positionV>
            <wp:extent cx="4699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-19685</wp:posOffset>
            </wp:positionV>
            <wp:extent cx="469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-6350</wp:posOffset>
            </wp:positionV>
            <wp:extent cx="4699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-19685</wp:posOffset>
            </wp:positionV>
            <wp:extent cx="4000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-6350</wp:posOffset>
            </wp:positionV>
            <wp:extent cx="400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66675</wp:posOffset>
            </wp:positionV>
            <wp:extent cx="64071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Helicon platform, drug discovery and development efforts and related infrastructure. The cash used in operating activities resulted primarily from our net losses adjusted for non-cash charges, which are generally due to stock-based compensation, depreciation and amortization and non-cash lease expense, as well as changes in components of operating assets and liabilities, which are generally due to increased expenses and timing of vendor payments.</w:t>
      </w:r>
    </w:p>
    <w:p>
      <w:pPr>
        <w:spacing w:after="0" w:line="14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2024, net cash used in operating activities was $103.6 million, primarily due to a net loss of $117.9 million, which was offset by net non-cash expenses of $13.4 million and changes in operating assets and liabilities. The changes in operating assets and liabilities were primarily driven by an increase in accounts payable, accrued expenses and other liabilities of $9.3 million, partially offset by a decrease in operating lease liabilities of $5.5 million and an increase in prepaid expenses and other assets of $2.5 million.</w:t>
      </w:r>
    </w:p>
    <w:p>
      <w:pPr>
        <w:spacing w:after="0" w:line="144" w:lineRule="exact"/>
        <w:rPr>
          <w:sz w:val="20"/>
          <w:szCs w:val="20"/>
          <w:color w:val="auto"/>
        </w:rPr>
      </w:pPr>
    </w:p>
    <w:p>
      <w:pPr>
        <w:ind w:left="720" w:right="919" w:firstLine="343"/>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net cash used in operating activities was $123.7 million, primarily due to a net loss of $145.9 million, which was offset by net non-cash expenses of $13.1 million and changes in operating assets and liabilities. The changes in operating assets and liabilities were primarily driven by an increase in accounts payable, accrued expenses and other liabilities of $13.6 million, partially offset by a decrease in operating lease liabilities of $6.3 million.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6" w:name="page107"/>
    <w:bookmarkEnd w:id="10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3" w:lineRule="exact"/>
        <w:rPr>
          <w:sz w:val="20"/>
          <w:szCs w:val="20"/>
          <w:color w:val="auto"/>
        </w:rPr>
      </w:pPr>
    </w:p>
    <w:p>
      <w:pPr>
        <w:ind w:left="720" w:right="111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2024, net cash provided by investing activities was $30.2 million, which primarily consisted of maturities of marketable securities of $122.0 million, partially offset by purchases of marketable securities of $90.9 million.</w:t>
      </w:r>
    </w:p>
    <w:p>
      <w:pPr>
        <w:spacing w:after="0" w:line="136" w:lineRule="exact"/>
        <w:rPr>
          <w:sz w:val="20"/>
          <w:szCs w:val="20"/>
          <w:color w:val="auto"/>
        </w:rPr>
      </w:pPr>
    </w:p>
    <w:p>
      <w:pPr>
        <w:jc w:val="both"/>
        <w:ind w:left="720" w:right="117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2025, net cash provided by investing activities was $39.8 million, which primarily consisted of maturities of marketable securities of $56.7 million, partially offset by purchases of marketable securities of $16.7 million.</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3" w:lineRule="exact"/>
        <w:rPr>
          <w:sz w:val="20"/>
          <w:szCs w:val="20"/>
          <w:color w:val="auto"/>
        </w:rPr>
      </w:pPr>
    </w:p>
    <w:p>
      <w:pPr>
        <w:jc w:val="both"/>
        <w:ind w:left="720" w:right="115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2024, net cash provided by financing activities was $78.1 million, which primarily consisted of gross proceeds from issuance of our Series E convertible preferred stock and preferred stock tranche right of $77.5 million and proceeds from the exercise of stock options of $1.1 million.</w:t>
      </w:r>
    </w:p>
    <w:p>
      <w:pPr>
        <w:spacing w:after="0" w:line="136"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2025, net cash provided by financing activities was $64.4 million, which primarily consisted of gross proceeds from issuance of our Series E convertible preferred stock and settlement of related preferred stock tranche right of $67.5 million, partially offset by principal payments on our term loan of $2.5 million.</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We have not generated any revenue. We do not expect to generate any revenue from product sales unless and until we successfully complete development and obtain regulatory approval for one or more of our product candidates, which may not occur for several years, if at all. We expect our expenses to increase substantially in connection with our ongoing activities, particularly as we continue preclinical activities and studies, advance ongoing clinical trials of our product candidates and conduct future clinical trials. In addition, if we obtain regulatory approval for any of our product candidates, we expect to incur significant expenses related to product sales, marketing, and distribution to the extent that such sales, marketing and distribution are not the responsibility of potential collaborators. Further, upon the completion of this offering, we expect to incur additional costs associated with operating as a public company. The timing and amount of our operating expenditures will depend largely on the factors set out above.</w:t>
      </w:r>
    </w:p>
    <w:p>
      <w:pPr>
        <w:spacing w:after="0" w:line="145"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and certain services. We do not believe that inflation had a material effect on our consolidated financial statements included elsewhere in this prospectus.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w:t>
      </w:r>
    </w:p>
    <w:p>
      <w:pPr>
        <w:spacing w:after="0" w:line="141"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As of March 31, 2026, we had total cash and cash equivalents of $329.0 million. We believe that our existing cash and cash equivalents, together with the anticipated net proceeds from this offering and the concurrent private placement and the upfront payment of $50.0 million we will receive from Regeneron, will enable us to fund our operating expenses and capital expenditure requirements through         . We have based this estimate on assumptions that may prove to be wrong, and we could exhaust our available capital resources sooner than we expect. Even if this offering and the concurrent private placement are successful, we will require additional funding in order to finance operations and complete our ongoing and planned clinical trials. Access to such funding on acceptable terms cannot be assured.</w:t>
      </w:r>
    </w:p>
    <w:p>
      <w:pPr>
        <w:spacing w:after="0" w:line="144"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60" w:lineRule="exact"/>
        <w:rPr>
          <w:sz w:val="20"/>
          <w:szCs w:val="20"/>
          <w:color w:val="auto"/>
        </w:rPr>
      </w:pPr>
    </w:p>
    <w:p>
      <w:pPr>
        <w:ind w:left="1480" w:hanging="246"/>
        <w:spacing w:after="0"/>
        <w:tabs>
          <w:tab w:leader="none" w:pos="1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results and costs of, discovery and preclinical studies for our programs and development candidates;</w:t>
      </w:r>
    </w:p>
    <w:p>
      <w:pPr>
        <w:spacing w:after="0" w:line="91"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our clinical-stage product candidates into later-stage trials, which we expect will be required in order to seek marketing approval of our product candidates;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maintaining and improving our Helicon platform;</w:t>
      </w:r>
    </w:p>
    <w:p>
      <w:pPr>
        <w:spacing w:after="0" w:line="91" w:lineRule="exact"/>
        <w:rPr>
          <w:rFonts w:ascii="Times New Roman" w:cs="Times New Roman" w:eastAsia="Times New Roman" w:hAnsi="Times New Roman"/>
          <w:sz w:val="14"/>
          <w:szCs w:val="14"/>
          <w:color w:val="auto"/>
        </w:rPr>
      </w:pPr>
    </w:p>
    <w:p>
      <w:pPr>
        <w:ind w:left="1480" w:right="759" w:hanging="246"/>
        <w:spacing w:after="0" w:line="267" w:lineRule="auto"/>
        <w:tabs>
          <w:tab w:leader="none" w:pos="1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7" w:name="page108"/>
    <w:bookmarkEnd w:id="10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1079" w:hanging="246"/>
        <w:spacing w:after="0" w:line="283" w:lineRule="auto"/>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seek regulatory and marketing approvals for any of our product candidates that successfully complete clinical trials;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in-licensing products, product candidates or technologies or intellectual property;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maintaining, expanding, enforcing, defending and protecting our intellectual property;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clinical, quality control, manufacturing and other scientific personnel;</w:t>
      </w:r>
    </w:p>
    <w:p>
      <w:pPr>
        <w:spacing w:after="0" w:line="91" w:lineRule="exact"/>
        <w:rPr>
          <w:rFonts w:ascii="Times New Roman" w:cs="Times New Roman" w:eastAsia="Times New Roman" w:hAnsi="Times New Roman"/>
          <w:sz w:val="14"/>
          <w:szCs w:val="14"/>
          <w:color w:val="auto"/>
        </w:rPr>
      </w:pPr>
    </w:p>
    <w:p>
      <w:pPr>
        <w:ind w:left="1480" w:right="1299" w:hanging="246"/>
        <w:spacing w:after="0" w:line="283" w:lineRule="auto"/>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current or future product candidate is approved; and</w:t>
      </w:r>
    </w:p>
    <w:p>
      <w:pPr>
        <w:spacing w:after="0" w:line="40"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making any milestone, royalty or other payments under any existing collaboration or license agreements or any that we enter into.</w:t>
      </w:r>
    </w:p>
    <w:p>
      <w:pPr>
        <w:spacing w:after="0" w:line="125"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44"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reduce or eliminate one or more of our research and development programs or other operations.</w:t>
      </w:r>
    </w:p>
    <w:p>
      <w:pPr>
        <w:spacing w:after="0" w:line="144"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Adequate additional funds may not be available to us on acceptable terms, or at all. We do not currently have any committed external source of funds. To the extent that we raise additional capital through the sale of equity or issuance of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your ownership interest. If we raise additional funds through strategic collaborations or licensing arrangements with third parties, we may have to relinquish valuable rights to our technologies, future revenue streams, research programs or development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development product candidates to third parties that we would otherwise prefer to develop and market ourselves.</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93"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We lease office, research and manufacturing space in Cambridge, Massachusetts under a non-cancelable operating lease that expires in February 2031, as well as space at a vivarium facility under a non-cancelable operating lease that expires in December 2027. We also entered into finance lease agreements for laboratory equipment. Future minimum commitments under these leases are $55.0 million as of December 31, 2025. These commitments are also recognized as operating lease liabilities and finance lease liabilities, respectively, on our consolidated balance sheets. Refer to Note 10 in our audited consolidated financial statements appearing elsewhere in this prospectus for more information on our lease obligations.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93"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September 2021, we entered into a Loan and Security Agreement with Silicon Valley Bank, which was subsequently amended (the “Loan Agreement”), under which we borrowed $15.0 million. The term loan bears interest at a floating rate equal to the greater of (i) 6.75% and (ii) the prime rate plus a margin; provided that the interest rate will not exceed 6.75%. The amounts borrowed under the Loan Agreement are scheduled to mature on October 1, 2026. After triggering an interest-only extension upon the sale of our Series E convertible preferred stock in January 2025, we began paying principal in 12 equal monthly payments of approximately $1.3 million each on November 1, 2025. In addition, we will also be required to pay final payment fees of approximately $0.8 million, due upon (a) the term loan maturity date, (b) the repayment of the term loan in full, (c) as required pursuant to permitted prepayment or mandatory prepayment upon an acceleration, or (d) the termination of the Loan Agreement. As of March 31, 2026, $8.8 million of total principal remained outstanding under the Loan Agreement. Refer to Note 9 in our audited consolidated financial statements and Note 9 to our unaudited condensed consolidated financial statements appearing elsewhere in this prospectus for more information on our term loan.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8" w:name="page109"/>
    <w:bookmarkEnd w:id="10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Harvard License Agreement</w:t>
      </w:r>
    </w:p>
    <w:p>
      <w:pPr>
        <w:spacing w:after="0" w:line="93" w:lineRule="exact"/>
        <w:rPr>
          <w:sz w:val="20"/>
          <w:szCs w:val="20"/>
          <w:color w:val="auto"/>
        </w:rPr>
      </w:pPr>
    </w:p>
    <w:p>
      <w:pPr>
        <w:ind w:left="720" w:right="939" w:firstLine="343"/>
        <w:spacing w:after="0" w:line="267" w:lineRule="auto"/>
        <w:rPr>
          <w:sz w:val="20"/>
          <w:szCs w:val="20"/>
          <w:color w:val="auto"/>
        </w:rPr>
      </w:pPr>
      <w:r>
        <w:rPr>
          <w:rFonts w:ascii="Times New Roman" w:cs="Times New Roman" w:eastAsia="Times New Roman" w:hAnsi="Times New Roman"/>
          <w:sz w:val="14"/>
          <w:szCs w:val="14"/>
          <w:color w:val="auto"/>
        </w:rPr>
        <w:t>In August 2017, we entered into a license agreement, as amended (the “Harvard License”), with the President and Fellows of Harvard College (“Harvard”), to obtain a worldwide, exclusive, royalty-bearing license to certain intellectual property which was developed by our founder.</w:t>
      </w:r>
    </w:p>
    <w:p>
      <w:pPr>
        <w:spacing w:after="0" w:line="136"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Under the terms of the Harvard License, we are required to make payments to Harvard upon the achievement of certain development, regulatory and sales milestones up to an aggregate of $18.3 million, as well as future royalty payments, based on a percentage of aggregate net sales ranging in the low single digits. In addition, we are required to make payments to Harvard for non-royalty income received under sublicenses or strategic partnerships with third parties, with the applicable payment based on the stage of development of the first licensed product at the time we enter into such agreement (before or after enrollment of the first patient in a Phase 2 clinical study of a licensed product), ranging from a single-digit percentage to a mid-teens percentage. We are also required to pay an annual maintenance fee for the duration of the Harvard License, which can be credited against future royalty payments. As of March 31, 2026, we have achieved milestones totaling $0.3 million under the Harvard License. For a more detailed description of this agreement, see the section of this prospectus titled “</w:t>
      </w:r>
      <w:r>
        <w:rPr>
          <w:rFonts w:ascii="Times New Roman" w:cs="Times New Roman" w:eastAsia="Times New Roman" w:hAnsi="Times New Roman"/>
          <w:sz w:val="14"/>
          <w:szCs w:val="14"/>
          <w:i w:val="1"/>
          <w:iCs w:val="1"/>
          <w:color w:val="auto"/>
        </w:rPr>
        <w:t>Business—License and Collaboration Agreements</w:t>
      </w:r>
      <w:r>
        <w:rPr>
          <w:rFonts w:ascii="Times New Roman" w:cs="Times New Roman" w:eastAsia="Times New Roman" w:hAnsi="Times New Roman"/>
          <w:sz w:val="14"/>
          <w:szCs w:val="14"/>
          <w:color w:val="auto"/>
        </w:rPr>
        <w:t>.”</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Purchase and Other Obligations</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third-party CROs, CMOs and other third-party vendors for preclinical, clinical trials and testing and manufacturing services. These contracts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License and Collaboration Agreements</w:t>
      </w:r>
    </w:p>
    <w:p>
      <w:pPr>
        <w:spacing w:after="0" w:line="177"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Below is a summary of the key terms of our license and collaboration agreements. For more information on our research collaboration agreement with ARTBIO, Inc. (“ARTBIO”), refer to Note 12 to our audited consolidated financial statements and Note 12 to our unaudited condensed consolidated financial statements included elsewhere in this prospectus. For more information on our license and collaboration agreement with Regeneron, see the section of this prospectus titled </w:t>
      </w:r>
      <w:r>
        <w:rPr>
          <w:rFonts w:ascii="Times New Roman" w:cs="Times New Roman" w:eastAsia="Times New Roman" w:hAnsi="Times New Roman"/>
          <w:sz w:val="14"/>
          <w:szCs w:val="14"/>
          <w:i w:val="1"/>
          <w:iCs w:val="1"/>
          <w:color w:val="auto"/>
        </w:rPr>
        <w:t>“Business—License and Collaboration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ARTBIO Collaboration Agreement</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In May 2024, we entered into a research collaboration agreement with ARTBIO, to co-develop multiple Helicon-enabled alpha particle radioligand therapies for the treatment of cancer. Under the terms of this agreement, we are responsible for equally participating on joint committees and carrying out at least four research programs with respect to each collaboration target. We and ARTBIO share in the costs of the research programs equally, with ARTBIO responsible for the first $10.0 million of development costs incurred by both parties, and we are responsible for the second $10.0 million of development costs incurred by both parties. Any further development costs beyond these initial funding amounts will be shared equally by both parties. Upon later regulatory approval and commercialization of related product(s), the parties will share equally in all net profits or losses. The agreement expires upon (i) the date on which products arising from the collaboration are no longer commercialized or developed for commercialization, or (ii) termination by one or both parties. As of March 31, 2026, we have incurred $5.0 million of development costs under the collaboration arrangement, which have been reimbursed by ARTBIO.</w:t>
      </w:r>
    </w:p>
    <w:p>
      <w:pPr>
        <w:spacing w:after="0" w:line="146"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Under certain circumstances, either party can terminate the agreement, or opt out of further participation in any research programs, and we may be obligated to refund amounts received during the initial funding periods to ARTBIO, such that the total costs incurred through the effective date of termination would be shared equally. As of March 31, 2026, we have recorded a liability of $2.7 million representing fifty percent of the total costs incurred by both parties.</w:t>
      </w:r>
    </w:p>
    <w:p>
      <w:pPr>
        <w:spacing w:after="0" w:line="141" w:lineRule="exact"/>
        <w:rPr>
          <w:sz w:val="20"/>
          <w:szCs w:val="20"/>
          <w:color w:val="auto"/>
        </w:rPr>
      </w:pPr>
    </w:p>
    <w:p>
      <w:pPr>
        <w:ind w:left="720" w:right="1019" w:firstLine="343"/>
        <w:spacing w:after="0" w:line="283" w:lineRule="auto"/>
        <w:rPr>
          <w:sz w:val="20"/>
          <w:szCs w:val="20"/>
          <w:color w:val="auto"/>
        </w:rPr>
      </w:pPr>
      <w:r>
        <w:rPr>
          <w:rFonts w:ascii="Times New Roman" w:cs="Times New Roman" w:eastAsia="Times New Roman" w:hAnsi="Times New Roman"/>
          <w:sz w:val="14"/>
          <w:szCs w:val="14"/>
          <w:color w:val="auto"/>
        </w:rPr>
        <w:t>On April 16, 2026, ARTBIO sent notice of its intent to opt out of all the research programs under the research collaboration agreement. No eligible costs were incurred by us or ARTBIO during the three months ended March 31, 2026.</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License and Collaboration Agreement with Regeneron</w:t>
      </w:r>
    </w:p>
    <w:p>
      <w:pPr>
        <w:spacing w:after="0" w:line="177" w:lineRule="exact"/>
        <w:rPr>
          <w:sz w:val="20"/>
          <w:szCs w:val="20"/>
          <w:color w:val="auto"/>
        </w:rPr>
      </w:pPr>
    </w:p>
    <w:p>
      <w:pPr>
        <w:ind w:left="720" w:right="919" w:firstLine="343"/>
        <w:spacing w:after="0" w:line="267" w:lineRule="auto"/>
        <w:rPr>
          <w:sz w:val="20"/>
          <w:szCs w:val="20"/>
          <w:color w:val="auto"/>
        </w:rPr>
      </w:pPr>
      <w:r>
        <w:rPr>
          <w:rFonts w:ascii="Times New Roman" w:cs="Times New Roman" w:eastAsia="Times New Roman" w:hAnsi="Times New Roman"/>
          <w:sz w:val="14"/>
          <w:szCs w:val="14"/>
          <w:color w:val="auto"/>
        </w:rPr>
        <w:t>In May 2026, we entered into a license and collaboration agreement with Regeneron to discover, develop, and commercialize Helicons, with a particular focus on Antibody-Helicon Conjugates (“AHCs”), directed to a set of specified targets (each, a "Collaboration Target").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9" w:name="page110"/>
    <w:bookmarkEnd w:id="10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759" w:firstLine="505"/>
        <w:spacing w:after="0" w:line="256" w:lineRule="auto"/>
        <w:rPr>
          <w:sz w:val="20"/>
          <w:szCs w:val="20"/>
          <w:color w:val="auto"/>
        </w:rPr>
      </w:pPr>
      <w:r>
        <w:rPr>
          <w:rFonts w:ascii="Times New Roman" w:cs="Times New Roman" w:eastAsia="Times New Roman" w:hAnsi="Times New Roman"/>
          <w:sz w:val="14"/>
          <w:szCs w:val="14"/>
          <w:color w:val="auto"/>
        </w:rPr>
        <w:t>Under the terms of the Regeneron Agreement and during the research term for each Collaboration Target, we will collaborate with Regeneron to perform certain research and preclinical development activities, including screening, generating, testing and evaluating new Helicons and AHCs directed to such Collaboration Target (each, a “Product”). Under the Regeneron Agreement, there are five initial Collaboration Targets, with Regeneron having the right to replace up to two targets and the option to nominate up to five additional Collaboration Targets, subject to an additional option payment from Regeneron. For one initial Collaboration Target, Regeneron may add one or more additional programs with respect to such Collaboration Target, subject to payment of additional program fees.</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Under the terms of the Regeneron Agreement, Regeneron has agreed to make a $50.0 million upfront payment and invest $75.0 million in our next equity financing, subject to certain conditions, which investment is expected to be the private placement of common stock concurrent with our IPO at a price per share equal to 90% of the IPO price per share. For the initial Collaboration Targets, we are eligible to receive: (i) up to $470.0 million in development milestone payments; (ii) up to $575.0 million in regulatory milestone payments; (iii) up to $1.15 billion in commercial milestone payments; and (iv) tiered royalty payments, ranging in the high single digits to low double digits during the period commencing upon the first commercial sale of such licensed product in a given country and expiring on the latest of: (a) expiration of the last valid claim of a royalty term-extending patent right of such licensed product in such country, (b) 12 years after the first commercial sale of such licensed product in such country, and (c) loss of regulatory exclusivity for such licensed product in such country, subject to customary reductions.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Critical Accounting Estimates and Significant Judgments</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5" w:lineRule="exact"/>
        <w:rPr>
          <w:sz w:val="20"/>
          <w:szCs w:val="20"/>
          <w:color w:val="auto"/>
        </w:rPr>
      </w:pPr>
    </w:p>
    <w:p>
      <w:pPr>
        <w:ind w:left="720" w:right="1119" w:firstLine="343"/>
        <w:spacing w:after="0" w:line="26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the notes to our consolidated financial statements included elsewhere in this prospectus, we believe the following accounting policies used in the preparation of our consolidated financial statements require the most significant judgments and estimates.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 and Related Accruals</w:t>
      </w:r>
    </w:p>
    <w:p>
      <w:pPr>
        <w:spacing w:after="0" w:line="93"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As part of the process of preparing our consolidated financial statements, we are required to estimate our accrued research and development expenses as of each balance sheet date. This process involves reviewing open contracts and purchase orders, reviewing the progress of the studies or clinical trials, including the phase or completion of events,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w:t>
      </w:r>
    </w:p>
    <w:p>
      <w:pPr>
        <w:spacing w:after="0" w:line="144"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The financial terms of these agreements vary from contract to contract and may result in uneven payment flows. There may be instances in which payments made to our vendors will exceed the level of services provided and result in a prepayment of the research and development expense. The value of goods and services received from our vendors are estimated based on the level of services performed, and progress in the period in cases when we have not received an invoice from the supplier. In accruing these costs, we estimate the time period over which services will be performed and the level of effort to be expended in each period. If the actual timing of the performance of services or the level of effort varies from our estimate, we adjust the accrual or prepaid balance accordingly. To date, there have been no material differences between our estimates of such expenses and the amounts incurred.</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720" w:right="11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have issued and continue to issue stock-based awards to our employees, non-employees, and directors in the form of incentive and nonqualified stock options. We account for stock-based compensation awards in accordance with the Financial Accounting Standards Board (“FASB”),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w:t>
      </w:r>
    </w:p>
    <w:p>
      <w:pPr>
        <w:spacing w:after="0" w:line="136"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We generally issue stock option grants that are subject to service-based vesting conditions, and in limited instances awards are issued with either service-based and performance-based vesting conditions or market-based and performance-based vesting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0" w:name="page111"/>
    <w:bookmarkEnd w:id="11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spacing w:after="0" w:line="256" w:lineRule="auto"/>
        <w:rPr>
          <w:sz w:val="20"/>
          <w:szCs w:val="20"/>
          <w:color w:val="auto"/>
        </w:rPr>
      </w:pPr>
      <w:r>
        <w:rPr>
          <w:rFonts w:ascii="Times New Roman" w:cs="Times New Roman" w:eastAsia="Times New Roman" w:hAnsi="Times New Roman"/>
          <w:sz w:val="14"/>
          <w:szCs w:val="14"/>
          <w:color w:val="auto"/>
        </w:rPr>
        <w:t>conditions. Compensation expense for awards issued to grantees with service-based vesting conditions is recognized on a straight-line basis based on the grant date fair value over the associated requisite service period of the award, which is generally the vesting term. Compensation expense for awards with performance-vesting conditions and either service-based or market-based vesting conditions is recognized based on the grant-date fair value over the requisite service period using the accelerated attribution method to the extent achievement of the performance condition is probable. At each reporting date, we estimate the probability that specified performance criteria will be achieved and do not begin to recognize compensation expense until it is probable that the performance-based vesting condition will be achieved. We account for forfeitures of stock-based compensation awards as they occur.</w:t>
      </w:r>
    </w:p>
    <w:p>
      <w:pPr>
        <w:spacing w:after="0" w:line="144"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We classify stock-based compensation expense in our consolidated statements of operations and comprehensive loss in the same manner in which the award recipient’s payroll costs or service payments are classified. In future periods, we expect stock-based compensation expense to increase due to our existing unrecognized stock-based compensation expense and due to additional stock-based awards we expect to grant to continue to attract new hires and retain our existing employees.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Determination of the Fair Value of Stock-Based Awards</w:t>
      </w:r>
    </w:p>
    <w:p>
      <w:pPr>
        <w:spacing w:after="0" w:line="9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estimate the fair value of our stock option grants using the Black-Scholes option pricing model, which requires inputs of subjective assumptions, including: (i) the expected volatility of our common stock, (ii) the expected term of the award, (iii) the risk-free interest rate, (iv) expected dividends and (v) the fair value of our common stock. Due to the lack of a public market for the trading of our common stock and a lack of company-specific historical and implied volatility data, we base the estimate of expected volatility on the historical volatilities of a representative group of publicly traded peer companies. For these analyses, we select companies with comparable characteristics and with historical share price information that approximates the expected term of the stock options. We compute the historical volatility data using the daily closing prices for the selected companies’ shares during the equivalent period that approximates the calculated expected term of our stock options. We will continue to apply this method until a sufficient amount of historical information regarding the volatility of our own stock price becomes available. We estimate the expected term of our stock options granted to employees and directors using the simplified method for awards that qualify as “plain-vanilla” options, whereby the expected term equals the midpoint between the vesting date and the end of the contractual term of the option. We utilize this method as we do not have sufficient historical exercise data to provide a reasonable basis upon which to estimate the expected term. If vesting is subject to a performance condition, the expected term is based on the mid-point between the explicit service period and the contractual term of the option. The expected dividend yield is assumed to be zero as we have no current plans to pay any dividends on common stock.</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Determination of the Fair Value of Common Stock</w:t>
      </w:r>
    </w:p>
    <w:p>
      <w:pPr>
        <w:spacing w:after="0" w:line="93"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As there has been no public market for our common stock to date, the historical estimated fair value of our common stock has been determined by our board of directors, with input from management, considering our most recently available third-party valuations of common stock, as well as additional factors that may have changed since the date of the most recent valuation through the date of grant.</w:t>
      </w:r>
    </w:p>
    <w:p>
      <w:pPr>
        <w:spacing w:after="0" w:line="139" w:lineRule="exact"/>
        <w:rPr>
          <w:sz w:val="20"/>
          <w:szCs w:val="20"/>
          <w:color w:val="auto"/>
        </w:rPr>
      </w:pPr>
    </w:p>
    <w:p>
      <w:pPr>
        <w:ind w:left="720" w:right="839" w:firstLine="343"/>
        <w:spacing w:after="0" w:line="259" w:lineRule="auto"/>
        <w:rPr>
          <w:sz w:val="20"/>
          <w:szCs w:val="20"/>
          <w:color w:val="auto"/>
        </w:rPr>
      </w:pPr>
      <w:r>
        <w:rPr>
          <w:rFonts w:ascii="Times New Roman" w:cs="Times New Roman" w:eastAsia="Times New Roman" w:hAnsi="Times New Roman"/>
          <w:sz w:val="14"/>
          <w:szCs w:val="14"/>
          <w:color w:val="auto"/>
        </w:rPr>
        <w:t xml:space="preserve">In accordance with the guidance outlined in the American Institute of Certified Public Accountants’ </w:t>
      </w:r>
      <w:r>
        <w:rPr>
          <w:rFonts w:ascii="Times New Roman" w:cs="Times New Roman" w:eastAsia="Times New Roman" w:hAnsi="Times New Roman"/>
          <w:sz w:val="14"/>
          <w:szCs w:val="14"/>
          <w:i w:val="1"/>
          <w:iCs w:val="1"/>
          <w:color w:val="auto"/>
        </w:rPr>
        <w:t>Accounting and Valuation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Guide, Valuation of Privately-Held-Company Equity Securities Issued as Compensation </w:t>
      </w:r>
      <w:r>
        <w:rPr>
          <w:rFonts w:ascii="Times New Roman" w:cs="Times New Roman" w:eastAsia="Times New Roman" w:hAnsi="Times New Roman"/>
          <w:sz w:val="14"/>
          <w:szCs w:val="14"/>
          <w:color w:val="auto"/>
        </w:rPr>
        <w:t>(the “Practice Aid”), a third-party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firm prepared valuations of our common stock using a market approach to estimate our common stock value, using either the option-pricing method (“OPM”), or the hybrid method, both of which used a market approach to estimate our enterprise value. The market approaches used were either the recent transactions method or the market adjusted equity value method.</w:t>
      </w:r>
    </w:p>
    <w:p>
      <w:pPr>
        <w:spacing w:after="0" w:line="143" w:lineRule="exact"/>
        <w:rPr>
          <w:sz w:val="20"/>
          <w:szCs w:val="20"/>
          <w:color w:val="auto"/>
        </w:rPr>
      </w:pPr>
    </w:p>
    <w:p>
      <w:pPr>
        <w:ind w:left="720" w:right="799" w:firstLine="343"/>
        <w:spacing w:after="0" w:line="252" w:lineRule="auto"/>
        <w:rPr>
          <w:sz w:val="20"/>
          <w:szCs w:val="20"/>
          <w:color w:val="auto"/>
        </w:rPr>
      </w:pPr>
      <w:r>
        <w:rPr>
          <w:rFonts w:ascii="Times New Roman" w:cs="Times New Roman" w:eastAsia="Times New Roman" w:hAnsi="Times New Roman"/>
          <w:sz w:val="14"/>
          <w:szCs w:val="14"/>
          <w:color w:val="auto"/>
        </w:rPr>
        <w:t>In accordance with the Practice Aid, the OPM method was the most appropriate method for determining the fair value of our common stock prior to March 31, 2024 and we determined the hybrid method was the most appropriate method for determining the fair value of our common stock based on our stage of development and other relevant factors for valuations as of March 31, 2024 and going forward.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valuation methodology that combines the probability-weighted expected return method (“PWERM”) and the OPM, where the equity value in one or more of the scenarios is allocated between our equity securities using an OPM. The PWERM is a scenario-based methodology that estimates the fair value of common stock based upon an analysis of our future values, assuming various outcomes, including an IPO.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probability-weighted to arrive at an indication of value for the common stock. These third-party valuations were performed at various dates which resulted in valuation of our common stock of $0.79 per share as of February 29, 2024, $1.22 per share as of June 30, 2024, $1.24 per share as 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1" w:name="page112"/>
    <w:bookmarkEnd w:id="11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spacing w:after="0" w:line="283" w:lineRule="auto"/>
        <w:rPr>
          <w:sz w:val="20"/>
          <w:szCs w:val="20"/>
          <w:color w:val="auto"/>
        </w:rPr>
      </w:pPr>
      <w:r>
        <w:rPr>
          <w:rFonts w:ascii="Times New Roman" w:cs="Times New Roman" w:eastAsia="Times New Roman" w:hAnsi="Times New Roman"/>
          <w:sz w:val="14"/>
          <w:szCs w:val="14"/>
          <w:color w:val="auto"/>
        </w:rPr>
        <w:t>September 30, 2024, $1.57 per share as of January 22, 2025, $2.04 per share as of January 8, 2026, and $2.66 per share as of March 3, 2026.</w:t>
      </w:r>
    </w:p>
    <w:p>
      <w:pPr>
        <w:spacing w:after="0" w:line="125"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Given the absence of a public market for our common stock to date, our board of directors, with input from management, considered various objective and subjective factors to determine the fair value of our common stock as of each grant date. The factors included, but were not limited to:</w:t>
      </w:r>
    </w:p>
    <w:p>
      <w:pPr>
        <w:spacing w:after="0" w:line="51" w:lineRule="exact"/>
        <w:rPr>
          <w:sz w:val="20"/>
          <w:szCs w:val="20"/>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and financial performance;</w:t>
      </w:r>
    </w:p>
    <w:p>
      <w:pPr>
        <w:spacing w:after="0" w:line="91" w:lineRule="exact"/>
        <w:rPr>
          <w:rFonts w:ascii="Times New Roman" w:cs="Times New Roman" w:eastAsia="Times New Roman" w:hAnsi="Times New Roman"/>
          <w:sz w:val="14"/>
          <w:szCs w:val="14"/>
          <w:color w:val="auto"/>
        </w:rPr>
      </w:pPr>
    </w:p>
    <w:p>
      <w:pPr>
        <w:ind w:left="1480" w:right="1119" w:hanging="246"/>
        <w:spacing w:after="0" w:line="283" w:lineRule="auto"/>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our research and development efforts, including the status of preclinical and clinical studies for our product candidates;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marketability of our equity as a private company;</w:t>
      </w:r>
    </w:p>
    <w:p>
      <w:pPr>
        <w:spacing w:after="0" w:line="91"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of our preferred stock sold to or exchanged between new and existing investors, and the rights, preferences and privileges of our preferred stock as compared to those of our common stock;</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stage of development and business strategy and the material risks related to our business and industry;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enterprise milestones, including entering into strategic alliance and license agreements;</w:t>
      </w:r>
    </w:p>
    <w:p>
      <w:pPr>
        <w:spacing w:after="0" w:line="91"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publicly-traded companies in the life sciences and biotechnology sectors, as well as recently completed mergers and acquisitions of peer companies;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external market conditions affecting the biotechnology industry, and trends within the biotechnology industry;</w:t>
      </w:r>
    </w:p>
    <w:p>
      <w:pPr>
        <w:spacing w:after="0" w:line="91" w:lineRule="exact"/>
        <w:rPr>
          <w:rFonts w:ascii="Times New Roman" w:cs="Times New Roman" w:eastAsia="Times New Roman" w:hAnsi="Times New Roman"/>
          <w:sz w:val="14"/>
          <w:szCs w:val="14"/>
          <w:color w:val="auto"/>
        </w:rPr>
      </w:pPr>
    </w:p>
    <w:p>
      <w:pPr>
        <w:ind w:left="1480" w:right="1339" w:hanging="246"/>
        <w:spacing w:after="0" w:line="283" w:lineRule="auto"/>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achieving a liquidity event, such as an IPO or a sale of our company, given prevailing market conditions;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analysis of IPOs and the market performance of similar companies in the biopharmaceutical industry;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third-party valuations described above.</w:t>
      </w:r>
    </w:p>
    <w:p>
      <w:pPr>
        <w:spacing w:after="0" w:line="175"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There are significant judgments and estimates inherent in these valuations. These judgments and estimates include assumptions regarding our future operating performance, and the stage of development of our product candidates. If our board of directors had made different assumptions, our stock-based compensation expense, net loss allocable to common stockholders and net loss per share allocable to common stockholders could have been significantly different.</w:t>
      </w:r>
    </w:p>
    <w:p>
      <w:pPr>
        <w:spacing w:after="0" w:line="141"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Once a public trading market for our common stock has been established in connection with the consummation of this offering, it will no longer be necessary for our board of directors, or a committee thereof, to estimate the fair value of our common stock in connection with our accounting for granted stock options and other awards, as the fair value of our common stock will be determined based on the quoted market price of our common stock.</w:t>
      </w:r>
    </w:p>
    <w:p>
      <w:pPr>
        <w:spacing w:after="0" w:line="141"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On the effective date of the registration statement of which this prospectus forms a part, we intend to grant certain directors and consultants an aggregate of 550,000 options to purchase shares under the 2026 Plan, subject to continued service through such grant date. Based on an assumed fair value of $      per share, which is the midpoint of the price range set forth on the cover page of this prospectus, we estimate that the aggregate grant-date fair value of the awards to be granted in connection with this offering is $     </w:t>
      </w:r>
    </w:p>
    <w:p>
      <w:pPr>
        <w:spacing w:after="0" w:line="1" w:lineRule="exact"/>
        <w:rPr>
          <w:sz w:val="20"/>
          <w:szCs w:val="20"/>
          <w:color w:val="auto"/>
        </w:rPr>
      </w:pPr>
    </w:p>
    <w:p>
      <w:pPr>
        <w:ind w:left="720" w:right="839"/>
        <w:spacing w:after="0" w:line="261" w:lineRule="auto"/>
        <w:rPr>
          <w:sz w:val="20"/>
          <w:szCs w:val="20"/>
          <w:color w:val="auto"/>
        </w:rPr>
      </w:pPr>
      <w:r>
        <w:rPr>
          <w:rFonts w:ascii="Times New Roman" w:cs="Times New Roman" w:eastAsia="Times New Roman" w:hAnsi="Times New Roman"/>
          <w:sz w:val="14"/>
          <w:szCs w:val="14"/>
          <w:color w:val="auto"/>
        </w:rPr>
        <w:t xml:space="preserve">million, which is expected to be recognized as stock-based compensation expense over a period of one to four years. See the sections titled </w:t>
      </w:r>
      <w:r>
        <w:rPr>
          <w:rFonts w:ascii="Times New Roman" w:cs="Times New Roman" w:eastAsia="Times New Roman" w:hAnsi="Times New Roman"/>
          <w:sz w:val="14"/>
          <w:szCs w:val="14"/>
          <w:i w:val="1"/>
          <w:iCs w:val="1"/>
          <w:color w:val="auto"/>
        </w:rPr>
        <w:t>“Director Compensation”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”Certain Relationships and Related Person Transactions”</w:t>
      </w:r>
      <w:r>
        <w:rPr>
          <w:rFonts w:ascii="Times New Roman" w:cs="Times New Roman" w:eastAsia="Times New Roman" w:hAnsi="Times New Roman"/>
          <w:sz w:val="14"/>
          <w:szCs w:val="14"/>
          <w:color w:val="auto"/>
        </w:rPr>
        <w:t xml:space="preserve"> for additional information.</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JOBS Act Transition Period and Smaller Reporting Company Status</w:t>
      </w:r>
    </w:p>
    <w:p>
      <w:pPr>
        <w:spacing w:after="0" w:line="93" w:lineRule="exact"/>
        <w:rPr>
          <w:sz w:val="20"/>
          <w:szCs w:val="20"/>
          <w:color w:val="auto"/>
        </w:rPr>
      </w:pPr>
    </w:p>
    <w:p>
      <w:pPr>
        <w:ind w:left="720" w:right="1079" w:firstLine="343"/>
        <w:spacing w:after="0" w:line="267" w:lineRule="auto"/>
        <w:rPr>
          <w:sz w:val="20"/>
          <w:szCs w:val="20"/>
          <w:color w:val="auto"/>
        </w:rPr>
      </w:pPr>
      <w:r>
        <w:rPr>
          <w:rFonts w:ascii="Times New Roman" w:cs="Times New Roman" w:eastAsia="Times New Roman" w:hAnsi="Times New Roman"/>
          <w:sz w:val="14"/>
          <w:szCs w:val="14"/>
          <w:color w:val="auto"/>
        </w:rPr>
        <w:t>We qualify as an “emerging growth company” (“EGC”) as defined in the Jumpstart Our Business Startups Act (the “JOBS Act”). As an EGC, we may take advantage of specified reduced disclosure and other requirements that are otherwise applicable generally to public companies. These provisions include:</w:t>
      </w:r>
    </w:p>
    <w:p>
      <w:pPr>
        <w:spacing w:after="0" w:line="51" w:lineRule="exact"/>
        <w:rPr>
          <w:sz w:val="20"/>
          <w:szCs w:val="20"/>
          <w:color w:val="auto"/>
        </w:rPr>
      </w:pPr>
    </w:p>
    <w:p>
      <w:pPr>
        <w:ind w:left="1480" w:right="799" w:hanging="246"/>
        <w:spacing w:after="0" w:line="267" w:lineRule="auto"/>
        <w:tabs>
          <w:tab w:leader="none" w:pos="14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5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91"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2" w:name="page113"/>
    <w:bookmarkEnd w:id="11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79" w:hanging="246"/>
        <w:spacing w:after="0" w:line="283" w:lineRule="auto"/>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 pursuant to Section 404 of the Sarbanes-Oxley Act of 2002; and</w:t>
      </w:r>
    </w:p>
    <w:p>
      <w:pPr>
        <w:spacing w:after="0" w:line="40"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w:t>
      </w:r>
    </w:p>
    <w:p>
      <w:pPr>
        <w:spacing w:after="0" w:line="14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may not be subject to new or revised accounting standards at the same time that they become applicable to other public companies that are not EGCs.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 is permitted.</w:t>
      </w:r>
    </w:p>
    <w:p>
      <w:pPr>
        <w:spacing w:after="0" w:line="144"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 as measured on the last business day of our second fiscal quarter.</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3" w:lineRule="exact"/>
        <w:rPr>
          <w:sz w:val="20"/>
          <w:szCs w:val="20"/>
          <w:color w:val="auto"/>
        </w:rPr>
      </w:pPr>
    </w:p>
    <w:p>
      <w:pPr>
        <w:ind w:left="720" w:right="839" w:firstLine="343"/>
        <w:spacing w:after="0" w:line="283"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our financial position and results of operations is disclosed in Note 2 to our unaudited condensed consolidated financial statements included elsewhere in this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3" w:name="page114"/>
    <w:bookmarkEnd w:id="11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We are a clinical-stage biopharmaceutical company built to develop transformative medicines addressing some of the most consequential, yet historically undruggable, protein targets driving human disease. We leverage our proprietary platform to pioneer a novel therapeutic modality, Helicons, which are stabilized helical peptides engineered to bind and precisely modulate proteins that have long been beyond the reach of conventional medicines.</w:t>
      </w:r>
    </w:p>
    <w:p>
      <w:pPr>
        <w:spacing w:after="0" w:line="151" w:lineRule="exact"/>
        <w:rPr>
          <w:sz w:val="20"/>
          <w:szCs w:val="20"/>
          <w:color w:val="auto"/>
        </w:rPr>
      </w:pPr>
    </w:p>
    <w:p>
      <w:pPr>
        <w:ind w:left="720" w:right="819" w:firstLine="343"/>
        <w:spacing w:after="0" w:line="259" w:lineRule="auto"/>
        <w:rPr>
          <w:sz w:val="20"/>
          <w:szCs w:val="20"/>
          <w:color w:val="auto"/>
        </w:rPr>
      </w:pPr>
      <w:r>
        <w:rPr>
          <w:rFonts w:ascii="Times New Roman" w:cs="Times New Roman" w:eastAsia="Times New Roman" w:hAnsi="Times New Roman"/>
          <w:sz w:val="14"/>
          <w:szCs w:val="14"/>
          <w:color w:val="auto"/>
        </w:rPr>
        <w:t xml:space="preserve">To our knowledge, our lead product candidate, zolucatetide, is the first-ever drug to directly target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the T-cell factor (“TCF”) family of transcription factors. This is the central node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cell signaling pathway which regulates cell proliferation and differentiation and whose hyperactivation is a driver of millions of cancer cases annually across many tumor types. Drugging this critical node eluded three decades of intensive efforts to do so across the pharmaceutical industry. Zolucatetide has been evaluated in over 150 patients to date and has generated promising clinical data in a range of solid tumors driven by alterations in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In our lead indication, desmoid tumors, we have observed tumor reductions in 100% of patients with a 74% objective response rate (“ORR”) in patients who have had at least two post-baseline scans.</w:t>
      </w:r>
    </w:p>
    <w:p>
      <w:pPr>
        <w:spacing w:after="0" w:line="153"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Objective responses have been observed across patients who have failed </w:t>
      </w:r>
      <w:r>
        <w:rPr>
          <w:rFonts w:ascii="Arial" w:cs="Arial" w:eastAsia="Arial" w:hAnsi="Arial"/>
          <w:sz w:val="14"/>
          <w:szCs w:val="14"/>
          <w:b w:val="1"/>
          <w:bCs w:val="1"/>
          <w:color w:val="auto"/>
        </w:rPr>
        <w:t>g</w:t>
      </w:r>
      <w:r>
        <w:rPr>
          <w:rFonts w:ascii="Times New Roman" w:cs="Times New Roman" w:eastAsia="Times New Roman" w:hAnsi="Times New Roman"/>
          <w:sz w:val="14"/>
          <w:szCs w:val="14"/>
          <w:color w:val="auto"/>
        </w:rPr>
        <w:t>-secretase inhibitors (“GSIs”) and those who have never taken GSIs. Importantly, zolucatetide has been able to generate this rate of response with a tolerability profile that we believe is more favorable than that of currently available drug therapy. We plan to initiate a global registrational Phase 3 trial for zolucatetide in patients with desmoid tumors in the first half of 2027.</w:t>
      </w:r>
    </w:p>
    <w:p>
      <w:pPr>
        <w:spacing w:after="0" w:line="140" w:lineRule="exact"/>
        <w:rPr>
          <w:sz w:val="20"/>
          <w:szCs w:val="20"/>
          <w:color w:val="auto"/>
        </w:rPr>
      </w:pPr>
    </w:p>
    <w:p>
      <w:pPr>
        <w:ind w:left="720" w:right="739" w:firstLine="343"/>
        <w:spacing w:after="0" w:line="246" w:lineRule="auto"/>
        <w:rPr>
          <w:sz w:val="20"/>
          <w:szCs w:val="20"/>
          <w:color w:val="auto"/>
        </w:rPr>
      </w:pPr>
      <w:r>
        <w:rPr>
          <w:rFonts w:ascii="Times New Roman" w:cs="Times New Roman" w:eastAsia="Times New Roman" w:hAnsi="Times New Roman"/>
          <w:sz w:val="14"/>
          <w:szCs w:val="14"/>
          <w:color w:val="auto"/>
        </w:rPr>
        <w:t>We believe zolucatetide provides clinical validation of our first-in-industry Helicon approach and represents an expansive opportunity for medical and commercial impact. Our preclinical pipeline provides additional examples of the repeatability of our Helicon approach and includes programs targeting two key drivers of prostate cancer, the ETS-related gene (“ERG”) and the androgen receptor (“AR”) in its active state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Our current pipeline is focused on various cancers and tumor types; however, we believe Helicons could also have broad applicability against targets in many diseases with substantial unmet need outside oncology, and we plan to evaluate other therapeutic areas in the future.</w:t>
      </w:r>
    </w:p>
    <w:p>
      <w:pPr>
        <w:spacing w:after="0" w:line="15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An estimated 80% of biologically validated disease targets are considered undruggable, largely because the majority reside inside cells and present flat interaction surfaces. Small molecules can enter cells but cannot bind flat surfaces, and antibodies and other highly-selective biologics can selectively bind flat protein surfaces but cannot enter cells to access these targets. To our knowledge, Helicons are the only modality to date that can consistently solve this problem as they are engineered for cell penetration and capable of binding to flat intracellular protein target surfaces with high specificity. Helicons combine the precision of antibodies and biologics with the intracellular access and tunability of small molecules in a single modality-enabling direct engagement of historically inaccessible protein targets. Our proprietary Helicon discovery platform allows us to integrate ligands and additional functionalities at multiple positions to precisely tune potency, selectivity, and pharmacologic properties. While our initial programs are focused on disrupting protein-protein interactions and inducing targeted protein degradation, we believe our platform can incorporate other advances in small molecule drug design and extend them to targets that are likely to remain out of reach for other modalities.</w:t>
      </w:r>
    </w:p>
    <w:p>
      <w:pPr>
        <w:spacing w:after="0" w:line="146" w:lineRule="exact"/>
        <w:rPr>
          <w:sz w:val="20"/>
          <w:szCs w:val="20"/>
          <w:color w:val="auto"/>
        </w:rPr>
      </w:pPr>
    </w:p>
    <w:p>
      <w:pPr>
        <w:ind w:left="720" w:right="859" w:firstLine="343"/>
        <w:spacing w:after="0" w:line="255" w:lineRule="auto"/>
        <w:rPr>
          <w:sz w:val="20"/>
          <w:szCs w:val="20"/>
          <w:color w:val="auto"/>
        </w:rPr>
      </w:pPr>
      <w:r>
        <w:rPr>
          <w:rFonts w:ascii="Times New Roman" w:cs="Times New Roman" w:eastAsia="Times New Roman" w:hAnsi="Times New Roman"/>
          <w:sz w:val="14"/>
          <w:szCs w:val="14"/>
          <w:color w:val="auto"/>
        </w:rPr>
        <w:t>Our Helicon discovery platform integrates advanced artificial intelligence (“AI”)- and physics-based computational modeling with high-throughput peptide synthesis and experimental screening to discover and develop drug candidates. Since our founding, we have advanced computational models as well as custom design, synthesis, handling and manufacturing know-how to position us to produce Helicons reliably and at scale. A decade of applying these capabilities to Helicon drug discovery has generated vast proprietary datasets, comprising millions of data points for hundreds of thousands of Helicons across dozens of drug-like properties. These data power a continuous learning loop that refines our models from target selection through lead optimization, enhancing our speed, precision, and ability to generate high quality molecules against difficult targets. As a result, our platform produces unique complex synthetic molecules at scale and a compounding advantage that we believe is difficult to replicate.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4" w:name="page115"/>
    <w:bookmarkEnd w:id="11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are advancing a wholly-owned pipeline of Helicon-based product candidates against high-value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133985</wp:posOffset>
            </wp:positionV>
            <wp:extent cx="4545965" cy="14420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4596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right="959" w:firstLine="343"/>
        <w:spacing w:after="0" w:line="271" w:lineRule="auto"/>
        <w:rPr>
          <w:sz w:val="20"/>
          <w:szCs w:val="20"/>
          <w:color w:val="auto"/>
        </w:rPr>
      </w:pPr>
      <w:r>
        <w:rPr>
          <w:rFonts w:ascii="Times New Roman" w:cs="Times New Roman" w:eastAsia="Times New Roman" w:hAnsi="Times New Roman"/>
          <w:sz w:val="14"/>
          <w:szCs w:val="14"/>
          <w:color w:val="auto"/>
        </w:rPr>
        <w:t xml:space="preserve">Our lead product candidate, zolucatetide, is, to our knowledge, the first and only investigational therapy that inhibits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interaction, the critical downstream node of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Activating mutations in this pathway, gain of function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or loss of function Adenomatous Polyposis Coli (“APC”) mutations, are present in over 10% of all cancers and span a broad range of tumor types.</w:t>
      </w:r>
    </w:p>
    <w:p>
      <w:pPr>
        <w:spacing w:after="0" w:line="133" w:lineRule="exact"/>
        <w:rPr>
          <w:sz w:val="20"/>
          <w:szCs w:val="20"/>
          <w:color w:val="auto"/>
        </w:rPr>
      </w:pPr>
    </w:p>
    <w:p>
      <w:pPr>
        <w:ind w:left="720" w:right="739" w:firstLine="343"/>
        <w:spacing w:after="0" w:line="266" w:lineRule="auto"/>
        <w:rPr>
          <w:sz w:val="20"/>
          <w:szCs w:val="20"/>
          <w:color w:val="auto"/>
        </w:rPr>
      </w:pPr>
      <w:r>
        <w:rPr>
          <w:rFonts w:ascii="Times New Roman" w:cs="Times New Roman" w:eastAsia="Times New Roman" w:hAnsi="Times New Roman"/>
          <w:sz w:val="14"/>
          <w:szCs w:val="14"/>
          <w:color w:val="auto"/>
        </w:rPr>
        <w:t>We are evaluating zolucatetide in ongoing clinical trials across multiple solid tumor indications, with more than 150 patients dosed to date. Zolucatetide has been observed to be well tolerated across the therapeutic dose range. We believe the data generated to date, along with our understanding of the underlying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support zolucatetide’s potential to benefit patients across multiple tumor types driven by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or APC alterations and its advancement into a Phase 3 registrational trial. Our target indications include:</w:t>
      </w:r>
    </w:p>
    <w:p>
      <w:pPr>
        <w:spacing w:after="0" w:line="51" w:lineRule="exact"/>
        <w:rPr>
          <w:sz w:val="20"/>
          <w:szCs w:val="20"/>
          <w:color w:val="auto"/>
        </w:rPr>
      </w:pPr>
    </w:p>
    <w:p>
      <w:pPr>
        <w:ind w:left="1320" w:right="779" w:hanging="257"/>
        <w:spacing w:after="0" w:line="276" w:lineRule="auto"/>
        <w:tabs>
          <w:tab w:leader="none" w:pos="13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Desmoid Tumors: </w:t>
      </w:r>
      <w:r>
        <w:rPr>
          <w:rFonts w:ascii="Times New Roman" w:cs="Times New Roman" w:eastAsia="Times New Roman" w:hAnsi="Times New Roman"/>
          <w:sz w:val="13"/>
          <w:szCs w:val="13"/>
          <w:color w:val="auto"/>
        </w:rPr>
        <w:t>Our lead indication for zolucatetide is desmoid tumors, which are rare, locally invasive soft tissue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tumors driven by somatic or germline </w:t>
      </w:r>
      <w:r>
        <w:rPr>
          <w:rFonts w:ascii="Arial" w:cs="Arial" w:eastAsia="Arial" w:hAnsi="Arial"/>
          <w:sz w:val="13"/>
          <w:szCs w:val="13"/>
          <w:b w:val="1"/>
          <w:bCs w:val="1"/>
          <w:color w:val="auto"/>
        </w:rPr>
        <w:t>b</w:t>
      </w:r>
      <w:r>
        <w:rPr>
          <w:rFonts w:ascii="Times New Roman" w:cs="Times New Roman" w:eastAsia="Times New Roman" w:hAnsi="Times New Roman"/>
          <w:sz w:val="13"/>
          <w:szCs w:val="13"/>
          <w:color w:val="auto"/>
        </w:rPr>
        <w:t>-catenin pathway mutations. We estimate that approximately 11,000 desmoid tumor patients in the United States are actively managed under physician care. Desmoid tumors impose substantial morbidity, including pain, functional, and mobility impairment, and the potential for life-threatening complications depending on tumor location. Given the chronic nature of the disease and onset in a predominantly young patient demographic with a near-normal life expectancy, prolonged or lifelong management is typically required. The only existing FDA-approved therapy for desmoid tumors, a GSI, does not address the underlying Wnt/</w:t>
      </w:r>
      <w:r>
        <w:rPr>
          <w:rFonts w:ascii="Arial" w:cs="Arial" w:eastAsia="Arial" w:hAnsi="Arial"/>
          <w:sz w:val="13"/>
          <w:szCs w:val="13"/>
          <w:b w:val="1"/>
          <w:bCs w:val="1"/>
          <w:color w:val="auto"/>
        </w:rPr>
        <w:t>b</w:t>
      </w:r>
      <w:r>
        <w:rPr>
          <w:rFonts w:ascii="Times New Roman" w:cs="Times New Roman" w:eastAsia="Times New Roman" w:hAnsi="Times New Roman"/>
          <w:sz w:val="13"/>
          <w:szCs w:val="13"/>
          <w:color w:val="auto"/>
        </w:rPr>
        <w:t>-catenin-driven disease biology. In our ongoing clinical trials, as of February 16, 2026, 38 desmoid patients have been enrolled and treated with zolucatetide, of which 25 had sufficient follow up to be response-evaluable, and all 25 patients showed tumor reductions (DCR 100%). Of the 19 patients with at least two post-baseline scans, 74% (14/19) had an objective response per RECIST 1.1. We have observed responses in patients naive to GSI therapy, those who had progressed on GSI therapy, as well as patients that discontinued GSI therapy due to tolerability issues. To date, we have observed a tolerability profile that we believe compares favorably to the tolerability profile associated with GSIs and other off-label therapies, and supports continued development. We believe a medicine for the treatment of desmoid tumors with a superior efficacy and safety profile compared to the existing systemic therapy could significantly improve patient outcomes and expand the desmoid tumor commercial opportunity. We plan to initiate a registrational Phase 3 trial for zolucatetide in patients with desmoid tumors in the first half of 2027.</w:t>
      </w:r>
    </w:p>
    <w:p>
      <w:pPr>
        <w:spacing w:after="0" w:line="216" w:lineRule="exact"/>
        <w:rPr>
          <w:rFonts w:ascii="Times New Roman" w:cs="Times New Roman" w:eastAsia="Times New Roman" w:hAnsi="Times New Roman"/>
          <w:sz w:val="13"/>
          <w:szCs w:val="13"/>
          <w:color w:val="auto"/>
        </w:rPr>
      </w:pPr>
    </w:p>
    <w:p>
      <w:pPr>
        <w:ind w:left="1320" w:right="939" w:hanging="257"/>
        <w:spacing w:after="0" w:line="256" w:lineRule="auto"/>
        <w:tabs>
          <w:tab w:leader="none" w:pos="1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Familial Adenomatous Polyposis (“FAP”): </w:t>
      </w:r>
      <w:r>
        <w:rPr>
          <w:rFonts w:ascii="Times New Roman" w:cs="Times New Roman" w:eastAsia="Times New Roman" w:hAnsi="Times New Roman"/>
          <w:sz w:val="14"/>
          <w:szCs w:val="14"/>
          <w:color w:val="auto"/>
        </w:rPr>
        <w:t>We are evaluating zolucatetide’s potential in FAP, an orphan disease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impacts an estimated 34,000 people in the United States. FAP is characterized by extensive precancerous polyps in the gastrointestinal tract, with a near-inevitable risk of polyp progression to colorectal cancer in the absence of life-altering colon-removal surgery. There is currently no approved treatment for FAP. Desmoid tumors and FAP share common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biology, and approximately 10% of desmoid tumor patients also have FAP. In the desmoid tumor cohort of our ongoing Phase 1/2 clinical trial, administration of zolucatetide in two patients with underlying FAP and an associated desmoid tumor demonstrated significant improvement in duodenal polyposis burden at 10 and 60 weeks, respectively, following initiation of treatment. As of February 16, 2026, we have enrolled six desmoid tumor patients with FAP in our ongoing clinical trial and are also planning to enroll a separate dedicated cohort of patients with FAP beginning in the second half of 2026.</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5" w:name="page116"/>
    <w:bookmarkEnd w:id="11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20" w:right="739" w:hanging="257"/>
        <w:spacing w:after="0" w:line="260" w:lineRule="auto"/>
        <w:tabs>
          <w:tab w:leader="none" w:pos="1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Hepatocellular Carcinoma (“HCC”): </w:t>
      </w:r>
      <w:r>
        <w:rPr>
          <w:rFonts w:ascii="Times New Roman" w:cs="Times New Roman" w:eastAsia="Times New Roman" w:hAnsi="Times New Roman"/>
          <w:sz w:val="14"/>
          <w:szCs w:val="14"/>
          <w:color w:val="auto"/>
        </w:rPr>
        <w:t>We are evaluating zolucatetide’s potential in HCC, the most common type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primary liver cancer. HCC accounts for approximately 80-90% of liver cancer cases globally, with an estimated 38,000 new HCC cases annually in the United States and approximately 700,000–800,000 new cases worldwide. Approximately 30% of HCC tumors harbor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and are otherwise relatively low in mutational burden. In a heavily pre-treated patient with CTNNB1-mutant HCC treated with zolucatetide, we observed a confirmed partial response for nine months. Based on this observation, we began enrolling an HCC-specific cohort in our ongoing Phase 1/2 clinical trial.</w:t>
      </w:r>
    </w:p>
    <w:p>
      <w:pPr>
        <w:spacing w:after="0" w:line="67" w:lineRule="exact"/>
        <w:rPr>
          <w:rFonts w:ascii="Times New Roman" w:cs="Times New Roman" w:eastAsia="Times New Roman" w:hAnsi="Times New Roman"/>
          <w:sz w:val="14"/>
          <w:szCs w:val="14"/>
          <w:color w:val="auto"/>
        </w:rPr>
      </w:pPr>
    </w:p>
    <w:p>
      <w:pPr>
        <w:ind w:left="1320" w:right="739" w:hanging="257"/>
        <w:spacing w:after="0" w:line="261" w:lineRule="auto"/>
        <w:tabs>
          <w:tab w:leader="none" w:pos="1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Additional Rare Tumors: </w:t>
      </w:r>
      <w:r>
        <w:rPr>
          <w:rFonts w:ascii="Times New Roman" w:cs="Times New Roman" w:eastAsia="Times New Roman" w:hAnsi="Times New Roman"/>
          <w:sz w:val="14"/>
          <w:szCs w:val="14"/>
          <w:color w:val="auto"/>
        </w:rPr>
        <w:t>There are over 70 different cancer types with documented APC or</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equating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approximately 10% of all tumors and a prevalence in the United States of approximately 1.8 million patients. In pursuit of this significant opportunity, we are evaluating zolucatetide in additional rare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-catenin-driven tumors that harbor APC loss or activating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including adamantinomatous craniopharyngioma (“ACP”), solid pseudopapillary neoplasm, salivary gland tumors, and ameloblastoma where we have observed partial responses to date. For these and potentially other rare tumor types, we are evaluating various regulatory strategies, including potentially accelerated development approaches based on a shared genomic signature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activation or, where appropriate, histologic characteristic clustering. Tumor-agnostic or molecularly defined approval pathways have been used selectively in oncology, and we believe targeting the root genetic cause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activation-driven disease may support a similar approach.</w:t>
      </w:r>
    </w:p>
    <w:p>
      <w:pPr>
        <w:spacing w:after="0" w:line="54" w:lineRule="exact"/>
        <w:rPr>
          <w:rFonts w:ascii="Times New Roman" w:cs="Times New Roman" w:eastAsia="Times New Roman" w:hAnsi="Times New Roman"/>
          <w:sz w:val="14"/>
          <w:szCs w:val="14"/>
          <w:color w:val="auto"/>
        </w:rPr>
      </w:pPr>
    </w:p>
    <w:p>
      <w:pPr>
        <w:ind w:left="1320" w:right="739" w:hanging="257"/>
        <w:spacing w:after="0" w:line="256" w:lineRule="auto"/>
        <w:tabs>
          <w:tab w:leader="none" w:pos="1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Colorectal Cancer (“CRC”): </w:t>
      </w:r>
      <w:r>
        <w:rPr>
          <w:rFonts w:ascii="Times New Roman" w:cs="Times New Roman" w:eastAsia="Times New Roman" w:hAnsi="Times New Roman"/>
          <w:sz w:val="14"/>
          <w:szCs w:val="14"/>
          <w:color w:val="auto"/>
        </w:rPr>
        <w:t>We are also evaluating the potential for zolucatetide in CRC, the third most commonly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diagnosed cancer globally with approximately two million new cases annually. APC mutations, which drive aberrant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activation, occur in more than 80% of microsatellite stable CRC patients, representing the most prevalent mutations observed in this tumor type. In our ongoing clinical trials, we have observed disease stabilization and ctDNA reductions in a subset of CRC patients treated with zolucatetide monotherapy, and we are currently evaluating multiple rational combination regimens, based on the results of paired tumor biopsies showing tumor differentiation and a dose responsive functional pathway inhibition. Our ongoing rational combination regimen includes anti-Vascular Endothelial Growth Factor (“VEGF”), DNA-damaging chemotherapy, and anti-programmed cell death protein 1 (“PD-1”) agents, as supported by preclinical and early translational data. We have also generated preclinical evidence for a rational combination with a RAS inhibitor.</w:t>
      </w:r>
    </w:p>
    <w:p>
      <w:pPr>
        <w:spacing w:after="0" w:line="145" w:lineRule="exact"/>
        <w:rPr>
          <w:sz w:val="20"/>
          <w:szCs w:val="20"/>
          <w:color w:val="auto"/>
        </w:rPr>
      </w:pPr>
    </w:p>
    <w:p>
      <w:pPr>
        <w:ind w:left="720" w:right="1119" w:firstLine="343"/>
        <w:spacing w:after="0" w:line="261" w:lineRule="auto"/>
        <w:rPr>
          <w:sz w:val="20"/>
          <w:szCs w:val="20"/>
          <w:color w:val="auto"/>
        </w:rPr>
      </w:pPr>
      <w:r>
        <w:rPr>
          <w:rFonts w:ascii="Times New Roman" w:cs="Times New Roman" w:eastAsia="Times New Roman" w:hAnsi="Times New Roman"/>
          <w:sz w:val="14"/>
          <w:szCs w:val="14"/>
          <w:color w:val="auto"/>
        </w:rPr>
        <w:t>Taken together, we believe the breadth of clinical activity and tolerability profile observed to date reinforce zolucatetide’s potential as a pipeline-in-a-product with the ability to address significant unmet need across multiple tumor types. We expect to generate substantial additional clinical data as we advance zolucatetide into registrational development in desmoid tumors and continue to expand our understanding of its therapeutic potential across additional indications.</w:t>
      </w:r>
    </w:p>
    <w:p>
      <w:pPr>
        <w:spacing w:after="0" w:line="141" w:lineRule="exact"/>
        <w:rPr>
          <w:sz w:val="20"/>
          <w:szCs w:val="20"/>
          <w:color w:val="auto"/>
        </w:rPr>
      </w:pPr>
    </w:p>
    <w:p>
      <w:pPr>
        <w:ind w:left="720" w:right="779" w:firstLine="343"/>
        <w:spacing w:after="0" w:line="245" w:lineRule="auto"/>
        <w:rPr>
          <w:sz w:val="20"/>
          <w:szCs w:val="20"/>
          <w:color w:val="auto"/>
        </w:rPr>
      </w:pPr>
      <w:r>
        <w:rPr>
          <w:rFonts w:ascii="Times New Roman" w:cs="Times New Roman" w:eastAsia="Times New Roman" w:hAnsi="Times New Roman"/>
          <w:sz w:val="14"/>
          <w:szCs w:val="14"/>
          <w:color w:val="auto"/>
        </w:rPr>
        <w:t>Beyond zolucatetide, we are advancing two preclinical stage Helicon programs in prostate cancer: an ERG degrader and an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Both programs seek to leverage the unique properties of Helicons to address areas of unmet need in prostate cancer treatment by targeting degradation of the historically undruggable ERG protein, an oncogenic driver present in approximately 40-50% of prostate cancer patients, and of the androgen receptor via a novel AR binding site that seeks to overcome the primary drivers of resistance to AR targeted therapies.</w:t>
      </w:r>
    </w:p>
    <w:p>
      <w:pPr>
        <w:spacing w:after="0" w:line="65" w:lineRule="exact"/>
        <w:rPr>
          <w:sz w:val="20"/>
          <w:szCs w:val="20"/>
          <w:color w:val="auto"/>
        </w:rPr>
      </w:pPr>
    </w:p>
    <w:p>
      <w:pPr>
        <w:ind w:left="1320" w:right="779" w:hanging="257"/>
        <w:spacing w:after="0" w:line="284" w:lineRule="auto"/>
        <w:tabs>
          <w:tab w:leader="none" w:pos="13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ERG</w:t>
      </w:r>
      <w:r>
        <w:rPr>
          <w:rFonts w:ascii="Times New Roman" w:cs="Times New Roman" w:eastAsia="Times New Roman" w:hAnsi="Times New Roman"/>
          <w:sz w:val="13"/>
          <w:szCs w:val="13"/>
          <w:color w:val="auto"/>
        </w:rPr>
        <w:t>: We have identified novel peptide binding sites on ERG and developed bifunctional degraders that have been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observed to drive potent, selective ERG degradation in cells and </w:t>
      </w:r>
      <w:r>
        <w:rPr>
          <w:rFonts w:ascii="Times New Roman" w:cs="Times New Roman" w:eastAsia="Times New Roman" w:hAnsi="Times New Roman"/>
          <w:sz w:val="13"/>
          <w:szCs w:val="13"/>
          <w:i w:val="1"/>
          <w:iCs w:val="1"/>
          <w:color w:val="auto"/>
        </w:rPr>
        <w:t>in vivo</w:t>
      </w:r>
      <w:r>
        <w:rPr>
          <w:rFonts w:ascii="Times New Roman" w:cs="Times New Roman" w:eastAsia="Times New Roman" w:hAnsi="Times New Roman"/>
          <w:sz w:val="13"/>
          <w:szCs w:val="13"/>
          <w:color w:val="auto"/>
        </w:rPr>
        <w:t xml:space="preserve"> tumor models. We have observed that patient-derived tumor models are dependent on ERG protein expression and activity for growth, which we believe supports the clinical therapeutic potential of our ERG degrader in ERG fusion-positive prostate cancer. We are now testing our lead Helicon in Investigational New Drug (“IND”)-enabling studies and continue to advance additional Helicons for optionality.</w:t>
      </w:r>
    </w:p>
    <w:p>
      <w:pPr>
        <w:spacing w:after="0" w:line="45" w:lineRule="exact"/>
        <w:rPr>
          <w:rFonts w:ascii="Times New Roman" w:cs="Times New Roman" w:eastAsia="Times New Roman" w:hAnsi="Times New Roman"/>
          <w:sz w:val="13"/>
          <w:szCs w:val="13"/>
          <w:color w:val="auto"/>
        </w:rPr>
      </w:pPr>
    </w:p>
    <w:p>
      <w:pPr>
        <w:ind w:left="1320" w:right="799" w:hanging="257"/>
        <w:spacing w:after="0"/>
        <w:tabs>
          <w:tab w:leader="none" w:pos="1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w:t>
      </w:r>
      <w:r>
        <w:rPr>
          <w:rFonts w:ascii="Times New Roman" w:cs="Times New Roman" w:eastAsia="Times New Roman" w:hAnsi="Times New Roman"/>
          <w:sz w:val="18"/>
          <w:szCs w:val="18"/>
          <w:b w:val="1"/>
          <w:bCs w:val="1"/>
          <w:color w:val="auto"/>
          <w:vertAlign w:val="superscript"/>
        </w:rPr>
        <w:t>ON</w:t>
      </w:r>
      <w:r>
        <w:rPr>
          <w:rFonts w:ascii="Times New Roman" w:cs="Times New Roman" w:eastAsia="Times New Roman" w:hAnsi="Times New Roman"/>
          <w:sz w:val="14"/>
          <w:szCs w:val="14"/>
          <w:color w:val="auto"/>
        </w:rPr>
        <w:t>: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degrader is designed to overcome resistance driven by AR mutations and amplification,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 the effectiveness of current AR-targeted therapies. In approximately 80% of patients, resistance to AR-targeted therapies is associated with amplification of the AR gene and point mutations at the drug binding site of AR. Approved AR antagonists and clinical-stage AR degraders of which we are aware target the same ligand binding pocket, making them non-combinable and vulnerable to the same resistance mechanisms. Our AR degrader binds to an historically undruggable allosteric co-activator protein binding site that is accessible only when androgen is bound to the receptor. By selectively targeting this active pool of AR, we believe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can more effectively address AR amplification, which we consider the most clinically significant driver of resistance in metastatic castration-resistant prostate cancer (“mCRPC”). Importantly, because it binds at the allosteric co-activator protein binding site, the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is uniquely suited for combination with existing AR antagonists. These therapies all bind the androgen-binding pocket and are not currently combinable with one another. We believe that such a combination therapy approach could slow the development of resistance, improve efficacy and meaningfully extend treatment duration.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program is in late lead optimization and advancing toward IND-enabling studies.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6" w:name="page117"/>
    <w:bookmarkEnd w:id="11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20" w:right="979" w:firstLine="343"/>
        <w:spacing w:after="0" w:line="282" w:lineRule="auto"/>
        <w:rPr>
          <w:sz w:val="20"/>
          <w:szCs w:val="20"/>
          <w:color w:val="auto"/>
        </w:rPr>
      </w:pPr>
      <w:r>
        <w:rPr>
          <w:rFonts w:ascii="Times New Roman" w:cs="Times New Roman" w:eastAsia="Times New Roman" w:hAnsi="Times New Roman"/>
          <w:sz w:val="14"/>
          <w:szCs w:val="14"/>
          <w:color w:val="auto"/>
        </w:rPr>
        <w:t xml:space="preserve">In addition to pursuing additional targets, we are continuing to develop novel approaches to target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building on the foundational biology established with zolucatetide.</w:t>
      </w:r>
    </w:p>
    <w:p>
      <w:pPr>
        <w:spacing w:after="0" w:line="50" w:lineRule="exact"/>
        <w:rPr>
          <w:sz w:val="20"/>
          <w:szCs w:val="20"/>
          <w:color w:val="auto"/>
        </w:rPr>
      </w:pPr>
    </w:p>
    <w:p>
      <w:pPr>
        <w:ind w:left="1320" w:right="739" w:hanging="257"/>
        <w:spacing w:after="0" w:line="266" w:lineRule="auto"/>
        <w:tabs>
          <w:tab w:leader="none" w:pos="132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color w:val="auto"/>
        </w:rPr>
        <w:t>-catenin Degrader:</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Two avenues have emerged from our efforts to maximize the clinical potential of</w:t>
      </w:r>
      <w:r>
        <w:rPr>
          <w:rFonts w:ascii="Arial" w:cs="Arial" w:eastAsia="Arial" w:hAnsi="Arial"/>
          <w:sz w:val="14"/>
          <w:szCs w:val="14"/>
          <w:b w:val="1"/>
          <w:bCs w:val="1"/>
          <w:color w:val="auto"/>
        </w:rPr>
        <w:t xml:space="preserve"> b</w:t>
      </w:r>
      <w:r>
        <w:rPr>
          <w:rFonts w:ascii="Times New Roman" w:cs="Times New Roman" w:eastAsia="Times New Roman" w:hAnsi="Times New Roman"/>
          <w:sz w:val="14"/>
          <w:szCs w:val="14"/>
          <w:color w:val="auto"/>
        </w:rPr>
        <w:t>-catenin targeting</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 xml:space="preserve">agents. First, we have identified multiple binding sites 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beyond the site leveraged by zolucatetide and are exploring how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target engagement at these sites may impact different aspects of tumor biology. The downstream biology affected by Helicon binding to these sites is dependent on the multitude of intracellular protein complexes in which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resides within the tumor cell. Second, we have successfully applied our bifunctional degrader technology to</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 xml:space="preserve">develop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degraders using both zolucatetide and the additional binding site Helicons as the anchor for this approach. The degrader functionality has the potential for improved potency via a catalytic mechanism of action and has the potential to drive unique biology by virtue of removing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protein rather than inhibiting protein-protein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-895985</wp:posOffset>
            </wp:positionV>
            <wp:extent cx="69215" cy="1098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15" cy="109855"/>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-810895</wp:posOffset>
            </wp:positionV>
            <wp:extent cx="222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17"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We intend to advance multiple additional discovery-stage programs that target genetically validated, historically undruggable proteins where we believe Helicons may offer a meaningful advantage over existing modalities. We apply a rigorous framework to evaluate and prioritize programs that may result in substantial therapeutic and commercial opportunities before committing substantial resources toward those that we believe have the highest probability of clinical and commercial success. Given the versatility of the Helicon platform, we also believe there may be opportunities to selectively explore additional therapeutic approaches on our own and through strategic collaborations where a partner’s complementary expertise could be leveraged. We recently entered into a collaboration with Regeneron with a focus on evaluating Antibody-Helicon Conjugates (“AHCs”), a potentially novel approach that combines antibody targeting capabilities with Helicon payloads designed to modulate intracellular proteins. We view this collaboration as an opportunity to explore the broader applicability of Helicons in a focused and capital-efficient manner alongside a leading partner.</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720" w:right="1079" w:firstLine="343"/>
        <w:spacing w:after="0" w:line="267" w:lineRule="auto"/>
        <w:rPr>
          <w:sz w:val="20"/>
          <w:szCs w:val="20"/>
          <w:color w:val="auto"/>
        </w:rPr>
      </w:pPr>
      <w:r>
        <w:rPr>
          <w:rFonts w:ascii="Times New Roman" w:cs="Times New Roman" w:eastAsia="Times New Roman" w:hAnsi="Times New Roman"/>
          <w:sz w:val="14"/>
          <w:szCs w:val="14"/>
          <w:color w:val="auto"/>
        </w:rPr>
        <w:t>We intend to advance differentiated and potentially high value Helicon medicines that address genetically validated, yet historically undruggable, targets in areas of high unmet medical need. To pursue our vision, we are focused on the following key priorities:</w:t>
      </w:r>
    </w:p>
    <w:p>
      <w:pPr>
        <w:spacing w:after="0" w:line="49" w:lineRule="exact"/>
        <w:rPr>
          <w:sz w:val="20"/>
          <w:szCs w:val="20"/>
          <w:color w:val="auto"/>
        </w:rPr>
      </w:pPr>
    </w:p>
    <w:p>
      <w:pPr>
        <w:ind w:left="1320" w:right="739" w:hanging="257"/>
        <w:spacing w:after="0" w:line="262" w:lineRule="auto"/>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Complete clinical development of, and if approved, commercialize, zolucatetide in desmoid tumors globally.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intend to complete our ongoing Phase 1/2 trial of zolucatetide to support the potential start of a Phase 3 registrational trial in the first half of 2027. If the Phase 3 trial is successful and we obtain marketing approval, we intend to commercialize zolucatetide for the treatment of desmoid tumors.</w:t>
      </w:r>
    </w:p>
    <w:p>
      <w:pPr>
        <w:spacing w:after="0" w:line="53" w:lineRule="exact"/>
        <w:rPr>
          <w:rFonts w:ascii="Times New Roman" w:cs="Times New Roman" w:eastAsia="Times New Roman" w:hAnsi="Times New Roman"/>
          <w:sz w:val="14"/>
          <w:szCs w:val="14"/>
          <w:color w:val="auto"/>
        </w:rPr>
      </w:pPr>
    </w:p>
    <w:p>
      <w:pPr>
        <w:ind w:left="1320" w:right="739" w:hanging="257"/>
        <w:spacing w:after="0" w:line="257" w:lineRule="auto"/>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 developing zolucatetide in FAP through both our current Phase 1/2 enrollment of FAP-desmoid patients as well as a dedicated FAP cohort. Evaluate registrational path with regulatory agencies and, if approved, commercialize zolucatetide in FAP. </w:t>
      </w:r>
      <w:r>
        <w:rPr>
          <w:rFonts w:ascii="Times New Roman" w:cs="Times New Roman" w:eastAsia="Times New Roman" w:hAnsi="Times New Roman"/>
          <w:sz w:val="14"/>
          <w:szCs w:val="14"/>
          <w:color w:val="auto"/>
        </w:rPr>
        <w:t>We plan to advance clinical development in FAP, both through continued enrollment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FAP-desmoid patients and by opening a dedicated FAP cohort in the second half of 2026. Once more mature data are available, we plan to discuss the registrational path regulatory agencies as there is no approved systemic regimen as of today.</w:t>
      </w:r>
    </w:p>
    <w:p>
      <w:pPr>
        <w:spacing w:after="0" w:line="69" w:lineRule="exact"/>
        <w:rPr>
          <w:rFonts w:ascii="Times New Roman" w:cs="Times New Roman" w:eastAsia="Times New Roman" w:hAnsi="Times New Roman"/>
          <w:sz w:val="14"/>
          <w:szCs w:val="14"/>
          <w:color w:val="auto"/>
        </w:rPr>
      </w:pPr>
    </w:p>
    <w:p>
      <w:pPr>
        <w:ind w:left="1320" w:right="939" w:hanging="257"/>
        <w:spacing w:after="0" w:line="267" w:lineRule="auto"/>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 developing zolucatetide in HCC and other </w:t>
      </w: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color w:val="auto"/>
        </w:rPr>
        <w:t xml:space="preserve">-catenin and APC driven diseases, including ACP and ameloblastoma. </w:t>
      </w:r>
      <w:r>
        <w:rPr>
          <w:rFonts w:ascii="Times New Roman" w:cs="Times New Roman" w:eastAsia="Times New Roman" w:hAnsi="Times New Roman"/>
          <w:sz w:val="14"/>
          <w:szCs w:val="14"/>
          <w:color w:val="auto"/>
        </w:rPr>
        <w:t>We intend to continue developing zolucatetide in HCC and other</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APC-driven diseases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ongoing Phase 1/2 study in addition to evaluating the optimal path for further development, including potential accelerated development approaches.</w:t>
      </w:r>
    </w:p>
    <w:p>
      <w:pPr>
        <w:spacing w:after="0" w:line="60" w:lineRule="exact"/>
        <w:rPr>
          <w:rFonts w:ascii="Times New Roman" w:cs="Times New Roman" w:eastAsia="Times New Roman" w:hAnsi="Times New Roman"/>
          <w:sz w:val="14"/>
          <w:szCs w:val="14"/>
          <w:color w:val="auto"/>
        </w:rPr>
      </w:pPr>
    </w:p>
    <w:p>
      <w:pPr>
        <w:ind w:left="1320" w:right="979" w:hanging="257"/>
        <w:spacing w:after="0" w:line="272" w:lineRule="auto"/>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Maintain and expand our position as a leader in drugging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color w:val="auto"/>
        </w:rPr>
        <w:t xml:space="preserve">-catenin pathway. </w:t>
      </w:r>
      <w:r>
        <w:rPr>
          <w:rFonts w:ascii="Times New Roman" w:cs="Times New Roman" w:eastAsia="Times New Roman" w:hAnsi="Times New Roman"/>
          <w:sz w:val="14"/>
          <w:szCs w:val="14"/>
          <w:color w:val="auto"/>
        </w:rPr>
        <w:t>We have demonstrated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ability to target the key node of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and TCF, and intend to continue discovery efforts that enable the identification of additional differentiated product candidates against the broad range of diseases driven by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APC mutations.</w:t>
      </w:r>
    </w:p>
    <w:p>
      <w:pPr>
        <w:spacing w:after="0" w:line="51" w:lineRule="exact"/>
        <w:rPr>
          <w:rFonts w:ascii="Times New Roman" w:cs="Times New Roman" w:eastAsia="Times New Roman" w:hAnsi="Times New Roman"/>
          <w:sz w:val="14"/>
          <w:szCs w:val="14"/>
          <w:color w:val="auto"/>
        </w:rPr>
      </w:pPr>
    </w:p>
    <w:p>
      <w:pPr>
        <w:jc w:val="both"/>
        <w:ind w:left="1320" w:right="739" w:hanging="257"/>
        <w:spacing w:after="0" w:line="252" w:lineRule="auto"/>
        <w:tabs>
          <w:tab w:leader="none" w:pos="13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Progress our ERG and allosteric AR</w:t>
      </w:r>
      <w:r>
        <w:rPr>
          <w:rFonts w:ascii="Times New Roman" w:cs="Times New Roman" w:eastAsia="Times New Roman" w:hAnsi="Times New Roman"/>
          <w:sz w:val="17"/>
          <w:szCs w:val="17"/>
          <w:b w:val="1"/>
          <w:bCs w:val="1"/>
          <w:color w:val="auto"/>
          <w:vertAlign w:val="superscript"/>
        </w:rPr>
        <w:t>ON</w:t>
      </w:r>
      <w:r>
        <w:rPr>
          <w:rFonts w:ascii="Times New Roman" w:cs="Times New Roman" w:eastAsia="Times New Roman" w:hAnsi="Times New Roman"/>
          <w:sz w:val="13"/>
          <w:szCs w:val="13"/>
          <w:b w:val="1"/>
          <w:bCs w:val="1"/>
          <w:color w:val="auto"/>
        </w:rPr>
        <w:t xml:space="preserve"> degraders, the next two programs in our pipeline of Helicon drug candidates, into IND-enabling toxicology studies. </w:t>
      </w:r>
      <w:r>
        <w:rPr>
          <w:rFonts w:ascii="Times New Roman" w:cs="Times New Roman" w:eastAsia="Times New Roman" w:hAnsi="Times New Roman"/>
          <w:sz w:val="13"/>
          <w:szCs w:val="13"/>
          <w:color w:val="auto"/>
        </w:rPr>
        <w:t>We have identified ERG and allosteric AR</w:t>
      </w:r>
      <w:r>
        <w:rPr>
          <w:rFonts w:ascii="Times New Roman" w:cs="Times New Roman" w:eastAsia="Times New Roman" w:hAnsi="Times New Roman"/>
          <w:sz w:val="17"/>
          <w:szCs w:val="17"/>
          <w:color w:val="auto"/>
          <w:vertAlign w:val="superscript"/>
        </w:rPr>
        <w:t>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degraders that we believe leverage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strengths of our Helicon technology to create potentially differentiated medicines for patients with prostate cancer.</w:t>
      </w:r>
    </w:p>
    <w:p>
      <w:pPr>
        <w:spacing w:after="0" w:line="58" w:lineRule="exact"/>
        <w:rPr>
          <w:rFonts w:ascii="Times New Roman" w:cs="Times New Roman" w:eastAsia="Times New Roman" w:hAnsi="Times New Roman"/>
          <w:sz w:val="13"/>
          <w:szCs w:val="13"/>
          <w:color w:val="auto"/>
        </w:rPr>
      </w:pPr>
    </w:p>
    <w:p>
      <w:pPr>
        <w:ind w:left="1320" w:right="759" w:hanging="257"/>
        <w:spacing w:after="0" w:line="262" w:lineRule="auto"/>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 to expand our pipeline of product candidates leveraging our proprietary Helicon discovery platform.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believe the Helicon platform positions us to develop differentiated product candidates against high-value targets often inaccessible to existing modalities, across target classes and mechanisms. We intend to leverage this platform to continue to expand a pipeline of compelling medicines, initially in oncology.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20" w:right="739" w:hanging="257"/>
        <w:spacing w:after="0" w:line="259" w:lineRule="auto"/>
        <w:tabs>
          <w:tab w:leader="none" w:pos="1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Continuously improve our Helicon discovery platform to protect and extend our competitive advantage. </w:t>
      </w:r>
      <w:r>
        <w:rPr>
          <w:rFonts w:ascii="Times New Roman" w:cs="Times New Roman" w:eastAsia="Times New Roman" w:hAnsi="Times New Roman"/>
          <w:sz w:val="14"/>
          <w:szCs w:val="14"/>
          <w:color w:val="auto"/>
        </w:rPr>
        <w:t>We intend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continue to invest in the computational, experimental, and manufacturing capabilities to maintain the distinctiveness of our Helicon platform. This includes the development of the Helicon Foundry (our single, integrated AI/hardware engine), expansion into new mechanisms and applications, and protection of proprietary data, intellectual property, and know-how, that serve as our competitive moat.</w:t>
      </w:r>
    </w:p>
    <w:p>
      <w:pPr>
        <w:spacing w:after="0" w:line="56" w:lineRule="exact"/>
        <w:rPr>
          <w:rFonts w:ascii="Times New Roman" w:cs="Times New Roman" w:eastAsia="Times New Roman" w:hAnsi="Times New Roman"/>
          <w:sz w:val="14"/>
          <w:szCs w:val="14"/>
          <w:color w:val="auto"/>
        </w:rPr>
      </w:pPr>
    </w:p>
    <w:p>
      <w:pPr>
        <w:ind w:left="1320" w:right="759" w:hanging="257"/>
        <w:spacing w:after="0" w:line="259" w:lineRule="auto"/>
        <w:tabs>
          <w:tab w:leader="none" w:pos="1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Further develop integrated computational, translational, and clinical capabilities to efficiently, precisely and effectively progress our product candidates through internal development. </w:t>
      </w:r>
      <w:r>
        <w:rPr>
          <w:rFonts w:ascii="Times New Roman" w:cs="Times New Roman" w:eastAsia="Times New Roman" w:hAnsi="Times New Roman"/>
          <w:sz w:val="14"/>
          <w:szCs w:val="14"/>
          <w:color w:val="auto"/>
        </w:rPr>
        <w:t>We are committed to deploying the most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computational, translational, and clinical tools at every stage of drug development in our pipeline — from target identification through clinical and commercial patient identification — building the organizational capabilities that allow us to do so with increasing efficiency and precision over time.</w:t>
      </w:r>
    </w:p>
    <w:p>
      <w:pPr>
        <w:spacing w:after="0" w:line="56" w:lineRule="exact"/>
        <w:rPr>
          <w:rFonts w:ascii="Times New Roman" w:cs="Times New Roman" w:eastAsia="Times New Roman" w:hAnsi="Times New Roman"/>
          <w:sz w:val="14"/>
          <w:szCs w:val="14"/>
          <w:color w:val="auto"/>
        </w:rPr>
      </w:pPr>
    </w:p>
    <w:p>
      <w:pPr>
        <w:ind w:left="1320" w:right="799" w:hanging="257"/>
        <w:spacing w:after="0" w:line="262" w:lineRule="auto"/>
        <w:tabs>
          <w:tab w:leader="none" w:pos="1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Explore and deliver on opportunities to extend the reach of our platform and capabilities through selective strategic partnerships. </w:t>
      </w:r>
      <w:r>
        <w:rPr>
          <w:rFonts w:ascii="Times New Roman" w:cs="Times New Roman" w:eastAsia="Times New Roman" w:hAnsi="Times New Roman"/>
          <w:sz w:val="14"/>
          <w:szCs w:val="14"/>
          <w:color w:val="auto"/>
        </w:rPr>
        <w:t>We intend to opportunistically evaluate partnerships, in oncology and beyond, with collaborators that can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bring specific expertise, capabilities, or infrastructure that may accelerate patient impact and broaden our pipeline in a capital efficient manner.</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93" w:lineRule="exact"/>
        <w:rPr>
          <w:sz w:val="20"/>
          <w:szCs w:val="20"/>
          <w:color w:val="auto"/>
        </w:rPr>
      </w:pPr>
    </w:p>
    <w:p>
      <w:pPr>
        <w:ind w:left="720" w:right="939" w:firstLine="343"/>
        <w:spacing w:after="0" w:line="258" w:lineRule="auto"/>
        <w:rPr>
          <w:sz w:val="20"/>
          <w:szCs w:val="20"/>
          <w:color w:val="auto"/>
        </w:rPr>
      </w:pPr>
      <w:r>
        <w:rPr>
          <w:rFonts w:ascii="Times New Roman" w:cs="Times New Roman" w:eastAsia="Times New Roman" w:hAnsi="Times New Roman"/>
          <w:sz w:val="14"/>
          <w:szCs w:val="14"/>
          <w:color w:val="auto"/>
        </w:rPr>
        <w:t>Our work requires a unique kind of organization. Tackling high-difficulty biology and building a new therapeutic modality demands a team with the judgment to identify the right problems, the technical depth to solve them, and the persistence to see them through. We apply a first principles approach to solve the complex issues that impact our business and are unafraid to challenge industry norms in our pursuit. At Parabilis, we have built a deeply integrated team of drug hunters, data scientists, and clinical and operational experts who are aligned around a shared goal of translating ambitious science into real medicines for patients.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team is led by Mathai Mammen, M.D., Ph.D., President, Chairman, and CEO of Parabilis. Previously, Dr. Mammen served</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as Global Head of R&amp;D and a member of the Executive Committee at Johnson &amp; Johnson. There, he led and evolved one of the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world’s largest pharmaceutical R&amp;D organizations and spearheaded the strategic integration of data science and AI across the</w:t>
      </w:r>
    </w:p>
    <w:p>
      <w:pPr>
        <w:ind w:left="720"/>
        <w:spacing w:after="0" w:line="229" w:lineRule="auto"/>
        <w:rPr>
          <w:sz w:val="20"/>
          <w:szCs w:val="20"/>
          <w:color w:val="auto"/>
        </w:rPr>
      </w:pPr>
      <w:r>
        <w:rPr>
          <w:rFonts w:ascii="Times New Roman" w:cs="Times New Roman" w:eastAsia="Times New Roman" w:hAnsi="Times New Roman"/>
          <w:sz w:val="14"/>
          <w:szCs w:val="14"/>
          <w:color w:val="auto"/>
        </w:rPr>
        <w:t>company’s portfolio. During his tenure, his team secured global approvals for nine medicines, including Darzalex Faspro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720"/>
        <w:spacing w:after="0" w:line="219" w:lineRule="auto"/>
        <w:rPr>
          <w:sz w:val="20"/>
          <w:szCs w:val="20"/>
          <w:color w:val="auto"/>
        </w:rPr>
      </w:pPr>
      <w:r>
        <w:rPr>
          <w:rFonts w:ascii="Times New Roman" w:cs="Times New Roman" w:eastAsia="Times New Roman" w:hAnsi="Times New Roman"/>
          <w:sz w:val="13"/>
          <w:szCs w:val="13"/>
          <w:color w:val="auto"/>
        </w:rPr>
        <w:t>Balversa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Carvykti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Rybrevant</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and Tecvayli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 oncology; Tremfya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Ponvory</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in immunology; and Spravato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and Invega</w:t>
      </w:r>
    </w:p>
    <w:p>
      <w:pPr>
        <w:ind w:left="720"/>
        <w:spacing w:after="0" w:line="207" w:lineRule="auto"/>
        <w:rPr>
          <w:sz w:val="20"/>
          <w:szCs w:val="20"/>
          <w:color w:val="auto"/>
        </w:rPr>
      </w:pPr>
      <w:r>
        <w:rPr>
          <w:rFonts w:ascii="Times New Roman" w:cs="Times New Roman" w:eastAsia="Times New Roman" w:hAnsi="Times New Roman"/>
          <w:sz w:val="14"/>
          <w:szCs w:val="14"/>
          <w:color w:val="auto"/>
        </w:rPr>
        <w:t>Hafyera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neuroscience. Before J&amp;J, Dr. Mammen was a Senior Vice President at Merck, and contributed to the development of</w:t>
      </w:r>
    </w:p>
    <w:p>
      <w:pPr>
        <w:ind w:left="720"/>
        <w:spacing w:after="0" w:line="195" w:lineRule="auto"/>
        <w:rPr>
          <w:sz w:val="20"/>
          <w:szCs w:val="20"/>
          <w:color w:val="auto"/>
        </w:rPr>
      </w:pPr>
      <w:r>
        <w:rPr>
          <w:rFonts w:ascii="Times New Roman" w:cs="Times New Roman" w:eastAsia="Times New Roman" w:hAnsi="Times New Roman"/>
          <w:sz w:val="14"/>
          <w:szCs w:val="14"/>
          <w:color w:val="auto"/>
        </w:rPr>
        <w:t>Keytruda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the discovery of enlicitide. Earlier in his career, he co-founded Theravance, Inc., where he led R&amp;D toward five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approved therapies. In total, he has led the discovery/development of 19 approved medicines.</w:t>
      </w:r>
    </w:p>
    <w:p>
      <w:pPr>
        <w:spacing w:after="0" w:line="159" w:lineRule="exact"/>
        <w:rPr>
          <w:sz w:val="20"/>
          <w:szCs w:val="20"/>
          <w:color w:val="auto"/>
        </w:rPr>
      </w:pPr>
    </w:p>
    <w:p>
      <w:pPr>
        <w:ind w:left="720" w:right="739" w:firstLine="343"/>
        <w:spacing w:after="0" w:line="248" w:lineRule="auto"/>
        <w:rPr>
          <w:sz w:val="20"/>
          <w:szCs w:val="20"/>
          <w:color w:val="auto"/>
        </w:rPr>
      </w:pPr>
      <w:r>
        <w:rPr>
          <w:rFonts w:ascii="Times New Roman" w:cs="Times New Roman" w:eastAsia="Times New Roman" w:hAnsi="Times New Roman"/>
          <w:sz w:val="14"/>
          <w:szCs w:val="14"/>
          <w:color w:val="auto"/>
        </w:rPr>
        <w:t>Our leadership team includes additional members with deep domain expertise, such as our Chief Medical Officer, Fawzi Benzaghou, M.D., who most recently served as Senior Vice President and Global Head of Oncology R&amp;D at Ipsen, where he contributed to the development and approval of multiple oncology therapies, including Cabometyx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Onivyde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Our Scientific Co-founder and Executive Vice President of Platform Technology, John McGee, holds a Ph.D. in biochemistry from Harvard University, where he worked on both the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screening and multiplexing platforms that form the core of Parabilis’ discovery engine. Our Chief Financial Officer, Tom Kotarakos, previously led two biotech companies through IPOs. Our Chief Business and Strategy Officer, Helen Ho, Ph.D., previously served as Chief Business Officer at Blueprint Medicines, where she, among other responsibilities, oversaw portfolio strategy and new product planning. Our Executive Vice President of Discovery Science, Markus Haeberlein, Ph.D., previously served as Head of Research at Alkermes. Our Executive Vice President of Discovery Biology, Jonathan Hurov, Ph.D., previously worked at Agios Pharmaceuticals and Cygnal Therapeutics, where he oversaw platform development and the company’s early research.</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Company History</w:t>
      </w:r>
    </w:p>
    <w:p>
      <w:pPr>
        <w:spacing w:after="0" w:line="93" w:lineRule="exact"/>
        <w:rPr>
          <w:sz w:val="20"/>
          <w:szCs w:val="20"/>
          <w:color w:val="auto"/>
        </w:rPr>
      </w:pPr>
    </w:p>
    <w:p>
      <w:pPr>
        <w:ind w:left="720" w:right="879" w:firstLine="343"/>
        <w:spacing w:after="0" w:line="257" w:lineRule="auto"/>
        <w:rPr>
          <w:sz w:val="20"/>
          <w:szCs w:val="20"/>
          <w:color w:val="auto"/>
        </w:rPr>
      </w:pPr>
      <w:r>
        <w:rPr>
          <w:rFonts w:ascii="Times New Roman" w:cs="Times New Roman" w:eastAsia="Times New Roman" w:hAnsi="Times New Roman"/>
          <w:sz w:val="14"/>
          <w:szCs w:val="14"/>
          <w:color w:val="auto"/>
        </w:rPr>
        <w:t>We were founded in 2015 based on technology in-licensed from the laboratory of Greg Verdine, Ph.D., at Harvard University. This technology served as the foundation of our Helicon platform, which we have subsequently advanced and expanded through continued internal development, as we advance our proprietary capabilities and pursue our mission to develop transformative medicines for patients in need. Since our founding, we have developed a substantial portfolio of wholly owned intellectual property, including patents and proprietary trade secrets. The current state and operation of the Helicon platform are not dependent on the continued use of the originally in-licensed technology or any other third party intellectual property.</w:t>
      </w:r>
    </w:p>
    <w:p>
      <w:pPr>
        <w:spacing w:after="0" w:line="14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Our platform was purpose-built over a decade to enable Helicon discovery. The first five years were devoted to developing and scaling high-throughput synthesis and data collection methods, generating proprietary datasets comprising millions of data points across hundreds of thousands of Helicons and dozens of drug-like properties. Over the subsequent five years, we leveraged these data to build a suite of AI- and physics-based computational models, and to rigorously test and refine them in the context of active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8" w:name="page119"/>
    <w:bookmarkEnd w:id="11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spacing w:after="0" w:line="261" w:lineRule="auto"/>
        <w:rPr>
          <w:sz w:val="20"/>
          <w:szCs w:val="20"/>
          <w:color w:val="auto"/>
        </w:rPr>
      </w:pPr>
      <w:r>
        <w:rPr>
          <w:rFonts w:ascii="Times New Roman" w:cs="Times New Roman" w:eastAsia="Times New Roman" w:hAnsi="Times New Roman"/>
          <w:sz w:val="14"/>
          <w:szCs w:val="14"/>
          <w:color w:val="auto"/>
        </w:rPr>
        <w:t>discovery programs. These models are now deployed at every stage of discovery, from target selection through lead optimization. Each program we pursue feeds new data back into model training, creating a continuous learning loop. The result is a fully integrated discovery engine that has delivered repeated success against challenging targets and that we believe represents a durable competitive moat.</w:t>
      </w:r>
    </w:p>
    <w:p>
      <w:pPr>
        <w:spacing w:after="0" w:line="141"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Since our inception, we have raised over $800 million in financing from world class investors, including ARCH Venture Partners, Cormorant Asset Management, Fidelity Investments, GV, Milky Way Investments Group Limited, Nextech, RA Capital and venBio. Prospective investors should not rely on the investment decisions of our existing investors, as these investors may have different risk tolerances and in certain cases received their shares in prior offerings at prices lower than the price offered to the public in this offering.</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Our Proprietary Helicon Discovery Platform</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Helicon Technology</w:t>
      </w:r>
    </w:p>
    <w:p>
      <w:pPr>
        <w:spacing w:after="0" w:line="93" w:lineRule="exact"/>
        <w:rPr>
          <w:sz w:val="20"/>
          <w:szCs w:val="20"/>
          <w:color w:val="auto"/>
        </w:rPr>
      </w:pPr>
    </w:p>
    <w:p>
      <w:pPr>
        <w:ind w:left="720" w:right="819" w:firstLine="343"/>
        <w:spacing w:after="0" w:line="280" w:lineRule="auto"/>
        <w:rPr>
          <w:sz w:val="20"/>
          <w:szCs w:val="20"/>
          <w:color w:val="auto"/>
        </w:rPr>
      </w:pPr>
      <w:r>
        <w:rPr>
          <w:rFonts w:ascii="Times New Roman" w:cs="Times New Roman" w:eastAsia="Times New Roman" w:hAnsi="Times New Roman"/>
          <w:sz w:val="13"/>
          <w:szCs w:val="13"/>
          <w:color w:val="auto"/>
        </w:rPr>
        <w:t xml:space="preserve">Helicons are a new class of therapeutic candidates designed to target disease drivers that conventional modalities cannot effectively reach. Helicons can enter cells and selectively bind to flat protein surfaces, thereby combining the precision and targeting power of biologics with the tunability and intracellular access of small molecules. Despite tremendous investment and years of effort, other modalities like small-molecule glues, covalents, and degraders have had little success in accessing some of the most prevalent targets in human disease. Using our Helicon discovery platform, as set forth below, we have identified and developed multiple drug candidates with observed </w:t>
      </w:r>
      <w:r>
        <w:rPr>
          <w:rFonts w:ascii="Times New Roman" w:cs="Times New Roman" w:eastAsia="Times New Roman" w:hAnsi="Times New Roman"/>
          <w:sz w:val="13"/>
          <w:szCs w:val="13"/>
          <w:i w:val="1"/>
          <w:iCs w:val="1"/>
          <w:color w:val="auto"/>
        </w:rPr>
        <w:t>in vivo</w:t>
      </w:r>
      <w:r>
        <w:rPr>
          <w:rFonts w:ascii="Times New Roman" w:cs="Times New Roman" w:eastAsia="Times New Roman" w:hAnsi="Times New Roman"/>
          <w:sz w:val="13"/>
          <w:szCs w:val="13"/>
          <w:color w:val="auto"/>
        </w:rPr>
        <w:t xml:space="preserve"> activity, including zolucatetide, against high-value targets historically considered undruggable.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1: Select Helicon platform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135255</wp:posOffset>
            </wp:positionV>
            <wp:extent cx="3023870" cy="814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238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Helicons are stabilized alpha-helical peptides, taking inspiration from nature’s frequent use of alpha helices to bind to flat protein surfaces to traverse cellular membranes. We stabilize Helicons through proprietary crosslinkers and optimize their properties with a broad diversity of synthetic organic chemistry, including non-natural amino acids and a wide range of functionalization chemistries. The Helicon scaffold is highly modular and has the potential to readily incorporate additional functionalities beyond the inhibition of undruggable protein-protein interactions. These functionalities include the recruitment of E3 ubiquitin ligases for targeted protein degradation, the recruitment of essential proteins for targeted selective cell killing, and the delivery of payloads such as radionuclides.</w:t>
      </w:r>
    </w:p>
    <w:p>
      <w:pPr>
        <w:spacing w:after="0" w:line="144" w:lineRule="exact"/>
        <w:rPr>
          <w:sz w:val="20"/>
          <w:szCs w:val="20"/>
          <w:color w:val="auto"/>
        </w:rPr>
      </w:pPr>
    </w:p>
    <w:p>
      <w:pPr>
        <w:ind w:left="720" w:right="859" w:firstLine="343"/>
        <w:spacing w:after="0" w:line="254" w:lineRule="auto"/>
        <w:rPr>
          <w:sz w:val="20"/>
          <w:szCs w:val="20"/>
          <w:color w:val="auto"/>
        </w:rPr>
      </w:pPr>
      <w:r>
        <w:rPr>
          <w:rFonts w:ascii="Times New Roman" w:cs="Times New Roman" w:eastAsia="Times New Roman" w:hAnsi="Times New Roman"/>
          <w:sz w:val="14"/>
          <w:szCs w:val="14"/>
          <w:color w:val="auto"/>
        </w:rPr>
        <w:t>Helicons, in contrast to most small molecules, often have the versatility to integrate ligands and additional functionalities at multiple possible positions. This provides substantial flexibility to tune potency, selectivity, and other drug-like properties. Helicons are also capable of achieving high selectivity for both target binding and degradation via formation of a ternary complex between target and E3 ligase machinery. Target binding selectivity is possible due to the larger and more polar contact surface areas Helicons use to engage proteins of interest. Selectivity for efficient target degradation that goes beyond target binding selectivity is further enabled by optimization of subtle features of target and E3 ligase complex orientation that differ even between highly related target proteins. These features of Helicon drug discovery enable the development of drug candidates that modulate the desired target while sparing closely related proteins with a high degree of biological precision. We believe that existing and future advances in small molecule drug discovery have the potential to be compatible with Helicons, which could enable us to apply emerging approaches to undruggable protein targets that we expect to remain challenging for other modalities.</w:t>
      </w:r>
    </w:p>
    <w:p>
      <w:pPr>
        <w:spacing w:after="0" w:line="146" w:lineRule="exact"/>
        <w:rPr>
          <w:sz w:val="20"/>
          <w:szCs w:val="20"/>
          <w:color w:val="auto"/>
        </w:rPr>
      </w:pPr>
    </w:p>
    <w:p>
      <w:pPr>
        <w:ind w:left="720" w:right="799" w:firstLine="343"/>
        <w:spacing w:after="0" w:line="238" w:lineRule="auto"/>
        <w:rPr>
          <w:sz w:val="20"/>
          <w:szCs w:val="20"/>
          <w:color w:val="auto"/>
        </w:rPr>
      </w:pPr>
      <w:r>
        <w:rPr>
          <w:rFonts w:ascii="Times New Roman" w:cs="Times New Roman" w:eastAsia="Times New Roman" w:hAnsi="Times New Roman"/>
          <w:sz w:val="14"/>
          <w:szCs w:val="14"/>
          <w:color w:val="auto"/>
        </w:rPr>
        <w:t>The chemical and structural versatility of Helicons supports highly precise tuning of their properties and activity. However, this versatility requires effective and efficient methods of navigating the astronomical universe of over 10</w:t>
      </w:r>
      <w:r>
        <w:rPr>
          <w:rFonts w:ascii="Times New Roman" w:cs="Times New Roman" w:eastAsia="Times New Roman" w:hAnsi="Times New Roman"/>
          <w:sz w:val="18"/>
          <w:szCs w:val="18"/>
          <w:color w:val="auto"/>
          <w:vertAlign w:val="superscript"/>
        </w:rPr>
        <w:t>50</w:t>
      </w:r>
      <w:r>
        <w:rPr>
          <w:rFonts w:ascii="Times New Roman" w:cs="Times New Roman" w:eastAsia="Times New Roman" w:hAnsi="Times New Roman"/>
          <w:sz w:val="14"/>
          <w:szCs w:val="14"/>
          <w:color w:val="auto"/>
        </w:rPr>
        <w:t xml:space="preserve"> possible Helicon structures. Unlike small molecules, the modular and automated nature of our Helicon synthesis platform enables us to synthesize nearly any one of these 10</w:t>
      </w:r>
      <w:r>
        <w:rPr>
          <w:rFonts w:ascii="Times New Roman" w:cs="Times New Roman" w:eastAsia="Times New Roman" w:hAnsi="Times New Roman"/>
          <w:sz w:val="18"/>
          <w:szCs w:val="18"/>
          <w:color w:val="auto"/>
          <w:vertAlign w:val="superscript"/>
        </w:rPr>
        <w:t>50</w:t>
      </w:r>
      <w:r>
        <w:rPr>
          <w:rFonts w:ascii="Times New Roman" w:cs="Times New Roman" w:eastAsia="Times New Roman" w:hAnsi="Times New Roman"/>
          <w:sz w:val="14"/>
          <w:szCs w:val="14"/>
          <w:color w:val="auto"/>
        </w:rPr>
        <w:t xml:space="preserve"> possible structures within days in our laboratories. We have built a stack of complementary experimental and computational capabilities designed to allow us to efficiently assess a vast number of molecules and identify the most promising chemical series to pursue. These investments have resulted in a fully integrated Helicon discovery platform that has repeatedly identified biologically active molecules for targets and binding sites that have been inaccessible to other drug modalities.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9" w:name="page120"/>
    <w:bookmarkEnd w:id="11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Helicon Discovery Platform</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All of our assets, including zolucatetide, were discovered using our Helicon discovery platform. This platform generates both drug candidates and large amounts of proprietary data. Each target we prosecute adds new and diverse information that is then fed back into model training, creating a continuous learning loop that improves our AI models and design processes. These platform advances have significantly improved our success rates in discovery, with all of the new programs we have initiated over the last three years resulting in cell-active compounds (seven distinct series for four target proteins).</w:t>
      </w:r>
    </w:p>
    <w:p>
      <w:pPr>
        <w:spacing w:after="0" w:line="144"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We built our platform over the span of a decade specifically to enable the discovery of Helicons. The platform’s physical foundation incorporates an advanced chemistry toolkit, custom experimental methods, and extensive manufacturing and development know-how. A decade of applying these capabilities to Helicon drug discovery has generated vast proprietary datasets, comprising millions of data points for hundreds of thousands of Helicons across dozens of drug-like properties. We have used these data to construct a comprehensive suite of AI- and physics-based computational models, proprietary to Parabilis, which are now integrated into every step of our discovery process from target selection through lead optimization. This platform has enabled us to pursue multiple high-value opportunities and broaden our pipeline in recent years. We believe that the combination of our know-how, expansive platform capabilities, intellectual property, and large datasets creates a substantial barrier for other entrants.</w:t>
      </w:r>
    </w:p>
    <w:p>
      <w:pPr>
        <w:spacing w:after="0" w:line="14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platform’s core physical capabilities include the following:</w:t>
      </w:r>
    </w:p>
    <w:p>
      <w:pPr>
        <w:spacing w:after="0" w:line="89" w:lineRule="exact"/>
        <w:rPr>
          <w:sz w:val="20"/>
          <w:szCs w:val="20"/>
          <w:color w:val="auto"/>
        </w:rPr>
      </w:pPr>
    </w:p>
    <w:p>
      <w:pPr>
        <w:ind w:left="1480" w:right="919" w:hanging="246"/>
        <w:spacing w:after="0" w:line="286" w:lineRule="auto"/>
        <w:tabs>
          <w:tab w:leader="none" w:pos="1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chemistry toolkit </w:t>
      </w:r>
      <w:r>
        <w:rPr>
          <w:rFonts w:ascii="Times New Roman" w:cs="Times New Roman" w:eastAsia="Times New Roman" w:hAnsi="Times New Roman"/>
          <w:sz w:val="14"/>
          <w:szCs w:val="14"/>
          <w:color w:val="auto"/>
        </w:rPr>
        <w:t>comprises hundreds of proprietary helix-stabilizing chemical crosslinkers and over a thousand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non-natural amino acids, providing access to vast chemical diversity.</w:t>
      </w:r>
    </w:p>
    <w:p>
      <w:pPr>
        <w:spacing w:after="0" w:line="36" w:lineRule="exact"/>
        <w:rPr>
          <w:rFonts w:ascii="Times New Roman" w:cs="Times New Roman" w:eastAsia="Times New Roman" w:hAnsi="Times New Roman"/>
          <w:sz w:val="14"/>
          <w:szCs w:val="14"/>
          <w:color w:val="auto"/>
        </w:rPr>
      </w:pPr>
    </w:p>
    <w:p>
      <w:pPr>
        <w:ind w:left="1480" w:right="1039" w:hanging="246"/>
        <w:spacing w:after="0" w:line="286" w:lineRule="auto"/>
        <w:tabs>
          <w:tab w:leader="none" w:pos="1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display screening systems </w:t>
      </w:r>
      <w:r>
        <w:rPr>
          <w:rFonts w:ascii="Times New Roman" w:cs="Times New Roman" w:eastAsia="Times New Roman" w:hAnsi="Times New Roman"/>
          <w:sz w:val="14"/>
          <w:szCs w:val="14"/>
          <w:color w:val="auto"/>
        </w:rPr>
        <w:t>evaluate billions of Helicons for binding to target proteins, creating the potential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discover multiple, high-quality chemical series for new targets.</w:t>
      </w:r>
    </w:p>
    <w:p>
      <w:pPr>
        <w:spacing w:after="0" w:line="36" w:lineRule="exact"/>
        <w:rPr>
          <w:rFonts w:ascii="Times New Roman" w:cs="Times New Roman" w:eastAsia="Times New Roman" w:hAnsi="Times New Roman"/>
          <w:sz w:val="14"/>
          <w:szCs w:val="14"/>
          <w:color w:val="auto"/>
        </w:rPr>
      </w:pPr>
    </w:p>
    <w:p>
      <w:pPr>
        <w:jc w:val="both"/>
        <w:ind w:left="1480" w:right="1019" w:hanging="246"/>
        <w:spacing w:after="0" w:line="268" w:lineRule="auto"/>
        <w:tabs>
          <w:tab w:leader="none" w:pos="1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multiplexed screening methods </w:t>
      </w:r>
      <w:r>
        <w:rPr>
          <w:rFonts w:ascii="Times New Roman" w:cs="Times New Roman" w:eastAsia="Times New Roman" w:hAnsi="Times New Roman"/>
          <w:sz w:val="14"/>
          <w:szCs w:val="14"/>
          <w:color w:val="auto"/>
        </w:rPr>
        <w:t>integrate combinatorial chemistry with mass-spectrometry-based multiplexed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screening, enabling the synthesis and screening of multi-thousand-member Helicon libraries for a range of drug-like properties.</w:t>
      </w:r>
    </w:p>
    <w:p>
      <w:pPr>
        <w:spacing w:after="0" w:line="49" w:lineRule="exact"/>
        <w:rPr>
          <w:rFonts w:ascii="Times New Roman" w:cs="Times New Roman" w:eastAsia="Times New Roman" w:hAnsi="Times New Roman"/>
          <w:sz w:val="14"/>
          <w:szCs w:val="14"/>
          <w:color w:val="auto"/>
        </w:rPr>
      </w:pPr>
    </w:p>
    <w:p>
      <w:pPr>
        <w:ind w:left="1480" w:right="1019" w:hanging="246"/>
        <w:spacing w:after="0" w:line="286" w:lineRule="auto"/>
        <w:tabs>
          <w:tab w:leader="none" w:pos="1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customized suite of cytosolic exposure assays </w:t>
      </w:r>
      <w:r>
        <w:rPr>
          <w:rFonts w:ascii="Times New Roman" w:cs="Times New Roman" w:eastAsia="Times New Roman" w:hAnsi="Times New Roman"/>
          <w:sz w:val="14"/>
          <w:szCs w:val="14"/>
          <w:color w:val="auto"/>
        </w:rPr>
        <w:t>generates granular, quantitative data on one of the most critical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properties for the successful discovery of peptides that can enter cells and access undruggable targets.</w:t>
      </w:r>
    </w:p>
    <w:p>
      <w:pPr>
        <w:spacing w:after="0" w:line="36" w:lineRule="exact"/>
        <w:rPr>
          <w:rFonts w:ascii="Times New Roman" w:cs="Times New Roman" w:eastAsia="Times New Roman" w:hAnsi="Times New Roman"/>
          <w:sz w:val="14"/>
          <w:szCs w:val="14"/>
          <w:color w:val="auto"/>
        </w:rPr>
      </w:pPr>
    </w:p>
    <w:p>
      <w:pPr>
        <w:ind w:left="1480" w:right="1179" w:hanging="246"/>
        <w:spacing w:after="0" w:line="268" w:lineRule="auto"/>
        <w:tabs>
          <w:tab w:leader="none" w:pos="1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full complement of in-house laboratory capabilities </w:t>
      </w:r>
      <w:r>
        <w:rPr>
          <w:rFonts w:ascii="Times New Roman" w:cs="Times New Roman" w:eastAsia="Times New Roman" w:hAnsi="Times New Roman"/>
          <w:sz w:val="14"/>
          <w:szCs w:val="14"/>
          <w:color w:val="auto"/>
        </w:rPr>
        <w:t>is used to generate datasets on additional properties,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including potency, selectivity, cellular activity, physicochemical behavior,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pharmacodynamic activity and efficacy, and drug, metabolism and pharmacokinetics (“DPMK”) parameters.</w:t>
      </w:r>
    </w:p>
    <w:p>
      <w:pPr>
        <w:spacing w:after="0" w:line="135" w:lineRule="exact"/>
        <w:rPr>
          <w:sz w:val="20"/>
          <w:szCs w:val="20"/>
          <w:color w:val="auto"/>
        </w:rPr>
      </w:pPr>
    </w:p>
    <w:p>
      <w:pPr>
        <w:ind w:left="720" w:right="799" w:firstLine="343"/>
        <w:spacing w:after="0" w:line="248" w:lineRule="auto"/>
        <w:rPr>
          <w:sz w:val="20"/>
          <w:szCs w:val="20"/>
          <w:color w:val="auto"/>
        </w:rPr>
      </w:pPr>
      <w:r>
        <w:rPr>
          <w:rFonts w:ascii="Times New Roman" w:cs="Times New Roman" w:eastAsia="Times New Roman" w:hAnsi="Times New Roman"/>
          <w:sz w:val="14"/>
          <w:szCs w:val="14"/>
          <w:color w:val="auto"/>
        </w:rPr>
        <w:t>We have used the large and proprietary multi-parameter datasets resulting from these laboratory systems to build a set of AI-and physics-based models for dozens of different drug-like properties, which are coupled with generative AI methods both to aid human designers and to autonomously guide the design of next-generation molecules. These range from local, program-specific models for binding affinity and cellular potency to global models that predict cytosolic exposure and physicochemical properties. The first generations of our AI models were developed and integrated into discovery programs beginning in 2021, followed by years of close collaboration between data science and experimental teams to iteratively assess performance, adjust data collection, and update model architecture and training. This extended period of refinement has led both to an improved and expanded set of models and to effective, prediction-centric collaboration frameworks within teams. Both our ERG and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degraders were discovered by leveraging these computational capabilities.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0" w:name="page121"/>
    <w:bookmarkEnd w:id="12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Each stage of our Helicon drug discovery process tightly couples these high-throughput laboratory systems and AI- and physics-based computational methods to enable rapid optimization of drug candidates. The graphic below summarizes our discovery platform process.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 Helicon discovery and optimization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135255</wp:posOffset>
            </wp:positionV>
            <wp:extent cx="4045585" cy="13284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4558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right="739" w:hanging="257"/>
        <w:spacing w:after="0" w:line="254" w:lineRule="auto"/>
        <w:tabs>
          <w:tab w:leader="none" w:pos="132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u w:val="single" w:color="auto"/>
          <w:color w:val="auto"/>
        </w:rPr>
        <w:t>Target Evaluation.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discovery process begins by evaluating potential targets for structural features that favor Helicon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binding, which we refer to as Helisites. We have built a machine learning model that is able to predict the presence and location of Helisites on protein structures, including predicted structures, with high prospective accuracy. This capability enables us to identify proteins that are likely to be targetable by Helicons, and to select the binding sites that we believe are best suited to elicit the desired biological effect, since many proteins contain multiple Helisites. Using this model, we have identified Helisites across a wide range of protein classes including transcription factors, scaffolding proteins, E3 ubiquitin ligases, extracellular proteins, kinases, and other enzymes. Our Helicon platform is not intrinsically limited to any particular mechanism, and we believe that it has the potential to generate impactful medicines across disease areas where there is a strong scientific rationale for pursuing an intracellular disease driver that is challenging to target with other therapeutic modalities.</w:t>
      </w:r>
    </w:p>
    <w:p>
      <w:pPr>
        <w:spacing w:after="0" w:line="62" w:lineRule="exact"/>
        <w:rPr>
          <w:rFonts w:ascii="Times New Roman" w:cs="Times New Roman" w:eastAsia="Times New Roman" w:hAnsi="Times New Roman"/>
          <w:sz w:val="14"/>
          <w:szCs w:val="14"/>
          <w:b w:val="1"/>
          <w:bCs w:val="1"/>
          <w:i w:val="1"/>
          <w:iCs w:val="1"/>
          <w:color w:val="auto"/>
        </w:rPr>
      </w:pPr>
    </w:p>
    <w:p>
      <w:pPr>
        <w:ind w:left="1320" w:right="779" w:hanging="257"/>
        <w:spacing w:after="0" w:line="254" w:lineRule="auto"/>
        <w:tabs>
          <w:tab w:leader="none" w:pos="132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u w:val="single" w:color="auto"/>
          <w:color w:val="auto"/>
        </w:rPr>
        <w:t>Hit Discovery.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Once a target is selected, we deploy both experimental and computational approaches to discover hits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those targets. Our experimental screening methods include the phage display methodology used to discover the chemical series that led to zolucatetide, as well as a newer mRNA display capability that can screen up to 10 billion Helicons in a single experiment. Both our phage and mRNA display screening methods were built specifically for Helicons using custom library construction techniques and are run entirely in-house. We also apply a computational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hit discovery technique that we custom built specifically for Helicons to identify target-binding Helicons composed of non-natural amino acids, including all-D amino acids. The application of our experimental and computational hit discovery methods routinely leads to the identification of multiple chemical series for target proteins, often at multiple distinct Helicon binding sites on the protein surface. This optionality allows us to increase the probability of technical success for each program and enables us to tailor our targeting approach by selecting the binding sites or mechanisms that are best aligned with the biological selectivity or function that is needed.</w:t>
      </w:r>
    </w:p>
    <w:p>
      <w:pPr>
        <w:spacing w:after="0" w:line="60" w:lineRule="exact"/>
        <w:rPr>
          <w:rFonts w:ascii="Times New Roman" w:cs="Times New Roman" w:eastAsia="Times New Roman" w:hAnsi="Times New Roman"/>
          <w:sz w:val="14"/>
          <w:szCs w:val="14"/>
          <w:b w:val="1"/>
          <w:bCs w:val="1"/>
          <w:i w:val="1"/>
          <w:iCs w:val="1"/>
          <w:color w:val="auto"/>
        </w:rPr>
      </w:pPr>
    </w:p>
    <w:p>
      <w:pPr>
        <w:ind w:left="1320" w:right="739" w:hanging="257"/>
        <w:spacing w:after="0" w:line="254" w:lineRule="auto"/>
        <w:tabs>
          <w:tab w:leader="none" w:pos="132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u w:val="single" w:color="auto"/>
          <w:color w:val="auto"/>
        </w:rPr>
        <w:t>Hit-to-Lead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anchored by our multiplexed screening capabilities. We utilize automated parallel peptide synthesis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combinatorial chemistry to rapidly generate libraries of thousands of highly complex Helicon peptides in less than a week, using only a single synthesizer. We then apply a suite of mass spectrometry-based assays to efficiently measure multiple drug-like properties, including target binding affinity, cell penetration, selectivity, physicochemical properties such as LogD, and stability to plasma, cell lysate, and other matrices. A particularly crucial multiplexed measurement is our proprietary cytosolic exposure assay, which quantifies whether a Helicon traverses cellular membranes and accesses intracellular targets. Using a machine learning model trained on these cytosolic exposure measurements for more than 40,000 Helicons, we use predicted cytosolic exposure to guide the selection and design of Helicons that can enter cells. This unique capability has enabled us to reliably optimize a range of properties including cell penetration, which is arguably the most formidable barrier to developing peptides that can target intracellular proteins.</w:t>
      </w:r>
    </w:p>
    <w:p>
      <w:pPr>
        <w:spacing w:after="0" w:line="62" w:lineRule="exact"/>
        <w:rPr>
          <w:rFonts w:ascii="Times New Roman" w:cs="Times New Roman" w:eastAsia="Times New Roman" w:hAnsi="Times New Roman"/>
          <w:sz w:val="14"/>
          <w:szCs w:val="14"/>
          <w:b w:val="1"/>
          <w:bCs w:val="1"/>
          <w:i w:val="1"/>
          <w:iCs w:val="1"/>
          <w:color w:val="auto"/>
        </w:rPr>
      </w:pPr>
    </w:p>
    <w:p>
      <w:pPr>
        <w:ind w:left="1320" w:right="759" w:hanging="257"/>
        <w:spacing w:after="0" w:line="255" w:lineRule="auto"/>
        <w:tabs>
          <w:tab w:leader="none" w:pos="132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u w:val="single" w:color="auto"/>
          <w:color w:val="auto"/>
        </w:rPr>
        <w:t>Lead Optimization.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Hits are optimized into leads and candidates through iterative AI-enabled design cycles, where local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and global AI models guide multi-objective optimization across potency, solubility, selectivity, DMPK,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efficacy and pharmacodynamic activity. Our design process integrates </w:t>
      </w:r>
      <w:r>
        <w:rPr>
          <w:rFonts w:ascii="Times New Roman" w:cs="Times New Roman" w:eastAsia="Times New Roman" w:hAnsi="Times New Roman"/>
          <w:sz w:val="14"/>
          <w:szCs w:val="14"/>
          <w:i w:val="1"/>
          <w:iCs w:val="1"/>
          <w:color w:val="auto"/>
        </w:rPr>
        <w:t>in silico</w:t>
      </w:r>
      <w:r>
        <w:rPr>
          <w:rFonts w:ascii="Times New Roman" w:cs="Times New Roman" w:eastAsia="Times New Roman" w:hAnsi="Times New Roman"/>
          <w:sz w:val="14"/>
          <w:szCs w:val="14"/>
          <w:color w:val="auto"/>
        </w:rPr>
        <w:t xml:space="preserve"> mutational scanning specific to Helicon staple and side-chain substitutions, identifying the modifications most likely to improve binding and other drug-like properties before a molecule is made. We can access a combinatorial space many orders of magnitude larger than standard peptide chemistry by combining the full range of available small molecule chemistry with our library of more than 1,000 non-natural amino acids, hundreds of staple chemistries, and a broad range of E3 ligands to a wide variety of E3 ligases. Non-natural amino acids expand the chemical design space far beyond the 20 natural amino acids, enabling precise optimization of potency, selectivity, solubility, and cell permeability.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1" w:name="page122"/>
    <w:bookmarkEnd w:id="12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3"/>
          <w:szCs w:val="13"/>
          <w:color w:val="auto"/>
        </w:rPr>
        <w:t>As Helicons (or Helicon degraders) progress toward a short list of potential development candidates, we conduct an increasingly comprehensive evaluation to guide final selection. This includes formulation screening to identify viable dosing routes and delivery strategies, expanded DMPK profiling across species covering exposure predictions, pharmacodynamic and efficacy studies to confirm target engagement and dose-response relationships in relevant models, and toxicological profiling to establish preliminary safety margins. Together, this data package informs development candidate nomination and readiness for IND-enabling studies.</w:t>
      </w:r>
    </w:p>
    <w:p>
      <w:pPr>
        <w:spacing w:after="0" w:line="128"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We are further developing our discovery platform with the goal of unifying these components into a single, integrated AI/hardware engine – the “Helicon Foundry”– designed to combine automated experimentation and high-throughput measurement with integrated data capture and continuous learning, as well as AI-driven design/optimization loops. We aim to leverage the Helicon Foundry to prosecute many targets and series in parallel with dramatically improved scalability and cycle times. As this system matures, we expect it will continue to reinforce our platform flywheel: each program can add data, improve models, refine automation, and increase the speed and quality of subsequent programs for potentially higher rates of drug development success.</w:t>
      </w:r>
    </w:p>
    <w:p>
      <w:pPr>
        <w:spacing w:after="0" w:line="14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Our computational capabilities extend beyond molecular drug discovery, both to upstream therapeutic hypothesis generation and downstream clinical development. Upstream, data science and AI are applied to both public and proprietary biological datasets – including the Helisite machine learning model to predict Helicon binding sites on protein structures with high accuracy. While we believe this application of data science and AI to robust biological datasets has the potential to allow us to identify high-quality targets with an increased probability of technical execution and clinical success, there can be no guarantee that this process will lead to actual clinical success or that any clinical success will result in regulatory approval. Downstream, we integrate real-world data to contextualize clinical trial outcomes, leveraging multi-modal datasets including omics, imaging, and patient-derived xenograft (“PDX”) models to support biomarker discovery and adaptive trial design. In translational science, we are leveraging the latest computational biology models to improve our understanding of which medicines are likely to work in which patients and indications, enabling us to refine our biomarker strategies and patient selection to increase the precision and efficiency of our clinical programs. In clinical development, we are building the biomarker-integrated operational infrastructure that targeted medicines require, from biomarker design through cutting-edge clinical operations designed to scale across indications as our pipeline grows.</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93" w:lineRule="exact"/>
        <w:rPr>
          <w:sz w:val="20"/>
          <w:szCs w:val="20"/>
          <w:color w:val="auto"/>
        </w:rPr>
      </w:pPr>
    </w:p>
    <w:p>
      <w:pPr>
        <w:ind w:left="720" w:right="1139" w:firstLine="343"/>
        <w:spacing w:after="0" w:line="247" w:lineRule="auto"/>
        <w:rPr>
          <w:sz w:val="20"/>
          <w:szCs w:val="20"/>
          <w:color w:val="auto"/>
        </w:rPr>
      </w:pPr>
      <w:r>
        <w:rPr>
          <w:rFonts w:ascii="Times New Roman" w:cs="Times New Roman" w:eastAsia="Times New Roman" w:hAnsi="Times New Roman"/>
          <w:sz w:val="14"/>
          <w:szCs w:val="14"/>
          <w:color w:val="auto"/>
        </w:rPr>
        <w:t>We are developing a range of Helicon product candidates for the treatment of solid tumors, including our lead product candidate, zolucatetide. We also have several preclinical programs, including an ERG degrader and an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targeting prostate cancer, a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degrader effort and multiple earlier discovery-stage programs.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Zolucatetide</w:t>
      </w:r>
    </w:p>
    <w:p>
      <w:pPr>
        <w:spacing w:after="0" w:line="93" w:lineRule="exact"/>
        <w:rPr>
          <w:sz w:val="20"/>
          <w:szCs w:val="20"/>
          <w:color w:val="auto"/>
        </w:rPr>
      </w:pPr>
    </w:p>
    <w:p>
      <w:pPr>
        <w:ind w:left="720" w:right="739" w:firstLine="343"/>
        <w:spacing w:after="0" w:line="271" w:lineRule="auto"/>
        <w:rPr>
          <w:sz w:val="20"/>
          <w:szCs w:val="20"/>
          <w:color w:val="auto"/>
        </w:rPr>
      </w:pPr>
      <w:r>
        <w:rPr>
          <w:rFonts w:ascii="Times New Roman" w:cs="Times New Roman" w:eastAsia="Times New Roman" w:hAnsi="Times New Roman"/>
          <w:sz w:val="14"/>
          <w:szCs w:val="14"/>
          <w:color w:val="auto"/>
        </w:rPr>
        <w:t xml:space="preserve">Zolucatetide was discovered using our platform and is, to our knowledge, the first and only investigational therapy that inhibits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transcriptional co-activators of the TCF family. By doing so, it inhibits tumorigenesis at the most critical downstream node of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We have generated early efficacy and safety data in our ongoing clinical trials in a variety of tumor types and expect to report further data in the second half of 2026.</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Wnt/</w:t>
      </w:r>
      <w:r>
        <w:rPr>
          <w:rFonts w:ascii="Arial" w:cs="Arial" w:eastAsia="Arial" w:hAnsi="Arial"/>
          <w:sz w:val="14"/>
          <w:szCs w:val="14"/>
          <w:b w:val="1"/>
          <w:bCs w:val="1"/>
          <w:color w:val="auto"/>
        </w:rPr>
        <w:t>b</w:t>
      </w:r>
      <w:r>
        <w:rPr>
          <w:rFonts w:ascii="Times New Roman" w:cs="Times New Roman" w:eastAsia="Times New Roman" w:hAnsi="Times New Roman"/>
          <w:sz w:val="14"/>
          <w:szCs w:val="14"/>
          <w:i w:val="1"/>
          <w:iCs w:val="1"/>
          <w:color w:val="auto"/>
        </w:rPr>
        <w:t>-catenin pathway</w:t>
      </w:r>
    </w:p>
    <w:p>
      <w:pPr>
        <w:spacing w:after="0" w:line="93" w:lineRule="exact"/>
        <w:rPr>
          <w:sz w:val="20"/>
          <w:szCs w:val="20"/>
          <w:color w:val="auto"/>
        </w:rPr>
      </w:pPr>
    </w:p>
    <w:p>
      <w:pPr>
        <w:ind w:left="720" w:right="859" w:firstLine="343"/>
        <w:spacing w:after="0" w:line="274" w:lineRule="auto"/>
        <w:rPr>
          <w:sz w:val="20"/>
          <w:szCs w:val="20"/>
          <w:color w:val="auto"/>
        </w:rPr>
      </w:pPr>
      <w:r>
        <w:rPr>
          <w:rFonts w:ascii="Times New Roman" w:cs="Times New Roman" w:eastAsia="Times New Roman" w:hAnsi="Times New Roman"/>
          <w:sz w:val="14"/>
          <w:szCs w:val="14"/>
          <w:color w:val="auto"/>
        </w:rPr>
        <w:t xml:space="preserve">The Wnt/ß-catenin signaling pathway is one of the most extensively studied signaling cascades in biology, governing essential cellular processes including proliferation, differentiation, migration, and development, and is among the most broadly implicated drivers in human cancer.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activating pathway mutations are present in over 10% of all cancers.</w:t>
      </w:r>
    </w:p>
    <w:p>
      <w:pPr>
        <w:spacing w:after="0" w:line="131" w:lineRule="exact"/>
        <w:rPr>
          <w:sz w:val="20"/>
          <w:szCs w:val="20"/>
          <w:color w:val="auto"/>
        </w:rPr>
      </w:pPr>
    </w:p>
    <w:p>
      <w:pPr>
        <w:ind w:left="720" w:right="739" w:firstLine="343"/>
        <w:spacing w:after="0" w:line="265" w:lineRule="auto"/>
        <w:rPr>
          <w:sz w:val="20"/>
          <w:szCs w:val="20"/>
          <w:color w:val="auto"/>
        </w:rPr>
      </w:pPr>
      <w:r>
        <w:rPr>
          <w:rFonts w:ascii="Times New Roman" w:cs="Times New Roman" w:eastAsia="Times New Roman" w:hAnsi="Times New Roman"/>
          <w:sz w:val="14"/>
          <w:szCs w:val="14"/>
          <w:color w:val="auto"/>
        </w:rPr>
        <w:t xml:space="preserve">Under normal physiological conditions, the Wnt pathway operates as a tightly regulated molecular switch. In the absence of a Wnt ligand signal,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is captured by a multiprotein assembly known as the “destruction complex”, which is comprised of Axin and APC scaffolding proteins and glycogen synthase kinase 3</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 This complex targets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for proteasomal degradation when Wnt target and gene transcription is suppressed. Upon binding of a Wnt ligand to its receptors (FZD, LRP5/6) the destruction complex is inactivated, and degradation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ceases, leading to its accumulation in the cytoplasm and subsequent translocation to the nucleus. In the nucleus,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binds to the TCF family of transcription factors, forming a transcription complex that drives expression of Wnt target genes. Many of these target genes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c-MYC, LGR5) drive cell proliferation and maintain a stem-cell state.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2" w:name="page123"/>
    <w:bookmarkEnd w:id="12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Wnt pathway activation in tumor cells can happen in multiple ways, most often due to loss-of-function mutations in APC and gain-of-function mutations in CTNNB1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Loss-of-function APC mutations impair the ability of the destruction complex to degrade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Gain-of-function CTNNB1 mutations allow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to escape degradation normally driven by the destruction complex. In both cases, the resulting constitutive stabilization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activation of Wnt target genes occurs independently of extracellular Wnt ligand signaling, rendering these tumors ligand-independent. APC mutations in individuals have been associated with higher cancer risk across multiple tumor types, including colorectal, gastric, small bowel, thyroid, liver, and desmoid tumors, among others. CTNNB1 mutations are the predominant mechanism of Wnt activation in desmoid tumors, HCC, ACP, endometrial cancer, and several other tumor types.</w:t>
      </w:r>
    </w:p>
    <w:p>
      <w:pPr>
        <w:spacing w:after="0" w:line="153" w:lineRule="exact"/>
        <w:rPr>
          <w:sz w:val="20"/>
          <w:szCs w:val="20"/>
          <w:color w:val="auto"/>
        </w:rPr>
      </w:pPr>
    </w:p>
    <w:p>
      <w:pPr>
        <w:ind w:left="720" w:right="859" w:firstLine="343"/>
        <w:spacing w:after="0" w:line="266" w:lineRule="auto"/>
        <w:rPr>
          <w:sz w:val="20"/>
          <w:szCs w:val="20"/>
          <w:color w:val="auto"/>
        </w:rPr>
      </w:pPr>
      <w:r>
        <w:rPr>
          <w:rFonts w:ascii="Times New Roman" w:cs="Times New Roman" w:eastAsia="Times New Roman" w:hAnsi="Times New Roman"/>
          <w:sz w:val="14"/>
          <w:szCs w:val="14"/>
          <w:color w:val="auto"/>
        </w:rPr>
        <w:t xml:space="preserve">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protein-protein interaction represents the most downstream effector node of the canonical Wnt pathway. Upstream activating signals, whether arising from Wnt ligand binding, loss of destruction complex function through APC mutations, or stabilizing mutations in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itself, all converge to drive a tumorigenic transcriptional program. The downstream position of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complex in this pathway provides the mechanistic rationale for zolucatetide and is the basis of our therapeutic strategy.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 Downstream inhibition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i w:val="1"/>
          <w:iCs w:val="1"/>
          <w:color w:val="auto"/>
        </w:rPr>
        <w:t>-catenin signaling by zolucatetide.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135255</wp:posOffset>
            </wp:positionV>
            <wp:extent cx="3791585" cy="2189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91585" cy="218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Historical Challenges in Targeting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i w:val="1"/>
          <w:iCs w:val="1"/>
          <w:color w:val="auto"/>
        </w:rPr>
        <w:t>-catenin pathway</w:t>
      </w:r>
    </w:p>
    <w:p>
      <w:pPr>
        <w:spacing w:after="0" w:line="93" w:lineRule="exact"/>
        <w:rPr>
          <w:sz w:val="20"/>
          <w:szCs w:val="20"/>
          <w:color w:val="auto"/>
        </w:rPr>
      </w:pPr>
    </w:p>
    <w:p>
      <w:pPr>
        <w:ind w:left="720" w:right="759" w:firstLine="343"/>
        <w:spacing w:after="0" w:line="260" w:lineRule="auto"/>
        <w:rPr>
          <w:sz w:val="20"/>
          <w:szCs w:val="20"/>
          <w:color w:val="auto"/>
        </w:rPr>
      </w:pPr>
      <w:r>
        <w:rPr>
          <w:rFonts w:ascii="Times New Roman" w:cs="Times New Roman" w:eastAsia="Times New Roman" w:hAnsi="Times New Roman"/>
          <w:sz w:val="14"/>
          <w:szCs w:val="14"/>
          <w:color w:val="auto"/>
        </w:rPr>
        <w:t xml:space="preserve">Despite compelling biological and clinical rationale and more than three decades of drug discovery effort, investigational therapeutics that directly and selectively target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have not been successful in clinical development to date. Furthermore,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itself has historically been considered undruggable due to its structural and functional properties. The protein lacks deep, well-defined binding pockets and relies on large, shallow protein-protein interaction surfaces within its armadillo repeat domain to engage partners such as TCF, APC, Axin, and E-cadherin. These overlapping interaction interfaces make selective disruption of oncogenic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signaling difficult without impairing essential cellular functions like adhesion. Additionally, as an intracellular protein localized to the cytoplasm and nucleus,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has remained inaccessible to biologics, while traditional small molecules have lacked the size and structural complexity to effectively engage its large interaction surface. We have specifically engineered zolucatetide to bind the relatively flat protein-protein interaction surface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and directly disrupt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interaction, as illustrated in the figure below.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3" w:name="page124"/>
    <w:bookmarkEnd w:id="12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4: Zolucatetide’s differentiated binding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135255</wp:posOffset>
            </wp:positionV>
            <wp:extent cx="2936875" cy="11347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36875" cy="113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20" w:right="1279" w:firstLine="343"/>
        <w:spacing w:after="0" w:line="282" w:lineRule="auto"/>
        <w:rPr>
          <w:sz w:val="20"/>
          <w:szCs w:val="20"/>
          <w:color w:val="auto"/>
        </w:rPr>
      </w:pPr>
      <w:r>
        <w:rPr>
          <w:rFonts w:ascii="Times New Roman" w:cs="Times New Roman" w:eastAsia="Times New Roman" w:hAnsi="Times New Roman"/>
          <w:sz w:val="14"/>
          <w:szCs w:val="14"/>
          <w:color w:val="auto"/>
        </w:rPr>
        <w:t xml:space="preserve">As shown in the figure below, zolucatetide inhibits the interaction between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TCF without disrupting other interactions.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5: Zolucatetide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135255</wp:posOffset>
            </wp:positionV>
            <wp:extent cx="2483485" cy="11480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83485" cy="114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Certain historical efforts focusing on modulating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proliferation, such as the use of porcupine inhibitors, failed due to limited efficacy since these inhibitors targeted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upstream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itself. In tumors harboring APC 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mutations,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activity becomes independent of ligand- or receptor-mediated signaling, rendering upstream interventions largely ineffective (see Figure 3). Additionally, systemic or nonselective inhibition of the pathway as demonstrated by frizzled-targeting antibodies and decoy receptors targeting Wnt receptors has resulted in significant on-target toxicities such as bone loss and dysgeusia. Like porcupine inhibitors, these agents target the receptor-ligand axis and are therefore not expected to address tumors with downstream pathway activation. We believe zolucatetide addresses these limitations by directly targeting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interaction at the critical downstream node of the pathway.</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Our Solution – Zolucatetide</w:t>
      </w:r>
    </w:p>
    <w:p>
      <w:pPr>
        <w:spacing w:after="0" w:line="93" w:lineRule="exact"/>
        <w:rPr>
          <w:sz w:val="20"/>
          <w:szCs w:val="20"/>
          <w:color w:val="auto"/>
        </w:rPr>
      </w:pPr>
    </w:p>
    <w:p>
      <w:pPr>
        <w:ind w:left="720" w:right="779" w:firstLine="343"/>
        <w:spacing w:after="0" w:line="265" w:lineRule="auto"/>
        <w:rPr>
          <w:sz w:val="20"/>
          <w:szCs w:val="20"/>
          <w:color w:val="auto"/>
        </w:rPr>
      </w:pPr>
      <w:r>
        <w:rPr>
          <w:rFonts w:ascii="Times New Roman" w:cs="Times New Roman" w:eastAsia="Times New Roman" w:hAnsi="Times New Roman"/>
          <w:sz w:val="14"/>
          <w:szCs w:val="14"/>
          <w:color w:val="auto"/>
        </w:rPr>
        <w:t xml:space="preserve">To overcome the historical challenges described above, we specifically engineered zolucatetide to enter cells without altering the cell membrane and bind to the relatively flat protein-protein interaction surface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directly disrupting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interaction at the critical downstream node of the pathway. We believe zolucatetide has the potential to block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-catenin-dependent Wnt signaling in tumors mutated at APC and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by acting at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interface. As set forth in the graphic below, zolucatetide acts downstream of both APC loss-of-function and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gain-of-function mutations, and as a result we believe cancers driven by mutations in either of these genes will be responsive to zolucatetide. Multiple high-value indications are known to be driven by direct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activation, including desmoid tumors, FAP, HCC, CRC, and numerous other rare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-catenin-driven indications. The figure below summarizes these indications.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4" w:name="page125"/>
    <w:bookmarkEnd w:id="12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6: Zolucatetide acts downstream of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135255</wp:posOffset>
            </wp:positionV>
            <wp:extent cx="4692650" cy="20161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92650" cy="201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right="819" w:firstLine="343"/>
        <w:spacing w:after="0" w:line="264" w:lineRule="auto"/>
        <w:rPr>
          <w:sz w:val="20"/>
          <w:szCs w:val="20"/>
          <w:color w:val="auto"/>
        </w:rPr>
      </w:pPr>
      <w:r>
        <w:rPr>
          <w:rFonts w:ascii="Times New Roman" w:cs="Times New Roman" w:eastAsia="Times New Roman" w:hAnsi="Times New Roman"/>
          <w:sz w:val="14"/>
          <w:szCs w:val="14"/>
          <w:color w:val="auto"/>
        </w:rPr>
        <w:t>Although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alterations occur across a wide range of cancers, we have been disciplined and deliberate in choosing where to focus. We are prioritizing indications based on three criteria: (i)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mutation is highly prevalent, (ii)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is the key driver of disease, and (iii) we have seen high levels of activity to date in our preclinical studies and clinical trials. These indications are often genomically simple tumors in which a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mutation is the main oncogenic driver detected. These indications include desmoid tumors and FAP, settings in which a monotherapy approach to direct inhibition at the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node has historically been observed to be effective. We are also exploring HCC, where we believe zolucatetide is well positioned to treat a molecularly defined subset of patients that harbor activating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mutations, as well as additional rare indications such as ACP and ameloblastoma. We also believe that zolucatetide has potential as part of combination regimens in more genomically complex tumors, such as colorectal cancer, where additional mutations beyond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are also implicated in driving disease.</w:t>
      </w:r>
    </w:p>
    <w:p>
      <w:pPr>
        <w:spacing w:after="0" w:line="138" w:lineRule="exact"/>
        <w:rPr>
          <w:sz w:val="20"/>
          <w:szCs w:val="20"/>
          <w:color w:val="auto"/>
        </w:rPr>
      </w:pPr>
    </w:p>
    <w:p>
      <w:pPr>
        <w:ind w:left="720" w:right="859" w:firstLine="343"/>
        <w:spacing w:after="0" w:line="266" w:lineRule="auto"/>
        <w:rPr>
          <w:sz w:val="20"/>
          <w:szCs w:val="20"/>
          <w:color w:val="auto"/>
        </w:rPr>
      </w:pPr>
      <w:r>
        <w:rPr>
          <w:rFonts w:ascii="Times New Roman" w:cs="Times New Roman" w:eastAsia="Times New Roman" w:hAnsi="Times New Roman"/>
          <w:sz w:val="14"/>
          <w:szCs w:val="14"/>
          <w:color w:val="auto"/>
        </w:rPr>
        <w:t xml:space="preserve">We are committed to advancing zolucatetide in indications where the underlying biology supports the potential for meaningful clinical benefit and where we see potential for patient impact. We believe that the clinical data obtained to date provide evidence of successful targeting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therapeutic utility across multiple tumor types. We have set forth below the design of our ongoing Phase 1/2 clinical trial of zolucatetide.</w:t>
      </w:r>
    </w:p>
    <w:p>
      <w:pPr>
        <w:spacing w:after="0" w:line="169" w:lineRule="exact"/>
        <w:rPr>
          <w:sz w:val="20"/>
          <w:szCs w:val="20"/>
          <w:color w:val="auto"/>
        </w:rPr>
      </w:pPr>
    </w:p>
    <w:p>
      <w:pPr>
        <w:ind w:left="720" w:right="759" w:firstLine="333"/>
        <w:spacing w:after="0" w:line="255" w:lineRule="auto"/>
        <w:rPr>
          <w:sz w:val="20"/>
          <w:szCs w:val="20"/>
          <w:color w:val="auto"/>
        </w:rPr>
      </w:pPr>
      <w:r>
        <w:rPr>
          <w:rFonts w:ascii="Times New Roman" w:cs="Times New Roman" w:eastAsia="Times New Roman" w:hAnsi="Times New Roman"/>
          <w:sz w:val="14"/>
          <w:szCs w:val="14"/>
          <w:color w:val="auto"/>
        </w:rPr>
        <w:t>Our ongoing Phase 1/2 clinical trial of zolucatetide (Study FOG-001-101) is a multi-arm, open-label study evaluating zolucatetide administered as an intravenous (“IV”) infusion, both as a monotherapy and in combination, in patients with locally advanced or metastatic solid tumors harboring Wnt pathway-activating mutations (“WPAM”), including APC and CTNNB1 mutations. The primary objectives of Part 1 are to assess the safety and tolerability of zolucatetide across a range of dose levels and dosing schedules, characterize the pharmacokinetic (“PK”) profile, identify a preliminary recommended Phase 2 dose and schedule, and evaluate preliminary antitumor activity. The trial consists of a dose-escalation and dose-optimization phase (Part 1), followed by a dose-expansion phase (Part 2). Figure 7 summarizes the trial design, enrolled patient populations, evaluated dose cohorts, and primary and secondary endpoints.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5" w:name="page126"/>
    <w:bookmarkEnd w:id="12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Figure 7. Zolucatetide study cohorts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121920</wp:posOffset>
            </wp:positionV>
            <wp:extent cx="4806315" cy="2062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0631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i w:val="1"/>
          <w:iCs w:val="1"/>
          <w:color w:val="auto"/>
        </w:rPr>
        <w:t>All sites are U.S.-based. Part 1 not powered for statistical significance; antitumor activity results are exploratory.</w:t>
      </w:r>
    </w:p>
    <w:p>
      <w:pPr>
        <w:ind w:left="720"/>
        <w:spacing w:after="0" w:line="225" w:lineRule="auto"/>
        <w:rPr>
          <w:sz w:val="20"/>
          <w:szCs w:val="20"/>
          <w:color w:val="auto"/>
        </w:rPr>
      </w:pPr>
      <w:r>
        <w:rPr>
          <w:rFonts w:ascii="Times New Roman" w:cs="Times New Roman" w:eastAsia="Times New Roman" w:hAnsi="Times New Roman"/>
          <w:sz w:val="11"/>
          <w:szCs w:val="11"/>
          <w:color w:val="171D2A"/>
        </w:rPr>
        <w:t>Bev = Bevacizumab; Combo = Combination; CRC = Colorectal Cancer; DL = dose level; IV = Intravenous(ly); QW = weekly; Q2W = every 2 weeks; RP2D =</w:t>
      </w:r>
    </w:p>
    <w:p>
      <w:pPr>
        <w:ind w:left="720"/>
        <w:spacing w:after="0" w:line="219" w:lineRule="auto"/>
        <w:rPr>
          <w:sz w:val="20"/>
          <w:szCs w:val="20"/>
          <w:color w:val="auto"/>
        </w:rPr>
      </w:pPr>
      <w:r>
        <w:rPr>
          <w:rFonts w:ascii="Times New Roman" w:cs="Times New Roman" w:eastAsia="Times New Roman" w:hAnsi="Times New Roman"/>
          <w:sz w:val="11"/>
          <w:szCs w:val="11"/>
          <w:color w:val="171D2A"/>
        </w:rPr>
        <w:t>recommended phase 2 dose.</w:t>
      </w:r>
    </w:p>
    <w:p>
      <w:pPr>
        <w:ind w:left="720"/>
        <w:spacing w:after="0" w:line="220" w:lineRule="auto"/>
        <w:rPr>
          <w:sz w:val="20"/>
          <w:szCs w:val="20"/>
          <w:color w:val="auto"/>
        </w:rPr>
      </w:pPr>
      <w:r>
        <w:rPr>
          <w:rFonts w:ascii="Times New Roman" w:cs="Times New Roman" w:eastAsia="Times New Roman" w:hAnsi="Times New Roman"/>
          <w:sz w:val="11"/>
          <w:szCs w:val="11"/>
          <w:color w:val="171D2A"/>
        </w:rPr>
        <w:t>* One cycle = 28 days</w:t>
      </w:r>
    </w:p>
    <w:p>
      <w:pPr>
        <w:ind w:left="720"/>
        <w:spacing w:after="0" w:line="219" w:lineRule="auto"/>
        <w:rPr>
          <w:sz w:val="20"/>
          <w:szCs w:val="20"/>
          <w:color w:val="auto"/>
        </w:rPr>
      </w:pPr>
      <w:r>
        <w:rPr>
          <w:rFonts w:ascii="Times New Roman" w:cs="Times New Roman" w:eastAsia="Times New Roman" w:hAnsi="Times New Roman"/>
          <w:sz w:val="11"/>
          <w:szCs w:val="11"/>
          <w:color w:val="2A2B2C"/>
        </w:rPr>
        <w:t># not amenable to locoregional therapy or relapsed after locoregional therapy and not amenable to curative treatment</w:t>
      </w:r>
    </w:p>
    <w:p>
      <w:pPr>
        <w:ind w:left="800" w:hanging="80"/>
        <w:spacing w:after="0" w:line="220" w:lineRule="auto"/>
        <w:tabs>
          <w:tab w:leader="none" w:pos="800" w:val="left"/>
        </w:tabs>
        <w:numPr>
          <w:ilvl w:val="0"/>
          <w:numId w:val="72"/>
        </w:numPr>
        <w:rPr>
          <w:rFonts w:ascii="Times New Roman" w:cs="Times New Roman" w:eastAsia="Times New Roman" w:hAnsi="Times New Roman"/>
          <w:sz w:val="11"/>
          <w:szCs w:val="11"/>
          <w:color w:val="2A2B2C"/>
        </w:rPr>
      </w:pPr>
      <w:r>
        <w:rPr>
          <w:rFonts w:ascii="Times New Roman" w:cs="Times New Roman" w:eastAsia="Times New Roman" w:hAnsi="Times New Roman"/>
          <w:sz w:val="11"/>
          <w:szCs w:val="11"/>
          <w:color w:val="171D2A"/>
        </w:rPr>
        <w:t>with an increase of ≥10% by RECIST 1.1 or in the active component of the tumor within 12 months of the first dose of zolucatetide</w:t>
      </w:r>
    </w:p>
    <w:p>
      <w:pPr>
        <w:ind w:left="720" w:right="1199"/>
        <w:spacing w:after="0" w:line="236" w:lineRule="auto"/>
        <w:tabs>
          <w:tab w:leader="none" w:pos="860" w:val="left"/>
        </w:tabs>
        <w:numPr>
          <w:ilvl w:val="0"/>
          <w:numId w:val="73"/>
        </w:numPr>
        <w:rPr>
          <w:rFonts w:ascii="Times New Roman" w:cs="Times New Roman" w:eastAsia="Times New Roman" w:hAnsi="Times New Roman"/>
          <w:sz w:val="11"/>
          <w:szCs w:val="11"/>
          <w:color w:val="2A2B2C"/>
        </w:rPr>
      </w:pPr>
      <w:r>
        <w:rPr>
          <w:rFonts w:ascii="Times New Roman" w:cs="Times New Roman" w:eastAsia="Times New Roman" w:hAnsi="Times New Roman"/>
          <w:sz w:val="11"/>
          <w:szCs w:val="11"/>
          <w:i w:val="1"/>
          <w:iCs w:val="1"/>
          <w:color w:val="2A2B2C"/>
        </w:rPr>
        <w:t>(Part 1f-2 open to WPAM+ solid tumors for which immunotherapy with anti-PD-1/PD-L1 +/-CTLA-4 therapy is Standard of Care (SoC) and have primary resistance or secondary resistance (within 6 months of the first dose) on anti-PD1/PD-L1 therapy or ineligible for SoC</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8: Zolucatetide fixed dose equivalents for each BSA-based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135255</wp:posOffset>
            </wp:positionV>
            <wp:extent cx="4004945" cy="1815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004945" cy="181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color w:val="auto"/>
        </w:rPr>
        <w:t>BSA = Body Surface Area</w:t>
      </w:r>
    </w:p>
    <w:p>
      <w:pPr>
        <w:spacing w:after="0" w:line="160" w:lineRule="exact"/>
        <w:rPr>
          <w:sz w:val="20"/>
          <w:szCs w:val="20"/>
          <w:color w:val="auto"/>
        </w:rPr>
      </w:pPr>
    </w:p>
    <w:p>
      <w:pPr>
        <w:ind w:left="720" w:right="779" w:firstLine="333"/>
        <w:spacing w:after="0" w:line="257" w:lineRule="auto"/>
        <w:rPr>
          <w:sz w:val="20"/>
          <w:szCs w:val="20"/>
          <w:color w:val="auto"/>
        </w:rPr>
      </w:pPr>
      <w:r>
        <w:rPr>
          <w:rFonts w:ascii="Times New Roman" w:cs="Times New Roman" w:eastAsia="Times New Roman" w:hAnsi="Times New Roman"/>
          <w:sz w:val="14"/>
          <w:szCs w:val="14"/>
          <w:color w:val="auto"/>
        </w:rPr>
        <w:t>Part 1A was designed as a standard monotherapy dose-escalation study evaluating patients with desmoid tumors, microsatellite stable colorectal cancer (“MSS CRC”), and other advanced solid tumors harboring WPAM alterations. Desmoid tumor patients were enrolled across multiple dose levels, including DL2, DL4, and DL6. Based on the clinical activity observed in desmoid tumor patients during Part 1A, Part 1D was initiated to accelerate development in this setting and optimize the zolucatetide dose and schedule for potential later-stage development. Part 1D evaluates three randomized induction and maintenance dosing regimens across DL2 and DL4 weekly and every-other-week schedules in desmoid tumors.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6" w:name="page127"/>
    <w:bookmarkEnd w:id="12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33"/>
        <w:spacing w:after="0" w:line="256" w:lineRule="auto"/>
        <w:rPr>
          <w:sz w:val="20"/>
          <w:szCs w:val="20"/>
          <w:color w:val="auto"/>
        </w:rPr>
      </w:pPr>
      <w:r>
        <w:rPr>
          <w:rFonts w:ascii="Times New Roman" w:cs="Times New Roman" w:eastAsia="Times New Roman" w:hAnsi="Times New Roman"/>
          <w:sz w:val="14"/>
          <w:szCs w:val="14"/>
          <w:color w:val="auto"/>
        </w:rPr>
        <w:t>All patients enrolled in the study to date have been treated at clinical sites in the United States. Part 1 was not designed or powered to assess for statistical significance. Antitumor activity results are reported as exploratory observations and include objective response rate (“ORR”), best overall response (“BOR”), duration of response (“DOR”), disease control rate (“DCR”), and time to progression (“TTP”), assessed using disease-appropriate response criteria, including RECIST 1.1 for desmoid tumors and other solid tumors. The clinical data presented in Figures 9 through 14 reflect patients enrolled and treated in Part 1A (dose escalation) and Part 1D (dose optimization) as of February 16, 2026, with a primary focus on the desmoid tumor indication, which currently represents the lead development opportunity for zolucatetide.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Indications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Genomically Simple Tumors</w:t>
      </w:r>
    </w:p>
    <w:p>
      <w:pPr>
        <w:spacing w:after="0" w:line="104" w:lineRule="exact"/>
        <w:rPr>
          <w:sz w:val="20"/>
          <w:szCs w:val="20"/>
          <w:color w:val="auto"/>
        </w:rPr>
      </w:pPr>
    </w:p>
    <w:p>
      <w:pPr>
        <w:ind w:left="720" w:right="779" w:firstLine="343"/>
        <w:spacing w:after="0" w:line="266" w:lineRule="auto"/>
        <w:rPr>
          <w:sz w:val="20"/>
          <w:szCs w:val="20"/>
          <w:color w:val="auto"/>
        </w:rPr>
      </w:pPr>
      <w:r>
        <w:rPr>
          <w:rFonts w:ascii="Times New Roman" w:cs="Times New Roman" w:eastAsia="Times New Roman" w:hAnsi="Times New Roman"/>
          <w:sz w:val="14"/>
          <w:szCs w:val="14"/>
          <w:color w:val="auto"/>
        </w:rPr>
        <w:t>We consider genomically simple tumors to be those in which a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mutation is highly prevalent, serves as the key driver of disease, and represents the primary oncogenic alteration detected. To date we have observed meaningful responses at dose levels DL2 to DL4, or 150-450 mg weekly.</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Desmoid Tumors</w:t>
      </w:r>
    </w:p>
    <w:p>
      <w:pPr>
        <w:spacing w:after="0" w:line="91"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Our lead indication for zolucatetide is desmoid tumors, which are rare, locally invasive soft tissue tumors driven by somatic or germline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mutations. We estimate that approximately 11,000 desmoid tumor patients in the United States are actively managed under physician care. Desmoid tumors are typically diagnosed in young adults, with peak incidence in individuals aged 30 to 40 years, and a higher prevalence in females. Desmoid tumors impose substantial morbidity, with pain, functional and mobility impairment, and the potential for life-threatening complications depending on tumor location. Given the chronic nature of the disease and the onset in a predominantly young patient demographic, who have a near-normal life expectancy, prolonged or lifelong management is typically required.</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Although there is an FDA-approved therapy, with others in development or prescribed off-label, there remains a large unmet medical need, as many patients either do not respond to therapy or have significant side effects. The only FDA-approved therapy, Ogsiveo (nirogacestat), is a GSI that demonstrated a 41% objective response rate measured at the end of its Phase 3 trial, with responses accrued over a median duration of 20.6 months. It was associated with high rates of adverse events, including diarrhea in 84% of patients, maculopapular rash in 32% of patients, and ovarian dysfunction in 75% of female patients of reproductive potential. More than half of desmoid tumor patients treated with this therapy do not achieve objective responses and among those who do, the median time to response is 5.6 months among those that did eventually respond. Another GSI, varegacestat, which is not yet approved, has shown a 56% objective response rate at the end of trial in its Phase 3 trial and was associated with similarly high rates of GSI-related adverse events including diarrhea (82%), rash (43%), and ovarian toxicity in 55.6% of pre-menopausal women. The Phase 3 trials of Ogsiveo and varegacestat described above were conducted at a later stage in the development process using different trial designs than our Phase 1/2 clinical trial of zolucatetide. Accordingly, the trial results of Ogsiveo and varegacestat may not be directly comparable to those we have observed in our clinical trial of zolucatetide to date and described elsewhere in this prospectus, nor to those that we may observe in our planned Phase 3 registrational trial. We have not conducted, and do not currently plan to conduct, any head-to-head clinical trials with Ogsiveo or varegacestat.</w:t>
      </w:r>
    </w:p>
    <w:p>
      <w:pPr>
        <w:spacing w:after="0" w:line="147"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 high threshold to initiate systemic therapy in desmoid tumors today may be driven in large part by toxicity and treatment burden, rather than disease biology alone. The availability of more effective and better-tolerated therapies could lower this treatment threshold, potentially significantly expanding the treated population and revealing a larger underlying market than is currently observed.</w:t>
      </w:r>
    </w:p>
    <w:p>
      <w:pPr>
        <w:spacing w:after="0" w:line="1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figures below set forth data from our ongoing Phase 1/2 trial, as of February 16,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7" w:name="page128"/>
    <w:bookmarkEnd w:id="12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Figure 9: Observed best percentage change from baseline and overall response in desmoid tumor patients receiving zolucatetide.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142875</wp:posOffset>
            </wp:positionV>
            <wp:extent cx="4806315" cy="26365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06315" cy="263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i w:val="1"/>
          <w:iCs w:val="1"/>
          <w:color w:val="auto"/>
        </w:rPr>
        <w:t>CR : Complete Response DL: dose level; PR: partial response; QW: weekly dosing; Q2W: every other week dosing.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8" w:name="page129"/>
    <w:bookmarkEnd w:id="12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10: Observed time on study treatment per patient in zolucatetide Phase 1/2 trial in desmoid tumors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135255</wp:posOffset>
            </wp:positionV>
            <wp:extent cx="3284220" cy="40119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84220"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 Patient achieved a complete response and voluntarily discontinued treatment due to relocation away from study center.</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Vertical dashed lines indicate timing of on treatment scans. Scans occur every eight weeks for the first 12 months, and then every 12 weeks thereafter.</w:t>
      </w:r>
    </w:p>
    <w:p>
      <w:pPr>
        <w:spacing w:after="0" w:line="1" w:lineRule="exact"/>
        <w:rPr>
          <w:sz w:val="20"/>
          <w:szCs w:val="20"/>
          <w:color w:val="auto"/>
        </w:rPr>
      </w:pPr>
    </w:p>
    <w:p>
      <w:pPr>
        <w:ind w:left="720" w:right="779"/>
        <w:spacing w:after="0" w:line="230" w:lineRule="auto"/>
        <w:rPr>
          <w:sz w:val="20"/>
          <w:szCs w:val="20"/>
          <w:color w:val="auto"/>
        </w:rPr>
      </w:pPr>
      <w:r>
        <w:rPr>
          <w:rFonts w:ascii="Times New Roman" w:cs="Times New Roman" w:eastAsia="Times New Roman" w:hAnsi="Times New Roman"/>
          <w:sz w:val="11"/>
          <w:szCs w:val="11"/>
          <w:color w:val="auto"/>
        </w:rPr>
        <w:t>Across both the dose escalation and dose optimization groups, 25 patients had at least one post-baseline scan, and 19 have more than one scan (16 weeks and beyond). Dose optimization arms are as follows: (1) Arm A = DL4 weekly for 2 cycles, followed by DL4 every 2 weeks; (2) Arm B = DL4 weekly for 4 cycles followed by DL2 weekly; and (3) Arm C = DL2 weekly for 4 cycles followed by DL2 every 2 weeks. One cycle is 28 days.</w:t>
      </w:r>
    </w:p>
    <w:p>
      <w:pPr>
        <w:spacing w:after="0" w:line="142"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38 desmoid patients have been enrolled and treated with zolucatetide, of which 25 had sufficient follow up to be response-evaluable, with all 25 patients showing tumor reductions (DCR 100%). Of the 19 patients with at least two post-baseline scans, 74% (14/19) had an objective response per RECIST 1.1 (a 30% or greater tumor reduction from baseline), including one complete response (CR:5.2%), with a median time to response of 3.8 months. In all patients who have achieved a partial response and who have had a subsequent scan, the partial response has been confirmed. Partial responses were observed in desmoid tumor patients regardless of prior exposure to GSIs. Patient prior treatment categories include: (1) no prior GSI exposure (GSI-naïve), (2) disease progression after treatment with a GSI, and (3) discontinuation of prior GSI due to toxicity or other reasons. We believe the ability of zolucatetide to drive responses in desmoid tumors regardless of prior GSI therapy supports our differentiated approach of targeting the direct underlying cause of desmoid tumors, mutations in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or APC, underscoring zolucatetide’s potential.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9" w:name="page130"/>
    <w:bookmarkEnd w:id="12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To date, data in the zolucatetide desmoid tumor program demonstrate deep and durable responses across dose levels, assessed by both RECIST 1.1 per investigator and volumetric measurements per central reader. We currently have volumetric measurements on eight patients from the central reader. Figure 11 shows substantial tumor reduction across all three dose cohorts (72, 240, and 480 mg/m²), including in patients with prior GSI progressive disease. Figure 11 tracks percent change from baseline through Week 96 and demonstrates rapid, steep tumor regression in the 240 and 480 mg/m² cohorts, with responses evident within the first weeks of treatment. A slower but consistent pattern of reduction over time, was observed in the 72 mg/m² cohort. Volumetric data from the central reader corroborate and in all cases exceed the depth of response captured by RECIST 1.1, further supporting our view of the clinical meaningfulness of the observed tumor reductions.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Figure 11. Volumetric data -- responses by dose level and prior GSI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228600</wp:posOffset>
            </wp:positionV>
            <wp:extent cx="4538980" cy="13550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3898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i w:val="1"/>
          <w:iCs w:val="1"/>
          <w:color w:val="auto"/>
        </w:rPr>
        <w:t>Figure 12. Volumetric data -- time to response by dose level as of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121920</wp:posOffset>
            </wp:positionV>
            <wp:extent cx="4505960" cy="14954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05960"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right="839" w:firstLine="343"/>
        <w:spacing w:after="0" w:line="253" w:lineRule="auto"/>
        <w:rPr>
          <w:sz w:val="20"/>
          <w:szCs w:val="20"/>
          <w:color w:val="auto"/>
        </w:rPr>
      </w:pPr>
      <w:r>
        <w:rPr>
          <w:rFonts w:ascii="Times New Roman" w:cs="Times New Roman" w:eastAsia="Times New Roman" w:hAnsi="Times New Roman"/>
          <w:sz w:val="14"/>
          <w:szCs w:val="14"/>
          <w:color w:val="auto"/>
        </w:rPr>
        <w:t>To date, we have observed chronic administration of zolucatetide to be well tolerated and to reduce tumor size over time. Additional information regarding tolerability and treatment-related adverse events (“TRAEs”) can be found below in Figure 13. We are developing a new formulation of zolucatetide to be used as a self-administered injection, either with an autoinjector, pre-filled syringe or an on-body device for ease of administration, which we believe may further support chronic use and adoption. We are currently evaluating a number of lead formulations for zolucatetide with the intention of taking the final formulation into bridging studies in healthy volunteers and patient populations. Although we plan to continue working toward a self-administered injectable formulation, we intend to conduct our pivotal Phase 3 trial of zolucatetide in desmoid tumors initially using only the current intravenous (“IV”) infusion presentation. We currently plan on launching zolucatetide, if approved, in a self-administered injectable product formulation. We expect regulatory authorities will require us to conduct, among other things, PK compatibility studies to bridge the IV infusion presentation to these new planned injection presentations, human factors testing to support self-administration of zolucatetide, and potentially a separate Phase 2 trial to validate the equivalence of the current IV formulation to the injectable formulation. Any of these additional steps could delay marketing approval of zolucatetide in one or more formulations. We expect to identify our final formulation and engage in a discussion with the FDA relating to a bridging trial to allow for approval of the self-administered injectable formulation to be approved.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0" w:name="page131"/>
    <w:bookmarkEnd w:id="13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u w:val="single" w:color="auto"/>
          <w:color w:val="auto"/>
        </w:rPr>
        <w:t>Preliminary Clinical Safety Data</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table below sets forth preliminary clinical safety data for all desmoid tumor patients as of February 16, 2026. We have observed zolucatetide at optimal doses between DL2 and DL4 to have the potential for significant improvement in tolerability over GSIs and other available therapies for the treatment of desmoid tumors. The most commonly reported TRAEs at optimal doses between DL2 and DL4 were low-grade (Grade 1 or 2), with mild symptoms or asymptomatic laboratory abnormalities that were reversible. There were no treatment-related Grade 3 or higher gastrointestinal (“GI”), skin toxicities, or ovarian toxicities reported. No TRAEs have resulted in treatment discontinuation. As of February 16, 2026, all patients remain on trial with durable responses.</w:t>
      </w:r>
    </w:p>
    <w:p>
      <w:pPr>
        <w:spacing w:after="0" w:line="57" w:lineRule="exact"/>
        <w:rPr>
          <w:sz w:val="20"/>
          <w:szCs w:val="20"/>
          <w:color w:val="auto"/>
        </w:rPr>
      </w:pPr>
    </w:p>
    <w:p>
      <w:pPr>
        <w:jc w:val="center"/>
        <w:ind w:left="72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Figure 13: Treatment-related Adverse Events (“TRAE”) in desmoid tumor patients dosed in Part 1 in greater than or equal to 15% of patients, observed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100965</wp:posOffset>
            </wp:positionV>
            <wp:extent cx="4806315" cy="2470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0631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14: TRAE summary: All desmoid patients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135255</wp:posOffset>
            </wp:positionV>
            <wp:extent cx="4612640" cy="781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12640" cy="78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right="919"/>
        <w:spacing w:after="0" w:line="239" w:lineRule="auto"/>
        <w:rPr>
          <w:sz w:val="20"/>
          <w:szCs w:val="20"/>
          <w:color w:val="auto"/>
        </w:rPr>
      </w:pPr>
      <w:r>
        <w:rPr>
          <w:rFonts w:ascii="Times New Roman" w:cs="Times New Roman" w:eastAsia="Times New Roman" w:hAnsi="Times New Roman"/>
          <w:sz w:val="11"/>
          <w:szCs w:val="11"/>
          <w:i w:val="1"/>
          <w:iCs w:val="1"/>
          <w:color w:val="auto"/>
        </w:rPr>
        <w:t>*One patient had a Serious TRAE that was grade 1 fever but was hospitalized for workup, and was found to be positive for cryptococcal antigen, which may be an alternative cause of fever. Fever resolved within two days and the patient remains on treatment. This is patient noted with Grade 3 ALT TRAE in one of our desmoid dose optimization cohorts (DL4 – DL2 (QW), Arm B).</w:t>
      </w:r>
    </w:p>
    <w:p>
      <w:pPr>
        <w:spacing w:after="0" w:line="53" w:lineRule="exact"/>
        <w:rPr>
          <w:sz w:val="20"/>
          <w:szCs w:val="20"/>
          <w:color w:val="auto"/>
        </w:rPr>
      </w:pPr>
    </w:p>
    <w:p>
      <w:pPr>
        <w:ind w:left="720" w:right="799"/>
        <w:spacing w:after="0" w:line="259" w:lineRule="auto"/>
        <w:rPr>
          <w:sz w:val="20"/>
          <w:szCs w:val="20"/>
          <w:color w:val="auto"/>
        </w:rPr>
      </w:pPr>
      <w:r>
        <w:rPr>
          <w:rFonts w:ascii="Times New Roman" w:cs="Times New Roman" w:eastAsia="Times New Roman" w:hAnsi="Times New Roman"/>
          <w:sz w:val="11"/>
          <w:szCs w:val="11"/>
          <w:i w:val="1"/>
          <w:iCs w:val="1"/>
          <w:color w:val="auto"/>
        </w:rPr>
        <w:t>**One patient had a grade 4 TRAE (CPK increase that resolved after seven days). Four patients had grade 3 TRAEs—blood bilirubin increase, platelet decrease, ALT increase (not in the same patient as the grade 3 blood bilirubin increase). All were reversible asymptomatic lab abnormalities without clinical sequelae.</w:t>
      </w:r>
    </w:p>
    <w:p>
      <w:pPr>
        <w:spacing w:after="0" w:line="47"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Figures 15 and 16 below show the preliminary clinical safety data for all patients enrolled in our Phase 1/2 trial and who have been treated with zolucatetide as a monotherapy, including patients whose indications are MSS CRC.</w:t>
      </w:r>
    </w:p>
    <w:p>
      <w:pPr>
        <w:spacing w:after="0" w:line="156"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In summary, across multiple locally advanced or metastatic tumor types, including microsatellite-stable colorectal cancer (MSS CRC), zolucatetide was observed to be tolerated during the dose-limiting toxicity (DLT) evaluation period (first 28 days) at dose levels up to DL6 (900 mg). A dose-dependent increase in Grade ≥3 treatment-related adverse events (TRAEs) was observed. No maximum tolerated dose (MTD) has been identified to date.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1" w:name="page132"/>
    <w:bookmarkEnd w:id="13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1079" w:firstLine="343"/>
        <w:spacing w:after="0" w:line="261" w:lineRule="auto"/>
        <w:rPr>
          <w:sz w:val="20"/>
          <w:szCs w:val="20"/>
          <w:color w:val="auto"/>
        </w:rPr>
      </w:pPr>
      <w:r>
        <w:rPr>
          <w:rFonts w:ascii="Times New Roman" w:cs="Times New Roman" w:eastAsia="Times New Roman" w:hAnsi="Times New Roman"/>
          <w:sz w:val="14"/>
          <w:szCs w:val="14"/>
          <w:color w:val="auto"/>
        </w:rPr>
        <w:t>Grade ≥3 TRAEs were generally manageable with supportive care measures and dose interruptions. Patients were able to resume zolucatetide treatment at the same or a reduced dose following resolution or improvement of adverse events. Preliminary observations suggest that proactive management of adverse events, including hyponatremia, fatigue, and thrombocytopenia, may reduce the need for dose interruptions.</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No deaths attributable to TRAEs were reported.</w:t>
      </w:r>
    </w:p>
    <w:p>
      <w:pPr>
        <w:spacing w:after="0" w:line="207"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A higher incidence of Grade ≥3 TRAEs was observed among patients with MSS CRC. We believe this finding is consistent with the more advanced disease status and overall clinical condition of this population compared with patients with desmoid tumors or FAP. In addition, a greater proportion of MSS CRC patients were treated at higher dose levels (above DL4), where we anticipated an increased frequency of adverse events based on our observed dose–response relationship.</w:t>
      </w:r>
    </w:p>
    <w:p>
      <w:pPr>
        <w:spacing w:after="0" w:line="139" w:lineRule="exact"/>
        <w:rPr>
          <w:sz w:val="20"/>
          <w:szCs w:val="20"/>
          <w:color w:val="auto"/>
        </w:rPr>
      </w:pPr>
    </w:p>
    <w:p>
      <w:pPr>
        <w:jc w:val="center"/>
        <w:ind w:left="72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Figure 15 : TRAEs in monotherapy in all tumor patients dosed in Part 1 in greater than or equal to 15% of patients, observed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87630</wp:posOffset>
            </wp:positionV>
            <wp:extent cx="4806315" cy="1402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06315" cy="140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171D2A"/>
        </w:rPr>
        <w:t>DL = Dose level; TRAE = Treatment-related adverse event</w:t>
      </w:r>
    </w:p>
    <w:p>
      <w:pPr>
        <w:spacing w:after="0" w:line="21" w:lineRule="exact"/>
        <w:rPr>
          <w:sz w:val="20"/>
          <w:szCs w:val="20"/>
          <w:color w:val="auto"/>
        </w:rPr>
      </w:pPr>
    </w:p>
    <w:p>
      <w:pPr>
        <w:ind w:left="720" w:right="819"/>
        <w:spacing w:after="0" w:line="238" w:lineRule="auto"/>
        <w:tabs>
          <w:tab w:leader="none" w:pos="804" w:val="left"/>
        </w:tabs>
        <w:numPr>
          <w:ilvl w:val="0"/>
          <w:numId w:val="74"/>
        </w:numPr>
        <w:rPr>
          <w:rFonts w:ascii="Times New Roman" w:cs="Times New Roman" w:eastAsia="Times New Roman" w:hAnsi="Times New Roman"/>
          <w:sz w:val="11"/>
          <w:szCs w:val="11"/>
          <w:color w:val="171D2A"/>
        </w:rPr>
      </w:pPr>
      <w:r>
        <w:rPr>
          <w:rFonts w:ascii="Times New Roman" w:cs="Times New Roman" w:eastAsia="Times New Roman" w:hAnsi="Times New Roman"/>
          <w:sz w:val="11"/>
          <w:szCs w:val="11"/>
          <w:color w:val="171D2A"/>
        </w:rPr>
        <w:t>Other ≥ Grade 3 AEs include: thrombocytopenia/blood platelet count decreased at DL6 (n=4, 3.0%), lipase increased [n=3 total, 2.3%; DL5.5 (n=1) and DL6 (n=2)], adrenal insufficiency at DL5.5 and DL6 (n=2, 1.5%), gamma-glutamyl transferase increased at DL6 (n=1, 0.8%), pyrexia at DL5 (n=1, 0.8%), blood creatine phosphokinase increased at DL4 (n=1, 0.8%), and alanine aminotransferase increased at DL3 (n=1, 0.8%).</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Figure 16: Zolucatetide summary of TRAEs in all monotherapy participants, observed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121920</wp:posOffset>
            </wp:positionV>
            <wp:extent cx="4799330" cy="560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99330"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171D2A"/>
        </w:rPr>
        <w:t>DL = Dose level; TRAE = Treatment-related adverse event.</w:t>
      </w:r>
    </w:p>
    <w:p>
      <w:pPr>
        <w:spacing w:after="0" w:line="10" w:lineRule="exact"/>
        <w:rPr>
          <w:sz w:val="20"/>
          <w:szCs w:val="20"/>
          <w:color w:val="auto"/>
        </w:rPr>
      </w:pPr>
    </w:p>
    <w:p>
      <w:pPr>
        <w:ind w:left="720" w:right="1019"/>
        <w:spacing w:after="0" w:line="209" w:lineRule="auto"/>
        <w:tabs>
          <w:tab w:leader="none" w:pos="781" w:val="left"/>
        </w:tabs>
        <w:numPr>
          <w:ilvl w:val="0"/>
          <w:numId w:val="75"/>
        </w:numPr>
        <w:rPr>
          <w:rFonts w:ascii="Times New Roman" w:cs="Times New Roman" w:eastAsia="Times New Roman" w:hAnsi="Times New Roman"/>
          <w:sz w:val="15"/>
          <w:szCs w:val="15"/>
          <w:color w:val="171D2A"/>
          <w:vertAlign w:val="superscript"/>
        </w:rPr>
      </w:pPr>
      <w:r>
        <w:rPr>
          <w:rFonts w:ascii="Times New Roman" w:cs="Times New Roman" w:eastAsia="Times New Roman" w:hAnsi="Times New Roman"/>
          <w:sz w:val="11"/>
          <w:szCs w:val="11"/>
          <w:color w:val="171D2A"/>
        </w:rPr>
        <w:t>Grade 1 fever but patient was hospitalized for workup and was found to be positive for cryptococcal antigen, which may be an alternative cause of the fever. The Grade 1 fever resolved within 2 days. Zolucatetide was restarted at a lower dose and Q2W schedule and remains on treatment.</w:t>
      </w:r>
    </w:p>
    <w:p>
      <w:pPr>
        <w:spacing w:after="0" w:line="1" w:lineRule="exact"/>
        <w:rPr>
          <w:rFonts w:ascii="Times New Roman" w:cs="Times New Roman" w:eastAsia="Times New Roman" w:hAnsi="Times New Roman"/>
          <w:sz w:val="15"/>
          <w:szCs w:val="15"/>
          <w:color w:val="171D2A"/>
          <w:vertAlign w:val="superscript"/>
        </w:rPr>
      </w:pPr>
    </w:p>
    <w:p>
      <w:pPr>
        <w:ind w:left="720" w:right="899"/>
        <w:spacing w:after="0" w:line="202" w:lineRule="auto"/>
        <w:rPr>
          <w:rFonts w:ascii="Times New Roman" w:cs="Times New Roman" w:eastAsia="Times New Roman" w:hAnsi="Times New Roman"/>
          <w:sz w:val="15"/>
          <w:szCs w:val="15"/>
          <w:color w:val="171D2A"/>
          <w:vertAlign w:val="superscript"/>
        </w:rPr>
      </w:pPr>
      <w:r>
        <w:rPr>
          <w:rFonts w:ascii="Times New Roman" w:cs="Times New Roman" w:eastAsia="Times New Roman" w:hAnsi="Times New Roman"/>
          <w:sz w:val="15"/>
          <w:szCs w:val="15"/>
          <w:color w:val="171D2A"/>
          <w:vertAlign w:val="superscript"/>
        </w:rPr>
        <w:t>b</w:t>
      </w:r>
      <w:r>
        <w:rPr>
          <w:rFonts w:ascii="Times New Roman" w:cs="Times New Roman" w:eastAsia="Times New Roman" w:hAnsi="Times New Roman"/>
          <w:sz w:val="11"/>
          <w:szCs w:val="11"/>
          <w:color w:val="171D2A"/>
        </w:rPr>
        <w:t xml:space="preserve"> Grade 3 nausea and Grade 3 fever both initially reported as related to zolucatetide leading to drug interruption. Subsequent to the February 16, 2026 data cutoff, the Investigator determined the events to be not related to zolucatetide.</w:t>
      </w:r>
    </w:p>
    <w:p>
      <w:pPr>
        <w:ind w:left="720" w:right="819"/>
        <w:spacing w:after="0" w:line="207" w:lineRule="auto"/>
        <w:rPr>
          <w:rFonts w:ascii="Times New Roman" w:cs="Times New Roman" w:eastAsia="Times New Roman" w:hAnsi="Times New Roman"/>
          <w:sz w:val="15"/>
          <w:szCs w:val="15"/>
          <w:color w:val="171D2A"/>
          <w:vertAlign w:val="superscript"/>
        </w:rPr>
      </w:pPr>
      <w:r>
        <w:rPr>
          <w:rFonts w:ascii="Times New Roman" w:cs="Times New Roman" w:eastAsia="Times New Roman" w:hAnsi="Times New Roman"/>
          <w:sz w:val="15"/>
          <w:szCs w:val="15"/>
          <w:color w:val="171D2A"/>
          <w:vertAlign w:val="superscript"/>
        </w:rPr>
        <w:t>C</w:t>
      </w:r>
      <w:r>
        <w:rPr>
          <w:rFonts w:ascii="Times New Roman" w:cs="Times New Roman" w:eastAsia="Times New Roman" w:hAnsi="Times New Roman"/>
          <w:sz w:val="11"/>
          <w:szCs w:val="11"/>
          <w:color w:val="171D2A"/>
        </w:rPr>
        <w:t xml:space="preserve"> Grade 3 worsening adrenal insufficiency leading to dose interruption occurring in the setting of a COVID-19 infection (Grade 2 not related). Patient was treated with hydrocortisone and fludrocortisone. The SAE resolved after 11 days. Zolucatetide was restarted at DL5 but the patient subsequently ended treatment due to disease progression.</w:t>
      </w:r>
    </w:p>
    <w:p>
      <w:pPr>
        <w:jc w:val="both"/>
        <w:ind w:left="720" w:right="819"/>
        <w:spacing w:after="0" w:line="207" w:lineRule="auto"/>
        <w:rPr>
          <w:rFonts w:ascii="Times New Roman" w:cs="Times New Roman" w:eastAsia="Times New Roman" w:hAnsi="Times New Roman"/>
          <w:sz w:val="15"/>
          <w:szCs w:val="15"/>
          <w:color w:val="171D2A"/>
          <w:vertAlign w:val="superscript"/>
        </w:rPr>
      </w:pPr>
      <w:r>
        <w:rPr>
          <w:rFonts w:ascii="Times New Roman" w:cs="Times New Roman" w:eastAsia="Times New Roman" w:hAnsi="Times New Roman"/>
          <w:sz w:val="15"/>
          <w:szCs w:val="15"/>
          <w:color w:val="171D2A"/>
          <w:vertAlign w:val="superscript"/>
        </w:rPr>
        <w:t>d</w:t>
      </w:r>
      <w:r>
        <w:rPr>
          <w:rFonts w:ascii="Times New Roman" w:cs="Times New Roman" w:eastAsia="Times New Roman" w:hAnsi="Times New Roman"/>
          <w:sz w:val="11"/>
          <w:szCs w:val="11"/>
          <w:color w:val="171D2A"/>
        </w:rPr>
        <w:t xml:space="preserve"> Grade 3 adrenal insufficiency leading to drug interruption. Patient was treated with fludrocortisone and corticosteroids and SAE was recovered/resolved within three days. Zolucatetide was restarted at DL5 Q2W. Patient remained on treatment for another three cycles being treated beyond progression before ending treatment due to withdrawal of consent. Note patient was taking spironolactone at the time the SAE started.</w:t>
      </w:r>
    </w:p>
    <w:p>
      <w:pPr>
        <w:spacing w:after="0" w:line="16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In desmoid tumors, we currently expect the chronic dose to be close to the DL2 dose, with a possible short-term induction dose close to the DL4 dose. These two doses are boxed in green above in Figure 15.</w:t>
      </w:r>
    </w:p>
    <w:p>
      <w:pPr>
        <w:spacing w:after="0" w:line="125" w:lineRule="exact"/>
        <w:rPr>
          <w:sz w:val="20"/>
          <w:szCs w:val="20"/>
          <w:color w:val="auto"/>
        </w:rPr>
      </w:pPr>
    </w:p>
    <w:p>
      <w:pPr>
        <w:ind w:left="720" w:right="939" w:firstLine="343"/>
        <w:spacing w:after="0" w:line="287" w:lineRule="auto"/>
        <w:rPr>
          <w:sz w:val="20"/>
          <w:szCs w:val="20"/>
          <w:color w:val="auto"/>
        </w:rPr>
      </w:pPr>
      <w:r>
        <w:rPr>
          <w:rFonts w:ascii="Times New Roman" w:cs="Times New Roman" w:eastAsia="Times New Roman" w:hAnsi="Times New Roman"/>
          <w:sz w:val="13"/>
          <w:szCs w:val="13"/>
          <w:color w:val="auto"/>
        </w:rPr>
        <w:t>Of note, zolucatetide is a known inhibitor of the OATP1B1 and OATP1B3 transporters which mediate the hepatic uptake of bilirubin. This may sometimes lead to asymptomatic, clinically not significant elevation in blood bilirubin. This impact on bilirubin uptake is a benign laboratory abnormality that is not associated with hepatocellular injury. This phenomenon is similar to that observed in Rotor’s syndrome, a benign genetic condition characterized by OATP1B1 and OATP1B3 deficiency, which leads to</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2" w:name="page133"/>
    <w:bookmarkEnd w:id="13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99"/>
        <w:spacing w:after="0" w:line="267" w:lineRule="auto"/>
        <w:rPr>
          <w:sz w:val="20"/>
          <w:szCs w:val="20"/>
          <w:color w:val="auto"/>
        </w:rPr>
      </w:pPr>
      <w:r>
        <w:rPr>
          <w:rFonts w:ascii="Times New Roman" w:cs="Times New Roman" w:eastAsia="Times New Roman" w:hAnsi="Times New Roman"/>
          <w:sz w:val="14"/>
          <w:szCs w:val="14"/>
          <w:color w:val="auto"/>
        </w:rPr>
        <w:t>elevated blood bilirubin levels without affecting overall liver function. Patients with Rotor’s syndrome have normal liver function without any associated morbidity or impact on quality of life. In addition, treatment-related increases in other liver function markers (ALT, AST, and ALP) are less common, transient and almost exclusively low-grade.</w:t>
      </w:r>
    </w:p>
    <w:p>
      <w:pPr>
        <w:spacing w:after="0" w:line="136" w:lineRule="exact"/>
        <w:rPr>
          <w:sz w:val="20"/>
          <w:szCs w:val="20"/>
          <w:color w:val="auto"/>
        </w:rPr>
      </w:pPr>
    </w:p>
    <w:p>
      <w:pPr>
        <w:jc w:val="both"/>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 Wnt signaling pathway is also involved in bone homeostasis, and inhibition of the Wnt signaling pathway is known to result in on-target bone toxicity in previous attempts to drug the pathway with PORCN and Frizzled receptor inhibitors. Therefore, patients in the trial also take prophylactic anti-resorptive therapy at three to six month intervals throughout the duration of the trial treatment.</w:t>
      </w:r>
    </w:p>
    <w:p>
      <w:pPr>
        <w:ind w:left="720" w:right="819"/>
        <w:spacing w:after="0" w:line="254" w:lineRule="auto"/>
        <w:rPr>
          <w:sz w:val="20"/>
          <w:szCs w:val="20"/>
          <w:color w:val="auto"/>
        </w:rPr>
      </w:pPr>
      <w:r>
        <w:rPr>
          <w:rFonts w:ascii="Times New Roman" w:cs="Times New Roman" w:eastAsia="Times New Roman" w:hAnsi="Times New Roman"/>
          <w:sz w:val="14"/>
          <w:szCs w:val="14"/>
          <w:color w:val="auto"/>
        </w:rPr>
        <w:t>In addition, inhibition of β-catenin-TCF4 can result in on-target reduction of aldosterone production in the zona glomerulosa of the adrenal gland. Decreased production of aldosterone can clinically result in fatigue and imbalances in sodium and potassium. We have not seen any high grade TRAEs reported for bone toxicity or hypoaldosteronism. Patients may take an oral medication called fludrocortisone should they experience signs or symptoms of fatigue, hyponatremia or hypoaldosteronism.</w:t>
      </w:r>
    </w:p>
    <w:p>
      <w:pPr>
        <w:spacing w:after="0" w:line="14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Given the chronic and recurrent nature of desmoid tumors and the limitations of available treatments, there remains a significant unmet medical need for effective, safe and well-tolerated therapies. We believe zolucatetide has the potential to meaningfully improve treatment across efficacy measures such as time to response and depth and durability of response. Zolucatetide also has the potential for a substantially improved safety and tolerability profile over existing therapies, including sparing ovarian toxicity for female patients. We completed an End of Phase 1 meeting with the FDA where we and the FDA agreed on certain key aspects of our upcoming registrational Phase 3 trial design, including the study population, placebo-controlled comparator, and the non-clinical package. We intend to hold an End of Phase 2 meeting with the FDA in the fourth quarter of 2026 to align on remaining key trial design aspects. We intend to initiate our registrational Phase 3 trial for zolucatetide in patients with desmoid tumors in the first half of 2027.</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Familial Adenomatous Polyposis (“FAP”)</w:t>
      </w:r>
    </w:p>
    <w:p>
      <w:pPr>
        <w:spacing w:after="0" w:line="91" w:lineRule="exact"/>
        <w:rPr>
          <w:sz w:val="20"/>
          <w:szCs w:val="20"/>
          <w:color w:val="auto"/>
        </w:rPr>
      </w:pPr>
    </w:p>
    <w:p>
      <w:pPr>
        <w:ind w:left="720" w:right="9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We are also developing zolucatetide for FAP, an orphan disease that impacts an estimated 34,000 people in the United States. FAP is a chronic, lifelong disease characterized by an evolving burden resulting in substantial morbidity and reduced quality of life with limited management options. FAP is typically diagnosed in adolescence and most commonly through family history, as it is inherited in approximately 70% of cases with the remaining approximately 30% arising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Polyps can develop as early as age ten when patients begin to develop hundreds to thousands of pre-cancerous polyps in the gastrointestinal tract. In the absence of regular and aggressive polyp removal and life-altering colon-removal surgery (colectomy), patients generally have near-inevitable progression to colorectal cancer.</w:t>
      </w:r>
    </w:p>
    <w:p>
      <w:pPr>
        <w:spacing w:after="0" w:line="152" w:lineRule="exact"/>
        <w:rPr>
          <w:sz w:val="20"/>
          <w:szCs w:val="20"/>
          <w:color w:val="auto"/>
        </w:rPr>
      </w:pPr>
    </w:p>
    <w:p>
      <w:pPr>
        <w:ind w:left="720" w:right="899" w:firstLine="343"/>
        <w:spacing w:after="0" w:line="259" w:lineRule="auto"/>
        <w:rPr>
          <w:sz w:val="20"/>
          <w:szCs w:val="20"/>
          <w:color w:val="auto"/>
        </w:rPr>
      </w:pPr>
      <w:r>
        <w:rPr>
          <w:rFonts w:ascii="Times New Roman" w:cs="Times New Roman" w:eastAsia="Times New Roman" w:hAnsi="Times New Roman"/>
          <w:sz w:val="14"/>
          <w:szCs w:val="14"/>
          <w:color w:val="auto"/>
        </w:rPr>
        <w:t xml:space="preserve">FAP is driven, in all cases, by germline loss-of-function mutations in the </w:t>
      </w:r>
      <w:r>
        <w:rPr>
          <w:rFonts w:ascii="Times New Roman" w:cs="Times New Roman" w:eastAsia="Times New Roman" w:hAnsi="Times New Roman"/>
          <w:sz w:val="14"/>
          <w:szCs w:val="14"/>
          <w:i w:val="1"/>
          <w:iCs w:val="1"/>
          <w:color w:val="auto"/>
        </w:rPr>
        <w:t>APC</w:t>
      </w:r>
      <w:r>
        <w:rPr>
          <w:rFonts w:ascii="Times New Roman" w:cs="Times New Roman" w:eastAsia="Times New Roman" w:hAnsi="Times New Roman"/>
          <w:sz w:val="14"/>
          <w:szCs w:val="14"/>
          <w:color w:val="auto"/>
        </w:rPr>
        <w:t xml:space="preserve"> gene, leading to persistent activation of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signaling. There is currently no approved drug treatment for FAP. Management relies on prophylactic colectomy at a young age. Importantly, recurrence is common even after surgery, as this aggressive intervention does not prevent continued Wnt-driven duodenal and rectal polyposis, necessitating lifelong surveillance, repeated endoscopic procedures, and often additional debilitating surgical interventions.</w:t>
      </w:r>
    </w:p>
    <w:p>
      <w:pPr>
        <w:spacing w:after="0" w:line="152" w:lineRule="exact"/>
        <w:rPr>
          <w:sz w:val="20"/>
          <w:szCs w:val="20"/>
          <w:color w:val="auto"/>
        </w:rPr>
      </w:pPr>
    </w:p>
    <w:p>
      <w:pPr>
        <w:jc w:val="both"/>
        <w:ind w:left="720" w:right="819" w:firstLine="343"/>
        <w:spacing w:after="0" w:line="266" w:lineRule="auto"/>
        <w:rPr>
          <w:sz w:val="20"/>
          <w:szCs w:val="20"/>
          <w:color w:val="auto"/>
        </w:rPr>
      </w:pPr>
      <w:r>
        <w:rPr>
          <w:rFonts w:ascii="Times New Roman" w:cs="Times New Roman" w:eastAsia="Times New Roman" w:hAnsi="Times New Roman"/>
          <w:sz w:val="14"/>
          <w:szCs w:val="14"/>
          <w:color w:val="auto"/>
        </w:rPr>
        <w:t xml:space="preserve">Desmoid tumors and FAP share common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biology, and approximately 10% of desmoid tumor patients also have FAP. Similar to its potential application in desmoid tumors, we believe that zolucatetide has the potential to be used as a chronic therapy in FAP patients.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17: In FAP, APC mutations in Wnt/</w:t>
      </w:r>
      <w:r>
        <w:rPr>
          <w:rFonts w:ascii="Arial" w:cs="Arial" w:eastAsia="Arial" w:hAnsi="Arial"/>
          <w:sz w:val="14"/>
          <w:szCs w:val="14"/>
          <w:b w:val="1"/>
          <w:bCs w:val="1"/>
          <w:color w:val="auto"/>
        </w:rPr>
        <w:t>b</w:t>
      </w:r>
      <w:r>
        <w:rPr>
          <w:rFonts w:ascii="Times New Roman" w:cs="Times New Roman" w:eastAsia="Times New Roman" w:hAnsi="Times New Roman"/>
          <w:sz w:val="14"/>
          <w:szCs w:val="14"/>
          <w:b w:val="1"/>
          <w:bCs w:val="1"/>
          <w:i w:val="1"/>
          <w:iCs w:val="1"/>
          <w:color w:val="auto"/>
        </w:rPr>
        <w:t>-catenin pathway drive growth of polyps and progression to colorectal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134620</wp:posOffset>
            </wp:positionV>
            <wp:extent cx="2710180" cy="674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10180" cy="67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We are currently enrolling desmoid tumor patients who have FAP in our ongoing clinical trial. In the desmoid tumor cohort of our ongoing clinical trial, we have two patients with responses further detailed in this section. With the first patient, we observed significant improvement in duodenal polyposis burden at 60 weeks following initiation of treatment in one patient who had both FAP and an associated desmoid tumor and was treated with zolucatetide. Substantial reductions in polyp number and size compared with a pre-treatment evaluation nearly two years prior were also observed, consistent with downstaging from Spigelman Stage 2 to Stage 1.</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3" w:name="page134"/>
    <w:bookmarkEnd w:id="13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720" w:right="7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Figure 18: Endoscopy showed improvement in duodenal polyp burden in the first patient with desmoid tumor and FAP following treatment with zolucatetide.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100965</wp:posOffset>
            </wp:positionV>
            <wp:extent cx="3825240" cy="2322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25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As shown on the right side of Figure 19, the patient was also observed to show tumor reduction of 49% at week 32 and continued to have a partial response (-52.2%) at week 60 in his desmoid tumor. No treatment-related serious adverse events have been reported.</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19: Observed best percentage change from baseline for RECIST1.1 (desmoid) (left) and associated scans in the same</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patient with desmoid tumor and FAP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218440</wp:posOffset>
            </wp:positionV>
            <wp:extent cx="2910205" cy="20358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10205" cy="203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4" w:name="page135"/>
    <w:bookmarkEnd w:id="13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In our ongoing Phase 1/2 clinical trial, a second desmoid tumor patient with a history of FAP received a preventive colectomy associated with a multifocal desmoid tumor. The patient, who harbors an APC mutation, was enrolled and began dosing at DL4 (450 mg) weekly on January 22, 2026, consistent with the induction dosing regimen in Part 1D of the trial. The patient subsequently transitioned to DL4 (450 mg) every two weeks maintenance dosing per protocol and remains on treatment as of the date of this prospectus. As part of routine clinical monitoring, this patient underwent endoscopy at approximately 10 weeks of treatment with zolucatetide, where we observed a significant reduction in duodenal polyp burden, with improvement from Spigelman Stage 4 to findings consistent with an almost normal duodenum.</w:t>
      </w:r>
    </w:p>
    <w:p>
      <w:pPr>
        <w:spacing w:after="0" w:line="142" w:lineRule="exact"/>
        <w:rPr>
          <w:sz w:val="20"/>
          <w:szCs w:val="20"/>
          <w:color w:val="auto"/>
        </w:rPr>
      </w:pPr>
    </w:p>
    <w:p>
      <w:pPr>
        <w:jc w:val="center"/>
        <w:ind w:left="2200" w:right="4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Figure 20: Endoscopy showed improvement in duodenal polyp burden in second patient with desmoid tumor and FAP following treatment with zolucatetide.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87630</wp:posOffset>
            </wp:positionV>
            <wp:extent cx="3524885" cy="23831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2488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Both FAP patients described above remain on trial as of the date of this prospectus. As of May 18, 2026, we have enrolled 12 desmoid tumor patients with FAP (inclusive of the two patients described above) in our ongoing Phase 1/2 trial and we expect potential further endoscopies over the course of this year and into next year, but do not have a pre-planned schedule for these endoscopies per the Phase 1/2 trial. We are also planning to enroll a separate dedicated cohort of patients with FAP, including pre-planned endoscopies, beginning in the second half of 2026.</w:t>
      </w:r>
    </w:p>
    <w:p>
      <w:pPr>
        <w:spacing w:after="0" w:line="144"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Given the near-certain cancer risk without surgery, the morbidity of colectomy, the lifelong disease and monitoring burden, and the absence of approved disease-modifying treatments, we believe there remains a significant unmet medical need for targeted therapies for patients with FAP that zolucatetide could address. These patients typically require chronic lifetime care, as their underlying genetic condition is not curable.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Hepatocellular Carcinoma (“HCC”)</w:t>
      </w:r>
    </w:p>
    <w:p>
      <w:pPr>
        <w:spacing w:after="0" w:line="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 third indication for zolucatetide is HCC, accounting for approximately 80-90% of liver cancer cases globally, with an</w:t>
      </w:r>
    </w:p>
    <w:p>
      <w:pPr>
        <w:spacing w:after="0" w:line="22" w:lineRule="exact"/>
        <w:rPr>
          <w:sz w:val="20"/>
          <w:szCs w:val="20"/>
          <w:color w:val="auto"/>
        </w:rPr>
      </w:pPr>
    </w:p>
    <w:p>
      <w:pPr>
        <w:ind w:left="720" w:right="879"/>
        <w:spacing w:after="0" w:line="258" w:lineRule="auto"/>
        <w:rPr>
          <w:sz w:val="20"/>
          <w:szCs w:val="20"/>
          <w:color w:val="auto"/>
        </w:rPr>
      </w:pPr>
      <w:r>
        <w:rPr>
          <w:rFonts w:ascii="Times New Roman" w:cs="Times New Roman" w:eastAsia="Times New Roman" w:hAnsi="Times New Roman"/>
          <w:sz w:val="14"/>
          <w:szCs w:val="14"/>
          <w:color w:val="auto"/>
        </w:rPr>
        <w:t xml:space="preserve">estimated 38,000 new cases of HCC annually in the United States and 700,000-800,000 cases worldwide, with the highest burden in Asia, particularly China, which accounts for nearly half of global cases. Approximately 30% of HCC tumors have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mutations, defining a biologically distinct and substantial patient subset. There is an existing treatment paradigm of immune checkpoint inhibitor-based combinations and VEGF-targeted therapies, however most patients nonetheless ultimately experience disease progression. Notably, Wnt/β-catenin-altered tumors may be particularly refractory to checkpoint inhibitors, reinforcing the potential unmet need in this patient population that lacks approved therapies directly targeting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-catenin-dependent signaling. Consistent with underlying biology, in our preclinical studies,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-catenin–mutant HCC PDX models showed marked sensitivity to zolucatetide.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5" w:name="page136"/>
    <w:bookmarkEnd w:id="13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Figure 21: Zolucatetide sensitivity in β-catenin–mutant HCC PDX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121920</wp:posOffset>
            </wp:positionV>
            <wp:extent cx="4806315" cy="16154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0631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In dose escalation of our ongoing clinical trial, we observed a confirmed partial response in a heavily pre-treated patient with CTNNB1-mutant HCC who was administered zolucatetide. This patient has been on treatment since July 2025 and remains on treatment as of February 16, 2026. Based on this observation, we have started enrolling an HCC specific cohort in our ongoing trial to further evaluate and better characterize the opportunity in this compelling indication.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22: Scans in one patient with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135255</wp:posOffset>
            </wp:positionV>
            <wp:extent cx="2229485" cy="18821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29485"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Additional Rare Indications</w:t>
      </w:r>
    </w:p>
    <w:p>
      <w:pPr>
        <w:spacing w:after="0" w:line="102" w:lineRule="exact"/>
        <w:rPr>
          <w:sz w:val="20"/>
          <w:szCs w:val="20"/>
          <w:color w:val="auto"/>
        </w:rPr>
      </w:pPr>
    </w:p>
    <w:p>
      <w:pPr>
        <w:ind w:left="720" w:right="979" w:firstLine="343"/>
        <w:spacing w:after="0" w:line="282" w:lineRule="auto"/>
        <w:rPr>
          <w:sz w:val="20"/>
          <w:szCs w:val="20"/>
          <w:color w:val="auto"/>
        </w:rPr>
      </w:pPr>
      <w:r>
        <w:rPr>
          <w:rFonts w:ascii="Times New Roman" w:cs="Times New Roman" w:eastAsia="Times New Roman" w:hAnsi="Times New Roman"/>
          <w:sz w:val="14"/>
          <w:szCs w:val="14"/>
          <w:color w:val="auto"/>
        </w:rPr>
        <w:t>Beyond desmoid tumors, FAP, and HCC, we have observed partial responses in four additional indications featuring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involvement:</w:t>
      </w:r>
    </w:p>
    <w:p>
      <w:pPr>
        <w:spacing w:after="0" w:line="39" w:lineRule="exact"/>
        <w:rPr>
          <w:sz w:val="20"/>
          <w:szCs w:val="20"/>
          <w:color w:val="auto"/>
        </w:rPr>
      </w:pPr>
    </w:p>
    <w:p>
      <w:pPr>
        <w:ind w:left="1480" w:right="759" w:hanging="246"/>
        <w:spacing w:after="0" w:line="255" w:lineRule="auto"/>
        <w:tabs>
          <w:tab w:leader="none" w:pos="1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Adamantinomatous craniopharyngioma (“ACP”) </w:t>
      </w:r>
      <w:r>
        <w:rPr>
          <w:rFonts w:ascii="Times New Roman" w:cs="Times New Roman" w:eastAsia="Times New Roman" w:hAnsi="Times New Roman"/>
          <w:sz w:val="14"/>
          <w:szCs w:val="14"/>
          <w:color w:val="auto"/>
        </w:rPr>
        <w:t>is a rare and chronic condition characterized by locally aggressive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tumor arising near the pituitary gland, with onset typically in childhood or middle adulthood. We estimate the 15-year prevalence of ACP in the United States to be approximately 5,000-9,000 patients. Due to the tumor’s location at the base of the brain, beneath the hypothalamus, patients often experience hypothalamic dysfunction leading to severe obesity, as well as hypopituitarism requiring lifelong hormone replacement. Visual impairment is also common and clinically significant, resulting from tumor compression or invasion of the optic nerves and optic chiasm. Cognitive deficits affecting memory, attention, and executive function also contribute to significant long-term disease burden, particularly in pediatric patients. There is currently no approved drug therapy for ACP. Surgery and radiotherapy remain the primary treatment options; however, tumors are often difficult to fully resect given the location, and radiotherapies are frequently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6" w:name="page137"/>
    <w:bookmarkEnd w:id="13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939"/>
        <w:spacing w:after="0" w:line="267" w:lineRule="auto"/>
        <w:rPr>
          <w:sz w:val="20"/>
          <w:szCs w:val="20"/>
          <w:color w:val="auto"/>
        </w:rPr>
      </w:pPr>
      <w:r>
        <w:rPr>
          <w:rFonts w:ascii="Times New Roman" w:cs="Times New Roman" w:eastAsia="Times New Roman" w:hAnsi="Times New Roman"/>
          <w:sz w:val="14"/>
          <w:szCs w:val="14"/>
          <w:color w:val="auto"/>
        </w:rPr>
        <w:t>associated with limited durability and disease recurrence. We believe that patients with ACP could benefit from long-term systemic treatment. We have seen tumor shrinkage in all three of the observable ACP patients treated with zolucatetide, including two confirmed partial responses.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23: Tumor reductions observed in three patients with 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135255</wp:posOffset>
            </wp:positionV>
            <wp:extent cx="4138930" cy="18624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38930"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480" w:right="1039" w:hanging="246"/>
        <w:spacing w:after="0" w:line="268" w:lineRule="auto"/>
        <w:tabs>
          <w:tab w:leader="none" w:pos="1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Solid pseudopapillary neoplasm (“SPN”) </w:t>
      </w:r>
      <w:r>
        <w:rPr>
          <w:rFonts w:ascii="Times New Roman" w:cs="Times New Roman" w:eastAsia="Times New Roman" w:hAnsi="Times New Roman"/>
          <w:sz w:val="14"/>
          <w:szCs w:val="14"/>
          <w:color w:val="auto"/>
        </w:rPr>
        <w:t>of the pancreas is a rare, low-grade malignant tumor that predominantly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affects young women. It represents a small fraction of pancreatic neoplasms, generally reported as &lt;3% of exocrine pancreatic tumors. This patient achieved a confirmed partial response of -77% at week 16.</w:t>
      </w:r>
    </w:p>
    <w:p>
      <w:pPr>
        <w:spacing w:after="0" w:line="49" w:lineRule="exact"/>
        <w:rPr>
          <w:rFonts w:ascii="Times New Roman" w:cs="Times New Roman" w:eastAsia="Times New Roman" w:hAnsi="Times New Roman"/>
          <w:sz w:val="14"/>
          <w:szCs w:val="14"/>
          <w:color w:val="auto"/>
        </w:rPr>
      </w:pPr>
    </w:p>
    <w:p>
      <w:pPr>
        <w:ind w:left="1480" w:right="899" w:hanging="246"/>
        <w:spacing w:after="0" w:line="268" w:lineRule="auto"/>
        <w:tabs>
          <w:tab w:leader="none" w:pos="1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Salivary gland tumors </w:t>
      </w:r>
      <w:r>
        <w:rPr>
          <w:rFonts w:ascii="Times New Roman" w:cs="Times New Roman" w:eastAsia="Times New Roman" w:hAnsi="Times New Roman"/>
          <w:sz w:val="14"/>
          <w:szCs w:val="14"/>
          <w:color w:val="auto"/>
        </w:rPr>
        <w:t>are rare neoplasms arising from the major or minor salivary glands and encompass a diverse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group of histologies with numerous subtypes. They account for approximately 3-6% of head and neck cancers overall. This patient achieved a confirmed partial response of -48.3% at week 16.</w:t>
      </w:r>
    </w:p>
    <w:p>
      <w:pPr>
        <w:spacing w:after="0" w:line="49" w:lineRule="exact"/>
        <w:rPr>
          <w:rFonts w:ascii="Times New Roman" w:cs="Times New Roman" w:eastAsia="Times New Roman" w:hAnsi="Times New Roman"/>
          <w:sz w:val="14"/>
          <w:szCs w:val="14"/>
          <w:color w:val="auto"/>
        </w:rPr>
      </w:pPr>
    </w:p>
    <w:p>
      <w:pPr>
        <w:ind w:left="1480" w:right="779" w:hanging="246"/>
        <w:spacing w:after="0" w:line="257" w:lineRule="auto"/>
        <w:tabs>
          <w:tab w:leader="none" w:pos="1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Ameloblastoma </w:t>
      </w:r>
      <w:r>
        <w:rPr>
          <w:rFonts w:ascii="Times New Roman" w:cs="Times New Roman" w:eastAsia="Times New Roman" w:hAnsi="Times New Roman"/>
          <w:sz w:val="14"/>
          <w:szCs w:val="14"/>
          <w:color w:val="auto"/>
        </w:rPr>
        <w:t>is a rare and locally aggressive jaw tumor and one of the most common benign neoplasms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mandible. Calculated 15-year prevalence is approximately 5,000 patients in the United States, with higher reported rates in parts of Africa and Asia. Following treatment with zolucatetide, an investigator reported a softening of tumor masses after one cycle and at week 8, the investigator noted cerebral edema had resolved, with marked improvement in mass effect as well as reduced pain. At week 8, the patient achieved a -26.4% tumor reduction (SD) with clearance of ctDNA. Subsequently, the patient achieved a confirmed partial response at week 16 of -33.9%.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7" w:name="page138"/>
    <w:bookmarkEnd w:id="13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24: Scans in one patient with ameloblastoma.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121920</wp:posOffset>
            </wp:positionV>
            <wp:extent cx="1802130" cy="18624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02130"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8" w:name="page139"/>
    <w:bookmarkEnd w:id="13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25: ctDNA collection in one patient with ameloblastoma.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135255</wp:posOffset>
            </wp:positionV>
            <wp:extent cx="1929130" cy="9410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29130" cy="94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VAF = variant allele frequency represents the ratio of mutant gene copy versus wild type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Summary of Zolucatetide Data in Genomically Simple Tumors</w:t>
      </w:r>
    </w:p>
    <w:p>
      <w:pPr>
        <w:spacing w:after="0" w:line="91"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As described further below, we are evaluating a range of solid tumors in our ongoing clinical trial, including those that are genomically simple and genomically complex. Genomically simple in this case refers to tumors that carry relatively few, if any, well-validated and otherwise prevalent oncogenic drives, like KRAS, PIK3CA or PTEN, but do, by definition, carry CTNNB1 or APC gene mutations. Conversely, genomically complex tumors, like those often observed in colorectal cancer, carry multiple such oncogenic drivers including but not limited to CTNNB1 or APC.</w:t>
      </w:r>
    </w:p>
    <w:p>
      <w:pPr>
        <w:spacing w:after="0" w:line="144"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As of February 16, 2026, we evaluated patients with tumors of low genomic complexity at dose levels of DL2 or greater (n=54). Of those who are efficacy evaluable (n=39), we have observed 20 objective responses, including one complete response, across six different tumor types which qualitatively fit the description of genomically simple tumors, including desmoid tumors, ACP and ameloblastoma. We observed a 51% objective response rate and 87% DCR. We also have observed meaningful duration of response (&gt;6 months) across multiple tumor types.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We intend to identify an appropriate regulatory pathway for the numerous tumors that prove to be responsive to zolucatetide.</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We plan to explore accelerated approvals, randomized trials and basket (tumor-agnostic) trials with FDA and global regulators.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26: Observed best percentage change from baseline and overall response for patients with genomically simple tumors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receiving zolucatetide,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124460</wp:posOffset>
            </wp:positionV>
            <wp:extent cx="4045585" cy="10883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4558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9" w:name="page140"/>
    <w:bookmarkEnd w:id="13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27: Observed time on study treatment per patient in the Phase 1/2 trial of zolucatetide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135255</wp:posOffset>
            </wp:positionV>
            <wp:extent cx="2122805" cy="34245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22805" cy="342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hanging="227"/>
        <w:spacing w:after="0"/>
        <w:tabs>
          <w:tab w:leader="none" w:pos="136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Patient achieved a complete response and voluntarily discontinued treatment due to relocation away from study center.</w:t>
      </w:r>
    </w:p>
    <w:p>
      <w:pPr>
        <w:spacing w:after="0" w:line="1" w:lineRule="exact"/>
        <w:rPr>
          <w:sz w:val="20"/>
          <w:szCs w:val="20"/>
          <w:color w:val="auto"/>
        </w:rPr>
      </w:pPr>
    </w:p>
    <w:p>
      <w:pPr>
        <w:ind w:left="1480"/>
        <w:spacing w:after="0"/>
        <w:tabs>
          <w:tab w:leader="none" w:pos="1900" w:val="left"/>
        </w:tabs>
        <w:rPr>
          <w:sz w:val="20"/>
          <w:szCs w:val="20"/>
          <w:color w:val="auto"/>
        </w:rPr>
      </w:pPr>
      <w:r>
        <w:rPr>
          <w:rFonts w:ascii="Times New Roman" w:cs="Times New Roman" w:eastAsia="Times New Roman" w:hAnsi="Times New Roman"/>
          <w:sz w:val="11"/>
          <w:szCs w:val="11"/>
          <w:color w:val="auto"/>
        </w:rPr>
        <w:t>GEJ:</w:t>
      </w:r>
      <w:r>
        <w:rPr>
          <w:sz w:val="20"/>
          <w:szCs w:val="20"/>
          <w:color w:val="auto"/>
        </w:rPr>
        <w:tab/>
      </w:r>
      <w:r>
        <w:rPr>
          <w:rFonts w:ascii="Times New Roman" w:cs="Times New Roman" w:eastAsia="Times New Roman" w:hAnsi="Times New Roman"/>
          <w:sz w:val="11"/>
          <w:szCs w:val="11"/>
          <w:color w:val="auto"/>
        </w:rPr>
        <w:t>gastroesophageal junction; NSCGT: nonseminomatous germ cell tumors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Genomically Complex Tumors</w:t>
      </w:r>
    </w:p>
    <w:p>
      <w:pPr>
        <w:spacing w:after="0" w:line="93" w:lineRule="exact"/>
        <w:rPr>
          <w:sz w:val="20"/>
          <w:szCs w:val="20"/>
          <w:color w:val="auto"/>
        </w:rPr>
      </w:pPr>
    </w:p>
    <w:p>
      <w:pPr>
        <w:ind w:left="720" w:right="739" w:firstLine="343"/>
        <w:spacing w:after="0" w:line="266" w:lineRule="auto"/>
        <w:rPr>
          <w:sz w:val="20"/>
          <w:szCs w:val="20"/>
          <w:color w:val="auto"/>
        </w:rPr>
      </w:pPr>
      <w:r>
        <w:rPr>
          <w:rFonts w:ascii="Times New Roman" w:cs="Times New Roman" w:eastAsia="Times New Roman" w:hAnsi="Times New Roman"/>
          <w:sz w:val="14"/>
          <w:szCs w:val="14"/>
          <w:color w:val="auto"/>
        </w:rPr>
        <w:t>While primarily focused on genomically simple tumors, we are also evaluating the potential of zolucatetide to treat genomically complex tumors. We consider genomically complex tumors to be those in which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alterations are present but are not the sole driver of disease, with additional oncogenic mutations implicated in driving tumor biology. This complexity often necessitates a combination treatment approach.</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Colorectal Cancer</w:t>
      </w:r>
    </w:p>
    <w:p>
      <w:pPr>
        <w:spacing w:after="0" w:line="91"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CRC is the third most commonly diagnosed cancer and the second leading cause of cancer-related death globally, with approximately two million new cases and nearly one million deaths each year. Despite advances in treatment, outcomes remain poor for patients with advanced disease, with five-year survival rates of approximately 16% in the metastatic setting, highlighting the need for more effective and broadly applicable therapeutic approaches.</w:t>
      </w:r>
    </w:p>
    <w:p>
      <w:pPr>
        <w:spacing w:after="0" w:line="141" w:lineRule="exact"/>
        <w:rPr>
          <w:sz w:val="20"/>
          <w:szCs w:val="20"/>
          <w:color w:val="auto"/>
        </w:rPr>
      </w:pPr>
    </w:p>
    <w:p>
      <w:pPr>
        <w:ind w:left="720" w:right="819" w:firstLine="343"/>
        <w:spacing w:after="0" w:line="259" w:lineRule="auto"/>
        <w:rPr>
          <w:sz w:val="20"/>
          <w:szCs w:val="20"/>
          <w:color w:val="auto"/>
        </w:rPr>
      </w:pPr>
      <w:r>
        <w:rPr>
          <w:rFonts w:ascii="Times New Roman" w:cs="Times New Roman" w:eastAsia="Times New Roman" w:hAnsi="Times New Roman"/>
          <w:sz w:val="14"/>
          <w:szCs w:val="14"/>
          <w:color w:val="auto"/>
        </w:rPr>
        <w:t xml:space="preserve">For more than 30 years it has been appreciated that loss-of-function mutation in the APC gene is the key initiating mutational event in the evolution of CRC. Seminal studies elucidating the biology of these tumors have shown that the downstream consequence of APC mutation is the aberrant activation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in complex with TCF proteins, which in turn drives proliferation and a stem cell-like phenotype in the tumor.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is aberrantly amplified in the context of tumor cells that have acquired APC mutations. These mutations in APC occur in more than 80% of microsatellite stable CRC patients, representing by far, the most prevalent mutations observed in this tumor type. In our preclinical studies we observed that treatment of human tumors in mouse models led to the inhibition of CRC tumor growth (see Figure 28). These data give us confidence in the potential utility of zolucatetide for the treatment of CRC patients.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0" w:name="page141"/>
    <w:bookmarkEnd w:id="14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Although we have seen disease stabilization, tumor shrinkage and ctDNA reductions in a subset of CRC patients treated with zolucatetide as monotherapy, we have not observed any objective responses. As such, we do not currently plan to advance zolucatetide as a monotherapy for CRC patients. Since CRC is a genetically complex tumor type, with many additional oncogenic (KRAS, PI3K, BRAF) and tumor suppressor (p53) mutations that can co-occur alongside APC mutation, we believe it is likely that these tumors have adapted multiple mechanisms of growth and survival that are best addressed with combination drug approaches. Importantly, CRC patient tumor biopsy samples collected at baseline and after zolucatetide treatment were used to interrogate transcriptional signatures that were modulated by drug treatment. These studies led to the hypotheses that via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inhibition, zolucatetide coupled with - VEGF, chemotherapeutic agents like 5-FU/FOLFOX and immune checkpoint inhibitors like nivolumab could be beneficial.</w:t>
      </w:r>
    </w:p>
    <w:p>
      <w:pPr>
        <w:spacing w:after="0" w:line="145"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Current treatment paradigms for CRC include combinations of chemotherapy, targeted agents, and immunotherapy. While biomarker-directed therapies have improved outcomes for select molecular subsets (e.g., BRAF V600E, HER2+, KRAS G12C), the majority of patients lack access to precision therapies that meaningfully alter disease trajectory. Early translational analyses from our ongoing Phase 1/2 trial, along with patient-derived xenograft studies (as outlined in Figure 28 below), further reinforce potential for multiple combinations such as anti-VEGF + 5-FU, chemotherapy + anti-VEGF, and anti-PD-1, which we are currently evaluating in combination with zolucatetide in the dose escalation phase of our ongoing clinical trial. We may explore additional combinations in future development, including with inhibitors targeting the RAS/MAPK pathway, as multiple academic and industrial research teams have recently published data illustrating biological cross-talk between the RAS and Wnt signaling pathways. We believe data suggest that when one of the two pathways is inhibited the other appears to be upregulated to compensate for the loss of signaling in the first. This compensatory cross-talk appears to be bi-directional. Since APC and KRAS mutations represent two of the most prevalent driver mutations in CRC, we believe the concept of combination therapy to inhibit these two pathways simultaneously is compelling. Our own combination data using CRC PDX tumor models indicates that combination of zolucatetide with a panRAS inhibitor can drive deeper and more durable anti-tumor activity in a preclinical setting, as shown in the figure below.</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28: Data showing significant anti-tumor activity of zolucatetide in combination with various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148590</wp:posOffset>
            </wp:positionV>
            <wp:extent cx="3958590" cy="21094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5859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u w:val="single" w:color="auto"/>
          <w:color w:val="auto"/>
        </w:rPr>
        <w:t>Our Preclinical Data</w:t>
      </w:r>
    </w:p>
    <w:p>
      <w:pPr>
        <w:spacing w:after="0" w:line="102" w:lineRule="exact"/>
        <w:rPr>
          <w:sz w:val="20"/>
          <w:szCs w:val="20"/>
          <w:color w:val="auto"/>
        </w:rPr>
      </w:pPr>
    </w:p>
    <w:p>
      <w:pPr>
        <w:ind w:left="720" w:right="819" w:firstLine="343"/>
        <w:spacing w:after="0" w:line="265" w:lineRule="auto"/>
        <w:rPr>
          <w:sz w:val="20"/>
          <w:szCs w:val="20"/>
          <w:color w:val="auto"/>
        </w:rPr>
      </w:pPr>
      <w:r>
        <w:rPr>
          <w:rFonts w:ascii="Times New Roman" w:cs="Times New Roman" w:eastAsia="Times New Roman" w:hAnsi="Times New Roman"/>
          <w:sz w:val="14"/>
          <w:szCs w:val="14"/>
          <w:color w:val="auto"/>
        </w:rPr>
        <w:t xml:space="preserve">Zolucatetide has generated evidence of direct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inhibition with compelling on-target anti-tumor activity in multiple preclinical models. Biochemically, zolucatetide was observed to bind directly to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with a dissociation constant of 500 picomolar by surface plasmon resonance and inhibit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interaction with a half-maximal inhibitory concentration (IC50) below 5 nM as measured with competition fluorescence polarization assays. In cell-based assays, zolucatetide was observed to effectively inhibited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interaction with an IC50 of 1.2 µM and zolucatetide blocked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transcriptional activity with an IC50 of 0.7 µM in a cell-based TCF reporter assay. Zolucatetide was observed to inhibit endogenous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target gene expression (such as AXIN2, SP5, and NOTUM) with IC50 values ranging from 0.5 to 7µM in multiple cancer cell lines carrying APC and CTNNB1 mutations. This inhibition of transcriptional activity was shown to be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dependent in an isogenic cell line pair that shows a lack of zolucatetide activity in the absence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protein.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1" w:name="page142"/>
    <w:bookmarkEnd w:id="14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79" w:firstLine="343"/>
        <w:spacing w:after="0" w:line="297" w:lineRule="auto"/>
        <w:rPr>
          <w:sz w:val="20"/>
          <w:szCs w:val="20"/>
          <w:color w:val="auto"/>
        </w:rPr>
      </w:pPr>
      <w:r>
        <w:rPr>
          <w:rFonts w:ascii="Times New Roman" w:cs="Times New Roman" w:eastAsia="Times New Roman" w:hAnsi="Times New Roman"/>
          <w:sz w:val="14"/>
          <w:szCs w:val="14"/>
          <w:color w:val="auto"/>
        </w:rPr>
        <w:t xml:space="preserve">In proliferation assays, zolucatetide displayed IC50 values between 0.2 and 2 µM in a set of sensitive cancer cell lines derived from colorectal, gastric, ovarian, and non-small cell lung tumors carrying mutations in APC 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w:t>
      </w:r>
    </w:p>
    <w:p>
      <w:pPr>
        <w:spacing w:after="0" w:line="124" w:lineRule="exact"/>
        <w:rPr>
          <w:sz w:val="20"/>
          <w:szCs w:val="20"/>
          <w:color w:val="auto"/>
        </w:rPr>
      </w:pPr>
    </w:p>
    <w:p>
      <w:pPr>
        <w:ind w:left="720" w:right="759" w:firstLine="343"/>
        <w:spacing w:after="0" w:line="260" w:lineRule="auto"/>
        <w:rPr>
          <w:sz w:val="20"/>
          <w:szCs w:val="20"/>
          <w:color w:val="auto"/>
        </w:rPr>
      </w:pP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we have observed zolucatetide to exhibit a pharmacokinetic profile that drives strong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pathway inhibition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antitumor activity in both colorectal and hepatocellular PDX tumor models driven by documented Wnt-pathway-activating mutations in APC or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 single dose of zolucatetide at 20 mg/kg significantly downregulated the Wnt/</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in PDX tumor models carrying pathway mutations, as measured with RNAseq analyses. Zolucatetide was observed to exhibit dose dependent inhibition of the expression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-catenin:TCF target genes such as AXIN2 and C-MYC at both messenger RNA and protein levels in PDX tumors. AXIN2 and C-MYC are both relevant pharmacodynamic (PD) biomarkers since inhibition of these biomarkers is on target, dose dependent, correlated with efficacy and, in the case of C-MYC, likely to be relevant for the antitumor activity of zolucatetide downstream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inhibition. Significant inhibition of AXIN2 and C-MYC was observed in tumors starting at 20 mg/kg and maximal inhibition is achieved at 60 mg/kg. Repeat dosing at 20 to 60 mg/kg of zolucatetide was observed to lead to tumor regression or stasis in multiple colorectal PDX models and regression or stasis in four hepatocellular PDX models harboring APC and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mutations, respectively.</w:t>
      </w:r>
    </w:p>
    <w:p>
      <w:pPr>
        <w:spacing w:after="0" w:line="139" w:lineRule="exact"/>
        <w:rPr>
          <w:sz w:val="20"/>
          <w:szCs w:val="20"/>
          <w:color w:val="auto"/>
        </w:rPr>
      </w:pPr>
    </w:p>
    <w:p>
      <w:pPr>
        <w:ind w:left="720" w:right="8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Based on the aggregate of preclinical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pharmacology data, we defined the 20 mg/kg dose level as having strong activity, resulting in strong tumor growth inhibition (“TGI”) or regressions in some models and defined 60 mg/kg as having maximal activity, resulting in complete, durable regressions in several models. As a result, the target exposure for efficacy in humans is based on the equivalent exposure in mice over a dose range of 20 to 60 mg/kg. We believe the evidence that zolucatetide tumor exposure levels remain higher than that observed in plasma over time, and resulted in prolonged PD effects in tumors, supports dosing with less frequency than predicted from plasma exposure, in this case using a once every 7 days schedule.</w:t>
      </w:r>
    </w:p>
    <w:p>
      <w:pPr>
        <w:spacing w:after="0" w:line="145" w:lineRule="exact"/>
        <w:rPr>
          <w:sz w:val="20"/>
          <w:szCs w:val="20"/>
          <w:color w:val="auto"/>
        </w:rPr>
      </w:pPr>
    </w:p>
    <w:p>
      <w:pPr>
        <w:jc w:val="both"/>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We are currently enrolling three CRC combination cohorts: (1) zolucatetide + FOLFOX/bevacizumab in 1L, (2) 3L combination of zolucatetide + nivolumab, and (3) zolucatetide + Lonsurf/bevacizumab. These combination cohorts are currently in dose escalation with potential for additional biologically rational CRC combinations including RAS in the future.</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Prostate Franchise</w:t>
      </w:r>
    </w:p>
    <w:p>
      <w:pPr>
        <w:spacing w:after="0" w:line="93" w:lineRule="exact"/>
        <w:rPr>
          <w:sz w:val="20"/>
          <w:szCs w:val="20"/>
          <w:color w:val="auto"/>
        </w:rPr>
      </w:pPr>
    </w:p>
    <w:p>
      <w:pPr>
        <w:ind w:left="720" w:right="879" w:firstLine="343"/>
        <w:spacing w:after="0" w:line="270" w:lineRule="auto"/>
        <w:rPr>
          <w:sz w:val="20"/>
          <w:szCs w:val="20"/>
          <w:color w:val="auto"/>
        </w:rPr>
      </w:pPr>
      <w:r>
        <w:rPr>
          <w:rFonts w:ascii="Times New Roman" w:cs="Times New Roman" w:eastAsia="Times New Roman" w:hAnsi="Times New Roman"/>
          <w:sz w:val="14"/>
          <w:szCs w:val="14"/>
          <w:color w:val="auto"/>
        </w:rPr>
        <w:t>Our Helicon platform enables the discovery of multiple product candidates against traditionally undruggable protein targets, supporting a repeatable approach across indications, including prostate cancer. In addition to inhibition, we have leveraged Helicons for targeted protein degradation, highlighting the multimodal potential of the platform. We are advancing two prostate cancer programs that exemplify these capabilities: an ERG degrader and an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w:t>
      </w:r>
    </w:p>
    <w:p>
      <w:pPr>
        <w:spacing w:after="0" w:line="75"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Prostate cancer is the fourth most commonly diagnosed cancer (second among men) and the eighth leading cause of cancer deaths (fifth among men) worldwide. Approximately 1.5 million new cases are diagnosed globally each year, and prostate cancer accounts for almost 400,000 deaths annually. The overall five-year survival rate for metastatic prostate cancer is approximately 38%, highlighting the significant clinical burden of advanced disease.</w:t>
      </w:r>
    </w:p>
    <w:p>
      <w:pPr>
        <w:spacing w:after="0" w:line="141"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Advanced prostate cancer evolves along a well-characterized continuum beginning with metastatic hormone-sensitive prostate cancer (mHSPC), where tumors remain driven by androgen receptor signaling and are initially responsive to androgen deprivation therapy in combination with androgen receptor pathway inhibitors. Despite meaningful improvements in outcomes in this setting, most patients ultimately progress to mCRPC, a more aggressive and heterogeneous stage defined by continued disease progression despite castrate levels of testosterone. It is estimated that approximately 40,000 men in the United States are living with mCRPC. These patients continue to receive a backbone of AR-directed therapy.</w:t>
      </w:r>
    </w:p>
    <w:p>
      <w:pPr>
        <w:spacing w:after="0" w:line="143"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While multiple therapies are approved across mHSPC and mCRPC, including next-generation hormonal agents, taxane chemotherapies, radioligand therapies, and targeted agents, these treatments are not designed to fully address the underlying drivers of disease progression and therapeutic resistance, particularly in the mCRPC setting. There remains a clear unmet medical need for novel approaches that can more fundamentally alter disease biology.</w:t>
      </w:r>
    </w:p>
    <w:p>
      <w:pPr>
        <w:spacing w:after="0" w:line="146" w:lineRule="exact"/>
        <w:rPr>
          <w:sz w:val="20"/>
          <w:szCs w:val="20"/>
          <w:color w:val="auto"/>
        </w:rPr>
      </w:pPr>
    </w:p>
    <w:p>
      <w:pPr>
        <w:ind w:left="720" w:right="799" w:firstLine="343"/>
        <w:spacing w:after="0" w:line="244" w:lineRule="auto"/>
        <w:rPr>
          <w:sz w:val="20"/>
          <w:szCs w:val="20"/>
          <w:color w:val="auto"/>
        </w:rPr>
      </w:pPr>
      <w:r>
        <w:rPr>
          <w:rFonts w:ascii="Times New Roman" w:cs="Times New Roman" w:eastAsia="Times New Roman" w:hAnsi="Times New Roman"/>
          <w:sz w:val="14"/>
          <w:szCs w:val="14"/>
          <w:color w:val="auto"/>
        </w:rPr>
        <w:t>Our ERG and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programs represent two distinct opportunities to address a large unmet need in the prostate cancer population. The ERG degrader is designed to target a previously undrugged oncogenic driver found in almost half of all prostate tumors, analogous to the paradigm addressed by our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program and zolucatetide, which represents another previously undrugged and critical oncogene. In contrast,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program is designed to address a clinically validated target in prostate cancer that has been inadequately drugged multiple times with existing approaches, as previously approved drugs in the AR space have all shown transient activity and subsequent resistance driven by continued elevated AR activity. We believe both our ERG and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programs offer monotherapy and combination therapy opportunities in the clinic.</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2" w:name="page143"/>
    <w:bookmarkEnd w:id="14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ERG Degrader</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ERG is a transcription factor overexpressed in approximately 40-50% of prostate cancers via a TMPRSS2-ERG fusion, linking androgen signaling directly to oncogenic transcription factor activation. This ERG gene fusion event leads to aberrant expression of the ERG protein in prostate-derived cells where it is not normally expressed. As a result of this aberrant expression, ERG drives a transcriptional program that regulates multiple critical tumor functions, including proliferation and angiogenesis (see Figure 29). There are more than 15,000 newly diagnosed ERG-positive mCRPC patients annually in the United States based on reported prevalence estimates to date, and there are currently no approved therapies that directly target ERG. The prevalence of ERG fusions in prostate cancer, coupled with prior publications describing ERG’s function in modulating the biology of prostate cancer cells, provides compelling reason to drug this target; however, to our knowledge, it has never been successfully drugged due to the absence of conventional small molecule binding sites.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29: ERG degrader blocks TMPRSS2-ERG-driven transcription.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142240</wp:posOffset>
            </wp:positionV>
            <wp:extent cx="1181735" cy="16084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81735" cy="160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20" w:right="739" w:firstLine="343"/>
        <w:spacing w:after="0" w:line="249" w:lineRule="auto"/>
        <w:rPr>
          <w:sz w:val="20"/>
          <w:szCs w:val="20"/>
          <w:color w:val="auto"/>
        </w:rPr>
      </w:pPr>
      <w:r>
        <w:rPr>
          <w:rFonts w:ascii="Times New Roman" w:cs="Times New Roman" w:eastAsia="Times New Roman" w:hAnsi="Times New Roman"/>
          <w:sz w:val="14"/>
          <w:szCs w:val="14"/>
          <w:color w:val="auto"/>
        </w:rPr>
        <w:t xml:space="preserve">Using our Helicon discovery platform to identify novel peptide binding sites on ERG, we have identified bifunctional degraders that have been observed to achieve potent and selective ERG degradation in cells and in preclinical prostate tumor models. These Helicon degraders have enabled us to test for the first time the pharmacological consequence of ERG degradation and subsequent inhibition of activity in a number of preclinical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models. We have observed that ERG degradation led to inhibition of a distinct transcriptional profile driven by ERG and resulted in robust dose-dependent prostate TGI of 60-95% in both cell line-derived xenografts (see Figure 30) and PDX models (see Figure 31) in preclinical studies. We also observed inhibition of tumor growth in the PDX context that exceeds that seen with enzalutamide, and we have combined these two agents (ERG Helicon degrader and enzalutamide) with positive anti-tumor activity of the combination. This single agent anti-tumor activity of ERG degrader exceeds that of single agent enzalutamide in our study. Furthermore, a recent report on the activity of an AR degrader in an independent study indicates that ERG degrader activity is at least equivalent to that of the AR degrader in the VCaP xenograft model run in eugonadal mice. Importantly, we have also shown the specificity of our ERG degraders using unbiased proteomics analyses from cells treated with ERG degraders. We have observed that our degraders are specific for ERG versus all detected and unrelated proteins in the cell and with predictable, tunable selectivity against closely related paralogues, like the FLI1 transcription factor which is in the same family of ETS transcription factors as ERG. In the exemplar seen in Figure 33 below, ERG protein is the only protein degraded &gt;4-fold relative to control with a p-value of &lt; 0.05 after treatment with a degrader concentration at 10x the cell-based DC</w:t>
      </w:r>
      <w:r>
        <w:rPr>
          <w:rFonts w:ascii="Times New Roman" w:cs="Times New Roman" w:eastAsia="Times New Roman" w:hAnsi="Times New Roman"/>
          <w:sz w:val="18"/>
          <w:szCs w:val="18"/>
          <w:color w:val="auto"/>
          <w:vertAlign w:val="subscript"/>
        </w:rPr>
        <w:t>90</w:t>
      </w:r>
      <w:r>
        <w:rPr>
          <w:rFonts w:ascii="Times New Roman" w:cs="Times New Roman" w:eastAsia="Times New Roman" w:hAnsi="Times New Roman"/>
          <w:sz w:val="14"/>
          <w:szCs w:val="14"/>
          <w:color w:val="auto"/>
        </w:rPr>
        <w:t xml:space="preserve"> for ERG degradation.</w:t>
      </w:r>
    </w:p>
    <w:p>
      <w:pPr>
        <w:spacing w:after="0" w:line="150" w:lineRule="exact"/>
        <w:rPr>
          <w:sz w:val="20"/>
          <w:szCs w:val="20"/>
          <w:color w:val="auto"/>
        </w:rPr>
      </w:pPr>
    </w:p>
    <w:p>
      <w:pPr>
        <w:ind w:left="720" w:right="779" w:firstLine="343"/>
        <w:spacing w:after="0" w:line="283" w:lineRule="auto"/>
        <w:rPr>
          <w:sz w:val="20"/>
          <w:szCs w:val="20"/>
          <w:color w:val="auto"/>
        </w:rPr>
      </w:pPr>
      <w:r>
        <w:rPr>
          <w:rFonts w:ascii="Times New Roman" w:cs="Times New Roman" w:eastAsia="Times New Roman" w:hAnsi="Times New Roman"/>
          <w:sz w:val="14"/>
          <w:szCs w:val="14"/>
          <w:color w:val="auto"/>
        </w:rPr>
        <w:t>The following figure illustrates the dose dependent anti-tumor activity of ERG Helicon degrader in a cell-line derived xenograft model with ERG-fusion, and the ability of that degrader to clear ERG protein from the tumor using immunohistochemistry (“IHC”).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3" w:name="page144"/>
    <w:bookmarkEnd w:id="14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Figure 30: Preclinical antitumor activity and target engagement of ERG degrader in a VCaP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135255</wp:posOffset>
            </wp:positionV>
            <wp:extent cx="2303145" cy="1548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03145" cy="154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The following figure illustrates the dose dependent anti-tumor activity of ERG Helicon degrader in a patient-derived xenograft model with ERG-fusion.</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Figure 31: Preclinical antitumor activity of ERG degrader in an ERG-positive, enzalutamide-resistant PDX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142240</wp:posOffset>
            </wp:positionV>
            <wp:extent cx="2463165" cy="16154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6316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right="879" w:firstLine="343"/>
        <w:spacing w:after="0" w:line="267" w:lineRule="auto"/>
        <w:rPr>
          <w:sz w:val="20"/>
          <w:szCs w:val="20"/>
          <w:color w:val="auto"/>
        </w:rPr>
      </w:pPr>
      <w:r>
        <w:rPr>
          <w:rFonts w:ascii="Times New Roman" w:cs="Times New Roman" w:eastAsia="Times New Roman" w:hAnsi="Times New Roman"/>
          <w:sz w:val="14"/>
          <w:szCs w:val="14"/>
          <w:color w:val="auto"/>
        </w:rPr>
        <w:t>The following figure illustrates the anti-tumor activity of ERG Helicon degrader as a single agent (green curve) in a patient-derived xenograft model with ERG-fusion, compared to the activity of enzalutamide as a single agent (orange curve), and the ability of the ERG degrader and enzalutamide to be combined (blue curve) for effective anti-tumor activity.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4" w:name="page145"/>
    <w:bookmarkEnd w:id="14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32: Anti-tumor activity of ERG degrader in PDX as single agent and in combination with enzalutamide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135255</wp:posOffset>
            </wp:positionV>
            <wp:extent cx="3804920" cy="20427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0492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20" w:right="999" w:firstLine="343"/>
        <w:spacing w:after="0" w:line="267" w:lineRule="auto"/>
        <w:rPr>
          <w:sz w:val="20"/>
          <w:szCs w:val="20"/>
          <w:color w:val="auto"/>
        </w:rPr>
      </w:pPr>
      <w:r>
        <w:rPr>
          <w:rFonts w:ascii="Times New Roman" w:cs="Times New Roman" w:eastAsia="Times New Roman" w:hAnsi="Times New Roman"/>
          <w:sz w:val="14"/>
          <w:szCs w:val="14"/>
          <w:color w:val="auto"/>
        </w:rPr>
        <w:t>The following figure illustrates the unbiased proteomics profile of all detectable proteins in a cell line (REH) after treatment with ERG Helicon degrader for eight hours at high dose, indicating that the Helicon degrader specifically degrades ERG protein (upper left quadrant) versus all other proteins in the cell.</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33: Proteomic evaluation of protein-level changes following treatment with ERG degrader.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142240</wp:posOffset>
            </wp:positionV>
            <wp:extent cx="1628775" cy="17221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2877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AR</w:t>
      </w:r>
      <w:r>
        <w:rPr>
          <w:rFonts w:ascii="Times New Roman" w:cs="Times New Roman" w:eastAsia="Times New Roman" w:hAnsi="Times New Roman"/>
          <w:sz w:val="18"/>
          <w:szCs w:val="18"/>
          <w:i w:val="1"/>
          <w:iCs w:val="1"/>
          <w:color w:val="auto"/>
          <w:vertAlign w:val="superscript"/>
        </w:rPr>
        <w:t>ON</w:t>
      </w:r>
      <w:r>
        <w:rPr>
          <w:rFonts w:ascii="Times New Roman" w:cs="Times New Roman" w:eastAsia="Times New Roman" w:hAnsi="Times New Roman"/>
          <w:sz w:val="14"/>
          <w:szCs w:val="14"/>
          <w:i w:val="1"/>
          <w:iCs w:val="1"/>
          <w:color w:val="auto"/>
        </w:rPr>
        <w:t xml:space="preserve"> Degrader</w:t>
      </w:r>
    </w:p>
    <w:p>
      <w:pPr>
        <w:spacing w:after="0" w:line="5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While AR directed therapies are the backbone of and provide significant anti-tumor activity in prostate cancer treatment paradigms, the majority of patients ultimately develop resistance. Resistance to AR-directed therapies in approximately 80% of patients is associated with amplification of the AR gene and point mutations at the drug binding site of AR. All approved AR antagonists and clinical-stage AR degraders that we are aware of target the same ligand binding pocket, making them non-combinable and vulnerable to the same resistance mechanisms. We have identified four main limitations of current AR antagonists and AR degraders, including:</w:t>
      </w:r>
    </w:p>
    <w:p>
      <w:pPr>
        <w:spacing w:after="0" w:line="148" w:lineRule="exact"/>
        <w:rPr>
          <w:sz w:val="20"/>
          <w:szCs w:val="20"/>
          <w:color w:val="auto"/>
        </w:rPr>
      </w:pPr>
    </w:p>
    <w:p>
      <w:pPr>
        <w:ind w:left="1320" w:right="1099" w:hanging="257"/>
        <w:spacing w:after="0" w:line="232" w:lineRule="auto"/>
        <w:tabs>
          <w:tab w:leader="none" w:pos="1348"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u w:val="single" w:color="auto"/>
          <w:color w:val="auto"/>
        </w:rPr>
        <w:t>Amplifications in 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Existing therapies do not consistently achieve broad efficacy in patients with AR</w:t>
      </w:r>
      <w:r>
        <w:rPr>
          <w:rFonts w:ascii="Times New Roman" w:cs="Times New Roman" w:eastAsia="Times New Roman" w:hAnsi="Times New Roman"/>
          <w:sz w:val="18"/>
          <w:szCs w:val="18"/>
          <w:color w:val="auto"/>
          <w:vertAlign w:val="superscript"/>
        </w:rPr>
        <w:t>AMP</w:t>
      </w:r>
      <w:r>
        <w:rPr>
          <w:rFonts w:ascii="Times New Roman" w:cs="Times New Roman" w:eastAsia="Times New Roman" w:hAnsi="Times New Roman"/>
          <w:sz w:val="14"/>
          <w:szCs w:val="14"/>
          <w:color w:val="auto"/>
        </w:rPr>
        <w:t>. As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clinical outcomes are variable, reflecting substantial heterogeneity in patient responses.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5" w:name="page146"/>
    <w:bookmarkEnd w:id="14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20" w:right="1019" w:hanging="257"/>
        <w:spacing w:after="0" w:line="268" w:lineRule="auto"/>
        <w:tabs>
          <w:tab w:leader="none" w:pos="1383"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u w:val="single" w:color="auto"/>
          <w:color w:val="auto"/>
        </w:rPr>
        <w:t>Mutations in AR LBD.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 approved AR antagonists and clinical-stage AR degraders currently target the same ligand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binding domain within the androgen binding pocket. This pocket is frequently mutated, and such mutations can significantly impair drug binding, reducing the ability of these agents to function optimally.</w:t>
      </w:r>
    </w:p>
    <w:p>
      <w:pPr>
        <w:spacing w:after="0" w:line="133" w:lineRule="exact"/>
        <w:rPr>
          <w:rFonts w:ascii="Times New Roman" w:cs="Times New Roman" w:eastAsia="Times New Roman" w:hAnsi="Times New Roman"/>
          <w:sz w:val="14"/>
          <w:szCs w:val="14"/>
          <w:b w:val="1"/>
          <w:bCs w:val="1"/>
          <w:color w:val="auto"/>
        </w:rPr>
      </w:pPr>
    </w:p>
    <w:p>
      <w:pPr>
        <w:ind w:left="1320" w:right="959" w:hanging="257"/>
        <w:spacing w:after="0" w:line="268" w:lineRule="auto"/>
        <w:tabs>
          <w:tab w:leader="none" w:pos="1348"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u w:val="single" w:color="auto"/>
          <w:color w:val="auto"/>
        </w:rPr>
        <w:t>AR Splice Variants.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prevalence and expression of AR splice variants increase as disease progresses. AR-V7 is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most prominent variant and results in a truncated receptor that lacks the ligand binding domain, rendering LBD-targeted therapies ineffective.</w:t>
      </w:r>
    </w:p>
    <w:p>
      <w:pPr>
        <w:spacing w:after="0" w:line="133" w:lineRule="exact"/>
        <w:rPr>
          <w:rFonts w:ascii="Times New Roman" w:cs="Times New Roman" w:eastAsia="Times New Roman" w:hAnsi="Times New Roman"/>
          <w:sz w:val="14"/>
          <w:szCs w:val="14"/>
          <w:b w:val="1"/>
          <w:bCs w:val="1"/>
          <w:color w:val="auto"/>
        </w:rPr>
      </w:pPr>
    </w:p>
    <w:p>
      <w:pPr>
        <w:ind w:left="1320" w:right="899" w:hanging="257"/>
        <w:spacing w:after="0" w:line="286" w:lineRule="auto"/>
        <w:tabs>
          <w:tab w:leader="none" w:pos="1348"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u w:val="single" w:color="auto"/>
          <w:color w:val="auto"/>
        </w:rPr>
        <w:t>Combinability.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Because current AR antagonists and degraders bind to the same androgen binding pocket, they cannot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co-administered in combination regimens, limiting therapeutic flexibility and potential synergistic effects.</w:t>
      </w:r>
    </w:p>
    <w:p>
      <w:pPr>
        <w:spacing w:after="0" w:line="123" w:lineRule="exact"/>
        <w:rPr>
          <w:sz w:val="20"/>
          <w:szCs w:val="20"/>
          <w:color w:val="auto"/>
        </w:rPr>
      </w:pPr>
    </w:p>
    <w:p>
      <w:pPr>
        <w:ind w:left="720" w:right="759" w:firstLine="343"/>
        <w:spacing w:after="0" w:line="243" w:lineRule="auto"/>
        <w:rPr>
          <w:sz w:val="20"/>
          <w:szCs w:val="20"/>
          <w:color w:val="auto"/>
        </w:rPr>
      </w:pPr>
      <w:r>
        <w:rPr>
          <w:rFonts w:ascii="Times New Roman" w:cs="Times New Roman" w:eastAsia="Times New Roman" w:hAnsi="Times New Roman"/>
          <w:sz w:val="14"/>
          <w:szCs w:val="14"/>
          <w:color w:val="auto"/>
        </w:rPr>
        <w:t>To overcome these challenges, we have identified a novel Helicon binding site, the AF2 co-activator binding site on AR, accessible only when AR is in its active state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when the receptor is bound to androgen). This site is distinct from and not competitive with the binding site of all approved AR antagonists including enzalutamide. Critically, we believe targeting the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conformation has the potential to (i) enable combination with approved AR-directed therapies for additive effects, (ii) lead to activity in tumors with AR resistance point mutations that compromise existing drug activity at the ligand binding pocket and (iii) provide preferential target engagement of the active AR pool in AR-amplified settings for maximal anti-tumor effects. Data supporting the combination potential of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Helicons with existing AR</w:t>
      </w:r>
      <w:r>
        <w:rPr>
          <w:rFonts w:ascii="Times New Roman" w:cs="Times New Roman" w:eastAsia="Times New Roman" w:hAnsi="Times New Roman"/>
          <w:sz w:val="18"/>
          <w:szCs w:val="18"/>
          <w:color w:val="auto"/>
          <w:vertAlign w:val="superscript"/>
        </w:rPr>
        <w:t>OFF</w:t>
      </w:r>
      <w:r>
        <w:rPr>
          <w:rFonts w:ascii="Times New Roman" w:cs="Times New Roman" w:eastAsia="Times New Roman" w:hAnsi="Times New Roman"/>
          <w:sz w:val="14"/>
          <w:szCs w:val="14"/>
          <w:color w:val="auto"/>
        </w:rPr>
        <w:t xml:space="preserve"> antagonists that engage the androgen binding pocket in an AR-amplified cell line (“VCaP”) is seen in Figure 36. In this experiment each single agent provided significant anti-proliferative activity and the combination of the two provided an additive benefit. We envision that this combination benefit in the clinical context will provide the ability to more completely inhibit AR activity in patient tumors, including AR amplified tumors, and ultimately lead to deeper and more durable suppression of tumor growth.</w:t>
      </w:r>
    </w:p>
    <w:p>
      <w:pPr>
        <w:spacing w:after="0" w:line="158" w:lineRule="exact"/>
        <w:rPr>
          <w:sz w:val="20"/>
          <w:szCs w:val="20"/>
          <w:color w:val="auto"/>
        </w:rPr>
      </w:pPr>
    </w:p>
    <w:p>
      <w:pPr>
        <w:ind w:left="720" w:right="919" w:firstLine="343"/>
        <w:spacing w:after="0" w:line="238" w:lineRule="auto"/>
        <w:rPr>
          <w:sz w:val="20"/>
          <w:szCs w:val="20"/>
          <w:color w:val="auto"/>
        </w:rPr>
      </w:pPr>
      <w:r>
        <w:rPr>
          <w:rFonts w:ascii="Times New Roman" w:cs="Times New Roman" w:eastAsia="Times New Roman" w:hAnsi="Times New Roman"/>
          <w:sz w:val="14"/>
          <w:szCs w:val="14"/>
          <w:color w:val="auto"/>
        </w:rPr>
        <w:t>The figure below illustrates the anti-tumor activity of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Helicon degrader (Helicon8) in the VCaP cell-line derived xenograft model which is AR amplified, and for comparison, shows that a negative control helicon (Helicon10) that can bind to AR but lacks the ability to recruit E3 ligase, does not have activity.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34: Preclinical in vivo efficacy data using our AR</w:t>
      </w:r>
      <w:r>
        <w:rPr>
          <w:rFonts w:ascii="Times New Roman" w:cs="Times New Roman" w:eastAsia="Times New Roman" w:hAnsi="Times New Roman"/>
          <w:sz w:val="18"/>
          <w:szCs w:val="18"/>
          <w:b w:val="1"/>
          <w:bCs w:val="1"/>
          <w:i w:val="1"/>
          <w:iCs w:val="1"/>
          <w:color w:val="auto"/>
          <w:vertAlign w:val="superscript"/>
        </w:rPr>
        <w:t>ON</w:t>
      </w:r>
      <w:r>
        <w:rPr>
          <w:rFonts w:ascii="Times New Roman" w:cs="Times New Roman" w:eastAsia="Times New Roman" w:hAnsi="Times New Roman"/>
          <w:sz w:val="14"/>
          <w:szCs w:val="14"/>
          <w:b w:val="1"/>
          <w:bCs w:val="1"/>
          <w:i w:val="1"/>
          <w:iCs w:val="1"/>
          <w:color w:val="auto"/>
        </w:rPr>
        <w:t xml:space="preserve"> degrader.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109220</wp:posOffset>
            </wp:positionV>
            <wp:extent cx="2470150" cy="2056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70150" cy="205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20" w:right="1079" w:firstLine="343"/>
        <w:spacing w:after="0" w:line="258" w:lineRule="auto"/>
        <w:rPr>
          <w:sz w:val="20"/>
          <w:szCs w:val="20"/>
          <w:color w:val="auto"/>
        </w:rPr>
      </w:pPr>
      <w:r>
        <w:rPr>
          <w:rFonts w:ascii="Times New Roman" w:cs="Times New Roman" w:eastAsia="Times New Roman" w:hAnsi="Times New Roman"/>
          <w:sz w:val="13"/>
          <w:szCs w:val="13"/>
          <w:color w:val="auto"/>
        </w:rPr>
        <w:t>The following figure highlights three key features of our AR</w:t>
      </w:r>
      <w:r>
        <w:rPr>
          <w:rFonts w:ascii="Times New Roman" w:cs="Times New Roman" w:eastAsia="Times New Roman" w:hAnsi="Times New Roman"/>
          <w:sz w:val="17"/>
          <w:szCs w:val="17"/>
          <w:color w:val="auto"/>
          <w:vertAlign w:val="superscript"/>
        </w:rPr>
        <w:t>ON</w:t>
      </w:r>
      <w:r>
        <w:rPr>
          <w:rFonts w:ascii="Times New Roman" w:cs="Times New Roman" w:eastAsia="Times New Roman" w:hAnsi="Times New Roman"/>
          <w:sz w:val="13"/>
          <w:szCs w:val="13"/>
          <w:color w:val="auto"/>
        </w:rPr>
        <w:t xml:space="preserve"> Helicon degraders that are designed to improve on existing therapies: combinability, activity in tumors with resistance point mutations in AR, and activity in tumors with amplified AR.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6" w:name="page147"/>
    <w:bookmarkEnd w:id="14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35: Ligand binding domain Helicon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135255</wp:posOffset>
            </wp:positionV>
            <wp:extent cx="4045585" cy="19094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045585"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right="999" w:firstLine="343"/>
        <w:spacing w:after="0" w:line="238" w:lineRule="auto"/>
        <w:rPr>
          <w:sz w:val="20"/>
          <w:szCs w:val="20"/>
          <w:color w:val="auto"/>
        </w:rPr>
      </w:pPr>
      <w:r>
        <w:rPr>
          <w:rFonts w:ascii="Times New Roman" w:cs="Times New Roman" w:eastAsia="Times New Roman" w:hAnsi="Times New Roman"/>
          <w:sz w:val="14"/>
          <w:szCs w:val="14"/>
          <w:color w:val="auto"/>
        </w:rPr>
        <w:t>The following figure illustrates the improved anti-proliferative activity achieved by combining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Helicon degrader with enzalutamide versus either single agent treatment alone. We plan to conduct additional experiments to confirm the combination strategy described in VCaP cells using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xenograft models.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Figure 36: Combination additivity in VCaP AR amplified prostate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135255</wp:posOffset>
            </wp:positionV>
            <wp:extent cx="2035810" cy="11283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035810" cy="112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20" w:right="759" w:firstLine="343"/>
        <w:spacing w:after="0"/>
        <w:rPr>
          <w:sz w:val="20"/>
          <w:szCs w:val="20"/>
          <w:color w:val="auto"/>
        </w:rPr>
      </w:pPr>
      <w:r>
        <w:rPr>
          <w:rFonts w:ascii="Times New Roman" w:cs="Times New Roman" w:eastAsia="Times New Roman" w:hAnsi="Times New Roman"/>
          <w:sz w:val="14"/>
          <w:szCs w:val="14"/>
          <w:color w:val="auto"/>
        </w:rPr>
        <w:t>In addition, heterobifunctional Helicon degraders binding to the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conformation achieve potent and selective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degradation of active AR, with anti-tumor activity equivalent to or exceeding approved AR antagonists in AR-amplified xenograft models. As shown below, we have observed robust tumor growth inhibition in preclinical models using our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and are in late lead-optimization progressing toward IND-enabling studies. In the representative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experiment illustrated above in Figure 34, we observed 84% tumor growth inhibition of the AR amplified VCaP cell-line derived xenograft model when dosing Helicon8 at 10mg/kg on once weekly schedule with a subcutaneous dosing route. Importantly, when we dose the same tumor model with a negative control helicon (Helicon10) that is derived from active Helicon8 with a conservative chemical modification that retains AR binding ability but abrogates the ability of the Helicon to bind to VHL E3 ligase, anti-tumor activity of the Helicon is lost, demonstrating that the degrader functionality is critical for antitumor activity.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7" w:name="page148"/>
    <w:bookmarkEnd w:id="14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20"/>
        <w:spacing w:after="0"/>
        <w:rPr>
          <w:sz w:val="20"/>
          <w:szCs w:val="20"/>
          <w:color w:val="auto"/>
        </w:rPr>
      </w:pPr>
      <w:r>
        <w:rPr>
          <w:rFonts w:ascii="Arial" w:cs="Arial" w:eastAsia="Arial" w:hAnsi="Arial"/>
          <w:sz w:val="14"/>
          <w:szCs w:val="14"/>
          <w:b w:val="1"/>
          <w:bCs w:val="1"/>
          <w:i w:val="1"/>
          <w:iCs w:val="1"/>
          <w:color w:val="auto"/>
        </w:rPr>
        <w:t>b</w:t>
      </w:r>
      <w:r>
        <w:rPr>
          <w:rFonts w:ascii="Times New Roman" w:cs="Times New Roman" w:eastAsia="Times New Roman" w:hAnsi="Times New Roman"/>
          <w:sz w:val="14"/>
          <w:szCs w:val="14"/>
          <w:b w:val="1"/>
          <w:bCs w:val="1"/>
          <w:i w:val="1"/>
          <w:iCs w:val="1"/>
          <w:color w:val="auto"/>
        </w:rPr>
        <w:t>-catenin Candidates Utilizing Our Helicon Discovery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-89535</wp:posOffset>
            </wp:positionV>
            <wp:extent cx="83820" cy="1098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3820" cy="109855"/>
                    </a:xfrm>
                    <a:prstGeom prst="rect">
                      <a:avLst/>
                    </a:prstGeom>
                    <a:noFill/>
                  </pic:spPr>
                </pic:pic>
              </a:graphicData>
            </a:graphic>
          </wp:anchor>
        </w:drawing>
      </w:r>
    </w:p>
    <w:p>
      <w:pPr>
        <w:spacing w:after="0" w:line="88" w:lineRule="exact"/>
        <w:rPr>
          <w:sz w:val="20"/>
          <w:szCs w:val="20"/>
          <w:color w:val="auto"/>
        </w:rPr>
      </w:pPr>
    </w:p>
    <w:p>
      <w:pPr>
        <w:ind w:left="720" w:right="799" w:firstLine="343"/>
        <w:spacing w:after="0" w:line="248" w:lineRule="auto"/>
        <w:rPr>
          <w:sz w:val="20"/>
          <w:szCs w:val="20"/>
          <w:color w:val="auto"/>
        </w:rPr>
      </w:pPr>
      <w:r>
        <w:rPr>
          <w:rFonts w:ascii="Times New Roman" w:cs="Times New Roman" w:eastAsia="Times New Roman" w:hAnsi="Times New Roman"/>
          <w:sz w:val="14"/>
          <w:szCs w:val="14"/>
          <w:color w:val="auto"/>
        </w:rPr>
        <w:t>In addition to pursuing ERG and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degraders, we are continuing to develop novel approaches to target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building on the foundational biology established through zolucatetide. We have identified multiple binding sites on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beyond the one leveraged by zolucatetide and are exploring the application of our degrader technology to develop a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targeted degrader. Data highlighting cell-based degradation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protein using a bifunctional Helicon degrader is set forth in Figure 37. This Helicon degrader exhibited a potent DC</w:t>
      </w:r>
      <w:r>
        <w:rPr>
          <w:rFonts w:ascii="Times New Roman" w:cs="Times New Roman" w:eastAsia="Times New Roman" w:hAnsi="Times New Roman"/>
          <w:sz w:val="18"/>
          <w:szCs w:val="18"/>
          <w:color w:val="auto"/>
          <w:vertAlign w:val="subscript"/>
        </w:rPr>
        <w:t>50</w:t>
      </w:r>
      <w:r>
        <w:rPr>
          <w:rFonts w:ascii="Times New Roman" w:cs="Times New Roman" w:eastAsia="Times New Roman" w:hAnsi="Times New Roman"/>
          <w:sz w:val="14"/>
          <w:szCs w:val="14"/>
          <w:color w:val="auto"/>
        </w:rPr>
        <w:t xml:space="preserve"> of ~100nM, which was dependent on engagement of the VHL E3 ligase (illustrated with a VHL incompetent negative control Helicon), and dependent on the proteasome (illustrated by rescue with the proteasome inhibitor, bortezomib). Finally, in the same Figure, the degradation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protein led to a dose-dependent and VHL E3 ligase-dependent inhibition of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-catenin:TCF transcriptional activity as measured by monitoring AXIN2 gene expression.</w:t>
      </w:r>
    </w:p>
    <w:p>
      <w:pPr>
        <w:spacing w:after="0" w:line="246" w:lineRule="exact"/>
        <w:rPr>
          <w:sz w:val="20"/>
          <w:szCs w:val="20"/>
          <w:color w:val="auto"/>
        </w:rPr>
      </w:pPr>
    </w:p>
    <w:p>
      <w:pPr>
        <w:ind w:left="720" w:right="8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Figure 37. Cell-based validation of a bifunctional Helicon degrader of </w:t>
      </w:r>
      <w:r>
        <w:rPr>
          <w:rFonts w:ascii="Arial" w:cs="Arial" w:eastAsia="Arial" w:hAnsi="Arial"/>
          <w:sz w:val="14"/>
          <w:szCs w:val="14"/>
          <w:b w:val="1"/>
          <w:bCs w:val="1"/>
          <w:i w:val="1"/>
          <w:iCs w:val="1"/>
          <w:color w:val="auto"/>
        </w:rPr>
        <w:t>b</w:t>
      </w:r>
      <w:r>
        <w:rPr>
          <w:rFonts w:ascii="Times New Roman" w:cs="Times New Roman" w:eastAsia="Times New Roman" w:hAnsi="Times New Roman"/>
          <w:sz w:val="14"/>
          <w:szCs w:val="14"/>
          <w:b w:val="1"/>
          <w:bCs w:val="1"/>
          <w:i w:val="1"/>
          <w:iCs w:val="1"/>
          <w:color w:val="auto"/>
        </w:rPr>
        <w:t>-catenin using the COLO320DM colorectal cell line as a model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-229870</wp:posOffset>
            </wp:positionV>
            <wp:extent cx="4806315" cy="19939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80631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right="739" w:firstLine="343"/>
        <w:spacing w:after="0" w:line="266" w:lineRule="auto"/>
        <w:rPr>
          <w:sz w:val="20"/>
          <w:szCs w:val="20"/>
          <w:color w:val="auto"/>
        </w:rPr>
      </w:pPr>
      <w:r>
        <w:rPr>
          <w:rFonts w:ascii="Times New Roman" w:cs="Times New Roman" w:eastAsia="Times New Roman" w:hAnsi="Times New Roman"/>
          <w:sz w:val="14"/>
          <w:szCs w:val="14"/>
          <w:color w:val="auto"/>
        </w:rPr>
        <w:t xml:space="preserve">The finding that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has at least five Helisites allows us to explore the biological impact of modulating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activity and levels in multiple ways. We believe the combination of a degrader approach and the exploration of additional Helisites may enable us to create new product candidates targeting the Wnt/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 xml:space="preserve">-catenin pathway and further expand the opportunity of our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franchise.</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Other Discovery Candidates Utilizing Our Helicon Discovery Platform</w:t>
      </w:r>
    </w:p>
    <w:p>
      <w:pPr>
        <w:spacing w:after="0" w:line="98" w:lineRule="exact"/>
        <w:rPr>
          <w:sz w:val="20"/>
          <w:szCs w:val="20"/>
          <w:color w:val="auto"/>
        </w:rPr>
      </w:pPr>
    </w:p>
    <w:p>
      <w:pPr>
        <w:ind w:left="720" w:right="799" w:firstLine="343"/>
        <w:spacing w:after="0" w:line="246" w:lineRule="auto"/>
        <w:rPr>
          <w:sz w:val="20"/>
          <w:szCs w:val="20"/>
          <w:color w:val="auto"/>
        </w:rPr>
      </w:pPr>
      <w:r>
        <w:rPr>
          <w:rFonts w:ascii="Times New Roman" w:cs="Times New Roman" w:eastAsia="Times New Roman" w:hAnsi="Times New Roman"/>
          <w:sz w:val="14"/>
          <w:szCs w:val="14"/>
          <w:color w:val="auto"/>
        </w:rPr>
        <w:t xml:space="preserve">We believe zolucatetide, our </w:t>
      </w:r>
      <w:r>
        <w:rPr>
          <w:rFonts w:ascii="Arial" w:cs="Arial" w:eastAsia="Arial" w:hAnsi="Arial"/>
          <w:sz w:val="14"/>
          <w:szCs w:val="14"/>
          <w:b w:val="1"/>
          <w:bCs w:val="1"/>
          <w:color w:val="auto"/>
        </w:rPr>
        <w:t>b</w:t>
      </w:r>
      <w:r>
        <w:rPr>
          <w:rFonts w:ascii="Times New Roman" w:cs="Times New Roman" w:eastAsia="Times New Roman" w:hAnsi="Times New Roman"/>
          <w:sz w:val="14"/>
          <w:szCs w:val="14"/>
          <w:color w:val="auto"/>
        </w:rPr>
        <w:t>-catenin and ERG degraders, and our allosteric AR</w:t>
      </w:r>
      <w:r>
        <w:rPr>
          <w:rFonts w:ascii="Times New Roman" w:cs="Times New Roman" w:eastAsia="Times New Roman" w:hAnsi="Times New Roman"/>
          <w:sz w:val="18"/>
          <w:szCs w:val="18"/>
          <w:color w:val="auto"/>
          <w:vertAlign w:val="superscript"/>
        </w:rPr>
        <w:t>ON</w:t>
      </w:r>
      <w:r>
        <w:rPr>
          <w:rFonts w:ascii="Times New Roman" w:cs="Times New Roman" w:eastAsia="Times New Roman" w:hAnsi="Times New Roman"/>
          <w:sz w:val="14"/>
          <w:szCs w:val="14"/>
          <w:color w:val="auto"/>
        </w:rPr>
        <w:t xml:space="preserve"> degrader program provide strong evidence of the potential of our Helicon discovery platform to repeatedly generate therapeutic candidates with the potential to selectively bind historically undruggable intracellular targets and exert desired biological activity. We are also actively working to broaden our platform’s reach across additional historically undruggable high-value targets such as cyclin D1 and p53, among others. These targets have been specifically selected to align with our focus on genetically validated, historically undruggable proteins where we believe Helicon peptides offer a meaningful advantage over existing modalities. We apply a rigorous framework to evaluate and prioritize programs, assessing each against genetic validation, Helicon feasibility, safety, clinical path, and potential for value creation before committing substantial resources to advancement.</w:t>
      </w:r>
    </w:p>
    <w:p>
      <w:pPr>
        <w:spacing w:after="0" w:line="152"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are also exploring modality expansion, building our toolkit of Helicon functionalities to include protein-protein interaction inhibitors, protein-DNA inhibitors, bifunctional degraders, target-induced cell killing, and radioligand therapeutics. We believe our modality also has the potential to implement additional mechanisms of action with high precision by incorporating functional payloads or recruiting domains into the core Helicon scaffold. This modularity allows us to leverage continued advances across biotechnology to potentially extend the reach of the platform across multiple mechanisms.</w:t>
      </w:r>
    </w:p>
    <w:p>
      <w:pPr>
        <w:spacing w:after="0" w:line="144" w:lineRule="exact"/>
        <w:rPr>
          <w:sz w:val="20"/>
          <w:szCs w:val="20"/>
          <w:color w:val="auto"/>
        </w:rPr>
      </w:pPr>
    </w:p>
    <w:p>
      <w:pPr>
        <w:ind w:left="720" w:right="759" w:firstLine="343"/>
        <w:spacing w:after="0" w:line="323" w:lineRule="auto"/>
        <w:rPr>
          <w:sz w:val="20"/>
          <w:szCs w:val="20"/>
          <w:color w:val="auto"/>
        </w:rPr>
      </w:pPr>
      <w:r>
        <w:rPr>
          <w:rFonts w:ascii="Times New Roman" w:cs="Times New Roman" w:eastAsia="Times New Roman" w:hAnsi="Times New Roman"/>
          <w:sz w:val="13"/>
          <w:szCs w:val="13"/>
          <w:color w:val="auto"/>
        </w:rPr>
        <w:t>We intend to advance multiple discovery-stage programs beyond our current clinical and preclinical pipeline, reflecting our goal to build a multi-therapeutic company that leverages the distinct strengths of the Helicon platform to create differentiated medicines.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8" w:name="page149"/>
    <w:bookmarkEnd w:id="14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Strategic Partnerships</w:t>
      </w:r>
    </w:p>
    <w:p>
      <w:pPr>
        <w:spacing w:after="0" w:line="93"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addition to advancing wholly-owned programs, we intend to pursue selective strategic partnerships to maximize the impact of the Helicon platform. In oncology, where we maintain deep internal expertise in target biology, clinical development, and regulatory strategy, we expect to develop programs through regulatory approvals and commercialize the products ourselves in the United States. Outside of the United States, we may seek partnerships with global pharmaceutical companies or distributors to expand our reach to patients globally. For certain oncology indications where scaled manufacturing, broad commercial infrastructure, or other capabilities would be required to fully realize a program’s potential, we may choose to advance a program to an appropriate value inflection point and then partner with organizations that bring these capabilities. In such cases, where we believe a partnership could accelerate patient access and expand the clinical and commercial impact of a program beyond what we could achieve independently, we would seek to structure collaborations that both enable that broader reach and allow us to achieve meaningful near-term and downstream value creation.</w:t>
      </w:r>
    </w:p>
    <w:p>
      <w:pPr>
        <w:spacing w:after="0" w:line="146"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We also intend to evaluate strategic research collaborations to advance Helicon-based programs against new targets and indications largely outside of oncology. In these partnerships, we expect to leverage our Helicon discovery platform to generate molecules against undruggable targets, while partners contribute disease-area biology, translational insight, and development and commercialization capabilities specific to their therapeutic focus. We believe this strategy allows us to expand the reach of the Helicon platform into high-value indications that we would not otherwise pursue independently, generating additional value and optionality for our company and for patients.</w:t>
      </w:r>
    </w:p>
    <w:p>
      <w:pPr>
        <w:spacing w:after="0" w:line="14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Consistent with this strategy, we recently entered into a License and Collaboration Agreement with Regeneron Pharmaceuticals, Inc. (“Regeneron”) pursuant to which we plan to discover and develop multiple therapeutic candidates based on our Helicon platform, with a particular focus on Antibody-Helicon Conjugates (“AHCs”) directed to historically undruggable and challenging intracellular targets. The collaboration will focus primarily on indications outside of oncology. Additional information regarding our collaboration with Regeneron is set forth in the section titled "</w:t>
      </w:r>
      <w:r>
        <w:rPr>
          <w:rFonts w:ascii="Times New Roman" w:cs="Times New Roman" w:eastAsia="Times New Roman" w:hAnsi="Times New Roman"/>
          <w:sz w:val="14"/>
          <w:szCs w:val="14"/>
          <w:i w:val="1"/>
          <w:iCs w:val="1"/>
          <w:color w:val="auto"/>
        </w:rPr>
        <w:t>License and Collaboration Agreements</w:t>
      </w:r>
      <w:r>
        <w:rPr>
          <w:rFonts w:ascii="Times New Roman" w:cs="Times New Roman" w:eastAsia="Times New Roman" w:hAnsi="Times New Roman"/>
          <w:sz w:val="14"/>
          <w:szCs w:val="14"/>
          <w:color w:val="auto"/>
        </w:rPr>
        <w:t>" below.</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9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We believe that Helicons can be reliably and efficiently manufactured, and that our team possesses the expertise and technical capabilities required to produce zolucatetide, as well as Helicons more broadly, at commercial scale. To date, our focused efforts have enabled us to: (1) develop manufacturing processes that we believe are scalable for commercial production; (2) establish a network of contract manufacturers capable of reliably and efficiently supplying zolucatetide for clinical trials and, ultimately, commercialization;</w:t>
      </w:r>
    </w:p>
    <w:p>
      <w:pPr>
        <w:spacing w:after="0" w:line="1" w:lineRule="exact"/>
        <w:rPr>
          <w:sz w:val="20"/>
          <w:szCs w:val="20"/>
          <w:color w:val="auto"/>
        </w:rPr>
      </w:pPr>
    </w:p>
    <w:p>
      <w:pPr>
        <w:ind w:left="720" w:right="859"/>
        <w:spacing w:after="0" w:line="252" w:lineRule="auto"/>
        <w:tabs>
          <w:tab w:leader="none" w:pos="91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reduce cost of goods sold through optimization and scale-up of our solid-phase process, as well as development of a liquid-phase process; and (4) advance the development of a self-administered injectable formulation of zolucatetide for commercial use. Looking ahead, we intend to continue innovating to support further improvements, including transitioning to our liquid-phase manufacturing process. In parallel, we are advancing a formulation development to enable convenient self-administered injectable dosing, which we expect will be used for zolucatetide at the commercial stage and may be applied across other programs. Under the oversight of our experienced manufacturing team, we intend to continue to enhance our end-to-end manufacturing capabilities.</w:t>
      </w:r>
    </w:p>
    <w:p>
      <w:pPr>
        <w:spacing w:after="0" w:line="149"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With respect to our supply chain, we rely on third parties for the GMP manufacture of our product candidates for certain preclinical studies and clinical trial materials, including active pharmaceutical ingredients, as well as the raw materials and consumables required for their production. We expect to continue this outsourcing strategy in the future, including for commercial manufacturing, if our product candidates receive marketing approval. We do not own or operate GMP manufacturing facilities and do not currently plan to build internal GMP manufacturing capabilities for clinical or commercial production. However, our team includes personnel with extensive manufacturing experience who provide oversight of our contract manufacturing partners. In the future, we may also engage collaboration partners, in addition to contract manufacturers, to support the manufacture of our product candidates or any approved products.</w:t>
      </w:r>
    </w:p>
    <w:p>
      <w:pPr>
        <w:spacing w:after="0" w:line="145"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We believe that zolucatetide can be manufactured using reliable and reproducible synthetic process from readily available raw materials, followed by purification and packaging suitable for clinical use. We further believe that the chemistry is amenable to scale-up, and that our continued focus on innovation will allow us to maintain robust manufacturing expertise.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9" w:name="page150"/>
    <w:bookmarkEnd w:id="14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3"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The pharmaceutical industry is characterized by rapid technological evolution and intense competition. We face and will continue to face competition from pharmaceutical and biotechnology companies of all sizes, academic institutions, government agencies, and other public and private research organizations that conduct research, seek patent protection, and establish collaborative arrangements for the research, development, manufacturing, and commercialization of new products.</w:t>
      </w:r>
    </w:p>
    <w:p>
      <w:pPr>
        <w:spacing w:after="0" w:line="141" w:lineRule="exact"/>
        <w:rPr>
          <w:sz w:val="20"/>
          <w:szCs w:val="20"/>
          <w:color w:val="auto"/>
        </w:rPr>
      </w:pPr>
    </w:p>
    <w:p>
      <w:pPr>
        <w:ind w:left="720" w:right="879" w:firstLine="343"/>
        <w:spacing w:after="0" w:line="258" w:lineRule="auto"/>
        <w:rPr>
          <w:sz w:val="20"/>
          <w:szCs w:val="20"/>
          <w:color w:val="auto"/>
        </w:rPr>
      </w:pPr>
      <w:r>
        <w:rPr>
          <w:rFonts w:ascii="Times New Roman" w:cs="Times New Roman" w:eastAsia="Times New Roman" w:hAnsi="Times New Roman"/>
          <w:sz w:val="14"/>
          <w:szCs w:val="14"/>
          <w:color w:val="auto"/>
        </w:rPr>
        <w:t>Any product candidates that we successfully develop and commercialize will compete with existing approved therapies, off-label treatments, and/or new therapies that may become available in the future. We believe that the key competitive factors affecting the success of zolucatetide and any future product candidates, if approved, will include efficacy, durability of response, time to response, safety and tolerability, route of administration, cost and reimbursement coverage, and the strength of our intellectual property protection.</w:t>
      </w:r>
    </w:p>
    <w:p>
      <w:pPr>
        <w:spacing w:after="0" w:line="144" w:lineRule="exact"/>
        <w:rPr>
          <w:sz w:val="20"/>
          <w:szCs w:val="20"/>
          <w:color w:val="auto"/>
        </w:rPr>
      </w:pPr>
    </w:p>
    <w:p>
      <w:pPr>
        <w:ind w:left="720" w:right="1079" w:firstLine="343"/>
        <w:spacing w:after="0" w:line="267" w:lineRule="auto"/>
        <w:rPr>
          <w:sz w:val="20"/>
          <w:szCs w:val="20"/>
          <w:color w:val="auto"/>
        </w:rPr>
      </w:pPr>
      <w:r>
        <w:rPr>
          <w:rFonts w:ascii="Times New Roman" w:cs="Times New Roman" w:eastAsia="Times New Roman" w:hAnsi="Times New Roman"/>
          <w:sz w:val="14"/>
          <w:szCs w:val="14"/>
          <w:color w:val="auto"/>
        </w:rPr>
        <w:t>We are developing our lead product candidate, zolucatetide, initially for the treatment of desmoid tumors. The competitive landscape for desmoid tumors has evolved in recent years with the emergence of one approved targeted therapy and others in development, and we expect this landscape to continue to evolve as additional agents advance through clinical development.</w:t>
      </w:r>
    </w:p>
    <w:p>
      <w:pPr>
        <w:spacing w:after="0" w:line="146"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We consider our most direct competitors to be companies developing </w:t>
      </w:r>
      <w:r>
        <w:rPr>
          <w:rFonts w:ascii="Arial" w:cs="Arial" w:eastAsia="Arial" w:hAnsi="Arial"/>
          <w:sz w:val="14"/>
          <w:szCs w:val="14"/>
          <w:b w:val="1"/>
          <w:bCs w:val="1"/>
          <w:color w:val="auto"/>
        </w:rPr>
        <w:t>g-</w:t>
      </w:r>
      <w:r>
        <w:rPr>
          <w:rFonts w:ascii="Times New Roman" w:cs="Times New Roman" w:eastAsia="Times New Roman" w:hAnsi="Times New Roman"/>
          <w:sz w:val="14"/>
          <w:szCs w:val="14"/>
          <w:color w:val="auto"/>
        </w:rPr>
        <w:t>secretase inhibitors, including nirogacestat (Ogsiveo), an approved drug for desmoid tumors commercialized by Merck KGaA (acquired from SpringWorks Therapeutics), and varegacestat, being developed by Immunome, Inc., has completed a Phase 3 clinical trial in desmoid tumors. Varegacestat targets the same mechanistic pathway as Ogsiveo and, if approved, would represent an additional source of direct competition.</w:t>
      </w:r>
    </w:p>
    <w:p>
      <w:pPr>
        <w:spacing w:after="0" w:line="140"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There may be additional agents in early clinical development by other companies targeting this indication through tumor-agnostic or basket studies that may enroll patients with desmoid tumors. We cannot predict whether varegacestat or other clinical-stage agents will receive regulatory approval, or on what timeline, but the potential entry of additional approved therapies could intensify the competitive environment and make it more difficult to achieve and maintain market share for zolucatetide, if approved.</w:t>
      </w:r>
    </w:p>
    <w:p>
      <w:pPr>
        <w:spacing w:after="0" w:line="14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Furthermore, we are aware of several therapies used off-label for the treatment of desmoid tumors, including chemotherapeutic agents such as liposomal doxorubicin and vinblastine/methotrexate, non-steroidal anti-inflammatory drugs, anti-hormonal therapies, and tyrosine kinase inhibitors such as sorafenib, imatinib, and pazopanib. These therapies, some of which are available generically and at lower cost, may continue to be used by treating physicians and could limit the addressable market for zolucatetide.</w:t>
      </w:r>
    </w:p>
    <w:p>
      <w:pPr>
        <w:spacing w:after="0" w:line="141" w:lineRule="exact"/>
        <w:rPr>
          <w:sz w:val="20"/>
          <w:szCs w:val="20"/>
          <w:color w:val="auto"/>
        </w:rPr>
      </w:pPr>
    </w:p>
    <w:p>
      <w:pPr>
        <w:ind w:left="720" w:right="899" w:firstLine="343"/>
        <w:spacing w:after="0" w:line="257" w:lineRule="auto"/>
        <w:rPr>
          <w:sz w:val="20"/>
          <w:szCs w:val="20"/>
          <w:color w:val="auto"/>
        </w:rPr>
      </w:pPr>
      <w:r>
        <w:rPr>
          <w:rFonts w:ascii="Times New Roman" w:cs="Times New Roman" w:eastAsia="Times New Roman" w:hAnsi="Times New Roman"/>
          <w:sz w:val="14"/>
          <w:szCs w:val="14"/>
          <w:color w:val="auto"/>
        </w:rPr>
        <w:t>For our zolucatetide program in FAP, where there are no therapies currently approved by the FDA, we are aware of clinical-stage product candidates being evaluated. These include: eRapa (encapsulated rapamycin), an oral mTOR inhibitor being developed by Emtora Biosciences, and REC-4881, an allosteric MEK1/2 inhibitor being developed by Recursion Pharmaceuticals, as well as TPST-1495 (Tempest Therapeutics) and ONC201 (Jazz Pharmaceuticals). We are also aware of therapies being evaluated in tumor-agnostic or related gastrointestinal indications that may include FAP patients. All of these and other potential entrants could create competition for our program.</w:t>
      </w:r>
    </w:p>
    <w:p>
      <w:pPr>
        <w:spacing w:after="0" w:line="14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Many of our current and potential competitors have significantly greater financial resources and expertise than we do in research and development, manufacturing, preclinical and clinical testing, obtaining regulatory approvals, obtaining reimbursement, and marketing approved products. Mergers and acquisitions in the biopharmaceutical industry may result in even greater resources being concentrated among a smaller number of well-capitalized competitors. Smaller or early-stage companies may also prove to be significant competitors, particularly through collaborative arrangements with larger and more established companies.</w:t>
      </w:r>
    </w:p>
    <w:p>
      <w:pPr>
        <w:spacing w:after="0" w:line="144"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Our competitors also compete with us in recruiting and retaining qualified scientific, clinical, and management personnel, establishing clinical trial sites and patient enrollment for clinical trials, and acquiring technologies complementary to or necessary for our programs. If our competitors develop and commercialize products that are safer, more effective, have fewer or less severe side effects, are more convenient to administer, or are less expensive than zolucatetide or any future product candidates we may develop, our commercial opportunity could be reduced or eliminated. Our competitors may also obtain FDA or other regulatory approvals for their products more rapidly than we may obtain approval for ours, which could allow them to establish a strong market position before we are able to enter the market.</w:t>
      </w:r>
    </w:p>
    <w:p>
      <w:pPr>
        <w:spacing w:after="0" w:line="144" w:lineRule="exact"/>
        <w:rPr>
          <w:sz w:val="20"/>
          <w:szCs w:val="20"/>
          <w:color w:val="auto"/>
        </w:rPr>
      </w:pPr>
    </w:p>
    <w:p>
      <w:pPr>
        <w:ind w:left="720" w:right="1119" w:firstLine="343"/>
        <w:spacing w:after="0" w:line="261" w:lineRule="auto"/>
        <w:rPr>
          <w:sz w:val="20"/>
          <w:szCs w:val="20"/>
          <w:color w:val="auto"/>
        </w:rPr>
      </w:pPr>
      <w:r>
        <w:rPr>
          <w:rFonts w:ascii="Times New Roman" w:cs="Times New Roman" w:eastAsia="Times New Roman" w:hAnsi="Times New Roman"/>
          <w:sz w:val="14"/>
          <w:szCs w:val="14"/>
          <w:color w:val="auto"/>
        </w:rPr>
        <w:t>The availability of reimbursement from government and private payors will also significantly affect the pricing and competitiveness of our products. Even if zolucatetide or any future product candidates achieve regulatory approval, they may be priced at a significant premium over competitive products if any have been approved by then, which could result in reduced competitiveness or limited market adoption.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0" w:name="page151"/>
    <w:bookmarkEnd w:id="15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3"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We pursue a layered intellectual property strategy to protect our Helicon discovery platform, our development programs, our product candidates and other technologies. One focus of our intellectual property strategy is to provide protection for our Helicon discovery platform and product candidates currently in development. We also pursue intellectual property protection for assets that may be used in future development programs or that may be of interest to future collaborators or otherwise may prove valuable in the field.</w:t>
      </w:r>
    </w:p>
    <w:p>
      <w:pPr>
        <w:spacing w:after="0" w:line="144"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Various aspects of our Helicon discovery platform and our product candidates are covered by claims in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licensed from third parties. We intend to continue filing additional patent applications, and to pursue opportunities to acquire and/or license additional intellectual property assets and technologies, for example, from collaborations, as developments arise or are identified.</w:t>
      </w:r>
    </w:p>
    <w:p>
      <w:pPr>
        <w:spacing w:after="0" w:line="14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Our commercial success depends, in large part, on our ability to obtain and maintain patents, trademarks, and other proprietary protections for commercially important technologies, including inventions, trade secrets and know-how, related to our business including our Helicon discovery platform and our product candidates; to defend and enforce our patents and other intellectual property rights; to preserve the confidentiality of our trade secrets; and to operate without infringing, misappropriating or violating patents and other intellectual property rights of third parties. See “</w:t>
      </w:r>
      <w:r>
        <w:rPr>
          <w:rFonts w:ascii="Times New Roman" w:cs="Times New Roman" w:eastAsia="Times New Roman" w:hAnsi="Times New Roman"/>
          <w:sz w:val="14"/>
          <w:szCs w:val="14"/>
          <w:i w:val="1"/>
          <w:iCs w:val="1"/>
          <w:color w:val="auto"/>
        </w:rPr>
        <w:t>Risk Factors—Risks Related to Our Intellectual Property</w:t>
      </w:r>
      <w:r>
        <w:rPr>
          <w:rFonts w:ascii="Times New Roman" w:cs="Times New Roman" w:eastAsia="Times New Roman" w:hAnsi="Times New Roman"/>
          <w:sz w:val="14"/>
          <w:szCs w:val="14"/>
          <w:color w:val="auto"/>
        </w:rPr>
        <w:t>” for a more comprehensive description of risks related to our intellectual property.</w:t>
      </w:r>
    </w:p>
    <w:p>
      <w:pPr>
        <w:spacing w:after="0" w:line="14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As of March 23, 2026, our overall owned and in-licensed patent portfolio included at least 17 patent families, each of which includes at least an application filed under the Patent Cooperation Treaty (a “PCT application”) or a filing in the United States, and several of which are pending or granted in multiple jurisdictions. The patent families include at least 12 patent families that are solely owned by us, and the rest that we have licensed from third parties.</w:t>
      </w:r>
    </w:p>
    <w:p>
      <w:pPr>
        <w:spacing w:after="0" w:line="141" w:lineRule="exact"/>
        <w:rPr>
          <w:sz w:val="20"/>
          <w:szCs w:val="20"/>
          <w:color w:val="auto"/>
        </w:rPr>
      </w:pPr>
    </w:p>
    <w:p>
      <w:pPr>
        <w:ind w:left="720" w:right="759" w:firstLine="343"/>
        <w:spacing w:after="0" w:line="252" w:lineRule="auto"/>
        <w:rPr>
          <w:sz w:val="20"/>
          <w:szCs w:val="20"/>
          <w:color w:val="auto"/>
        </w:rPr>
      </w:pPr>
      <w:r>
        <w:rPr>
          <w:rFonts w:ascii="Times New Roman" w:cs="Times New Roman" w:eastAsia="Times New Roman" w:hAnsi="Times New Roman"/>
          <w:sz w:val="14"/>
          <w:szCs w:val="14"/>
          <w:color w:val="auto"/>
        </w:rPr>
        <w:t>An issued patent typically provides its owner (or possibly its exclusive licensee) with a right to exclude others from making, using, offering to sell, or selling that which is claimed in the patent, for a specified period of time (the “term” of the patent), in the jurisdiction in which the patent is issued. In the United States, a patent has a presumptive term of 20 years from its patent term filing date (which is the filing date of the patent, or if the patent claims the benefit of the filing date of another non-provisional application, the filing date of the earliest non-provisional application whose filing date the patent claims the benefit of) depending upon timely payments of maintenance fees. Many other jurisdictions provide a similar presumptive 20-year patent term. Many jurisdictions, including the United States, require the payment of periodic maintenance fees in order for patents to remain in force for the full 20-year term. The United States also has provisions that require the term of a patent to be shortened if its claims are too similar to another patent that is owned by the same party and/or shares a common inventor therewith that has a shorter term, and also permits patentees to disclaim term. The United States and certain other jurisdictions also have provisions that permit extension of patent term for patents that cover a product that is subject to regulatory approval, such as drugs and certain medical devices, approved uses thereof, or methods of manufacturing them, under certain circumstances. In the United States, such extension is called a Patent Term Extension (“PTE”), and it is limited to a period of not more than five years, and the total patent term including the PTE cannot exceed 14 years after the date of regulatory approval; only one patent can be extended per product approval. There are analogous rules for extending patents in certain other jurisdictions, such as EU Member States, Japan, South Korea, and Canada. The United States also offers a different form of patent term extension, known as Patent Term Adjustment (“PTA”), whereby a particular patent’s term is extended beyond the 20-year date if the United States Patent and Trademark Office (“USPTO”), caused delay during its examination; however, potentially available PTA is reduced by any amount of any delay caused by the patent applicant.</w:t>
      </w:r>
    </w:p>
    <w:p>
      <w:pPr>
        <w:spacing w:after="0" w:line="15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Below, we provide a summary of our current patent portfolio as of March 23, 2026, as it relates to different aspects of our Helicon discovery platform and product candidates. Patent prosecution is a lengthy process, during which the scope of the claims initially submitted for examination by the USPTO and its foreign equivalents can be significantly narrowed or otherwise altered by the time they issue, if they issue at all. We expect this could be the case with respect to some or all of our pending patent applications referred to below. Particularly given our clinical stage of development, we cannot be certain that any of the patent filings in our portfolio will provide meaningful protection for any product we ultimately attempt to commercialize.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1" w:name="page152"/>
    <w:bookmarkEnd w:id="15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Helicon Discovery Platform</w:t>
      </w:r>
    </w:p>
    <w:p>
      <w:pPr>
        <w:spacing w:after="0" w:line="93"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Our patent portfolio includes patent filings directed to various features of our Helicon discovery platform, some of which are utilized in our development programs. For example, certain patent families in-licensed from the President and Fellow of Harvard College (“Harvard”) describe various amino acids and stapling technologies that can be useful for certain Helicons, Helicons comprising such amino acids and stapling technologies, and methods for manufacturing such Helicons. These families include issued patents and/or pending applications in multiple jurisdictions including major market jurisdictions such as the United States, Europe and/or Japan, and their presumptive 20-year terms extend to 2028-2034.</w:t>
      </w:r>
    </w:p>
    <w:p>
      <w:pPr>
        <w:spacing w:after="0" w:line="143" w:lineRule="exact"/>
        <w:rPr>
          <w:sz w:val="20"/>
          <w:szCs w:val="20"/>
          <w:color w:val="auto"/>
        </w:rPr>
      </w:pPr>
    </w:p>
    <w:p>
      <w:pPr>
        <w:ind w:left="720" w:right="979" w:firstLine="343"/>
        <w:spacing w:after="0" w:line="283" w:lineRule="auto"/>
        <w:rPr>
          <w:sz w:val="20"/>
          <w:szCs w:val="20"/>
          <w:color w:val="auto"/>
        </w:rPr>
      </w:pPr>
      <w:r>
        <w:rPr>
          <w:rFonts w:ascii="Times New Roman" w:cs="Times New Roman" w:eastAsia="Times New Roman" w:hAnsi="Times New Roman"/>
          <w:sz w:val="14"/>
          <w:szCs w:val="14"/>
          <w:color w:val="auto"/>
        </w:rPr>
        <w:t>We own certain patent filings that describe certain amino acids, staples or patterns thereof, the presumptive 20-year terms of which range from 2038 to at least 2041.</w:t>
      </w:r>
    </w:p>
    <w:p>
      <w:pPr>
        <w:spacing w:after="0" w:line="125"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Certain patent families in our portfolio describe technologies useful for identifying Helicons that can bind various targets, and Helicons identified thereby. Some of these families offer presumptive 20-year terms that extend to at least 2039.</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Helicon Product Candidates</w:t>
      </w:r>
    </w:p>
    <w:p>
      <w:pPr>
        <w:spacing w:after="0" w:line="93"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As of March 23, 2026, our most advanced product candidate is zolucatetide. Our patent portfolio includes patent families that are owned by us and may protect the composition of matter of zolucatetide. The presumptive 20-year term of such patent families extends to at least 2042. Certain patent families owned by us may provide protection of certain formulations and/or uses of zolucatetide; their presumptive 20-year expiration dates range from 2042 to at least 2044. Together, these patent families include pending patent applications in the United States and various other jurisdictions such as Brazil, Canada, China, Eurasia, Europe, Israel, India, Japan, South Korea, Mexico, and Singapore. No patents have issued from these patent families yet.</w:t>
      </w:r>
    </w:p>
    <w:p>
      <w:pPr>
        <w:spacing w:after="0" w:line="143" w:lineRule="exact"/>
        <w:rPr>
          <w:sz w:val="20"/>
          <w:szCs w:val="20"/>
          <w:color w:val="auto"/>
        </w:rPr>
      </w:pPr>
    </w:p>
    <w:p>
      <w:pPr>
        <w:jc w:val="both"/>
        <w:ind w:left="720" w:right="1159" w:firstLine="343"/>
        <w:spacing w:after="0" w:line="267" w:lineRule="auto"/>
        <w:rPr>
          <w:sz w:val="20"/>
          <w:szCs w:val="20"/>
          <w:color w:val="auto"/>
        </w:rPr>
      </w:pPr>
      <w:r>
        <w:rPr>
          <w:rFonts w:ascii="Times New Roman" w:cs="Times New Roman" w:eastAsia="Times New Roman" w:hAnsi="Times New Roman"/>
          <w:sz w:val="14"/>
          <w:szCs w:val="14"/>
          <w:color w:val="auto"/>
        </w:rPr>
        <w:t>We maintain a thoughtful program for developing and protecting additional intellectual property including platform and program technologies. We also intend to prepare and submit patent filings specifically directed to protecting individual product candidates and their uses as our programs progress.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License and Collaboration Agreements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President and Fellows of Harvard College</w:t>
      </w:r>
    </w:p>
    <w:p>
      <w:pPr>
        <w:spacing w:after="0" w:line="9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On August 30, 2017, we entered into a License Agreement with President and Fellows of Harvard College, as amended on January 12, 2018, June 20, 2019 and July 16, 2020 (as amended, the “Harvard License”), pursuant to which we received an exclusive, royalty-bearing license under certain Harvard intellectual property to develop and commercialize products incorporating certain polypeptide technologies (the “Licensed Product”) solely in the field of prevention and treatment of disease in humans, worldwide. Harvard retains the right to use the licensed intellectual property for research, educational, and scholarly purposes (excluding clinical trials). The Licensed Products are further categorized as Type I Licensed Products and Type II Licensed Products based on whether such Licensed Product is covered by a valid claim licensed from Harvard. We believe that zolucatetide is a Type I Licensed Product because pending or issued claims in the licensed families cover zolucatetide. Because our earlier-stage pipeline is still under development it is not yet clear that any licensed families would cover those products. We own any improvements that we create to technology that we licensed under the Harvard License.</w:t>
      </w:r>
    </w:p>
    <w:p>
      <w:pPr>
        <w:spacing w:after="0" w:line="146"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As partial consideration for the rights granted to us under the Harvard License, we entered into a stock subscription agreement with Harvard pursuant to which we issued shares of our common stock to Harvard. As additional consideration for the license, we are required to pay Harvard: (i) annual license maintenance fees in the low six-figures; (ii) up to an aggregate of $18.3 million in development, regulatory and sales milestone payments for each Licensed Product; (iii) royalties with a rate based on aggregate net sales per calendar year of each of Type I Licensed Products and Type II Licensed Products, ranging in the low single digits based on the type of Licensed Product; and (iv) a percentage of non-royalty income received under sublicenses or strategic partnerships with third parties based on what stage of development the first Licensed Product at the time we enter into such agreement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before or after enrollment of first patient in a Phase 2 clinical study of a Licensed Product), ranging in the low to mid-teens. The royalties due for Type I Licensed Products are subject to a potential reduction related to certain third party license fees. The royalty term for Type I Licensed Products will expire on a Licensed Product-by-Licensed Product and country-by-country basis upon the expiration or termination of the last valid claim within the Harvard licensed patents covering or claiming the composition, manufacture, sale or use of such Licensed Product in such country. The royalty term for Type II Licensed Products will expire on a Licensed Product-by-Licensed Product and country-by-country basis on the 12 year anniversary of the first commercial sale of such Licensed Product in such country.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2" w:name="page153"/>
    <w:bookmarkEnd w:id="15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Under the Harvard License, we have certain diligence obligations to perform certain development and commercialization activities in accordance with a development plan and timelines therein (“Development Milestones”). We may request extensions to the timelines for achieving Development Milestones subject to Harvard’s approval and an amendment to the development plan. Harvard may terminate for our failure to negotiate Development Milestones or failure to achieve a Development Milestone, subject to a cure period.</w:t>
      </w:r>
    </w:p>
    <w:p>
      <w:pPr>
        <w:spacing w:after="0" w:line="144" w:lineRule="exact"/>
        <w:rPr>
          <w:sz w:val="20"/>
          <w:szCs w:val="20"/>
          <w:color w:val="auto"/>
        </w:rPr>
      </w:pPr>
    </w:p>
    <w:p>
      <w:pPr>
        <w:jc w:val="both"/>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We may terminate the Harvard License for convenience upon prior written notice, and Harvard may terminate for our failure to negotiate Development Milestones or failure to achieve a Development Milestone, subject to a cure period, as described above. Either party may terminate for uncured material breach or insolvency.</w:t>
      </w:r>
    </w:p>
    <w:p>
      <w:pPr>
        <w:spacing w:after="0" w:line="136"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Upon termination of the Harvard License for any reason, all licenses granted by Harvard will terminate and revert to Harvard and we will retain the right to sell off existing inventory and complete work-in-progress, subject to ongoing insurance, royalty and reporting obligations. Following termination, we may not have all of the rights necessary to continue our research and development and commercialization efforts for zolucatetide or any other product candidates covered by the license. Any sublicensees who obtained sublicenses from us will have a right to obtain a direct license with Harvard.</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License and Collaboration Agreement with Regeneron Pharmaceuticals, Inc.</w:t>
      </w:r>
    </w:p>
    <w:p>
      <w:pPr>
        <w:spacing w:after="0" w:line="177" w:lineRule="exact"/>
        <w:rPr>
          <w:sz w:val="20"/>
          <w:szCs w:val="20"/>
          <w:color w:val="auto"/>
        </w:rPr>
      </w:pPr>
    </w:p>
    <w:p>
      <w:pPr>
        <w:ind w:left="720" w:right="839" w:firstLine="505"/>
        <w:spacing w:after="0" w:line="267" w:lineRule="auto"/>
        <w:rPr>
          <w:sz w:val="20"/>
          <w:szCs w:val="20"/>
          <w:color w:val="auto"/>
        </w:rPr>
      </w:pPr>
      <w:r>
        <w:rPr>
          <w:rFonts w:ascii="Times New Roman" w:cs="Times New Roman" w:eastAsia="Times New Roman" w:hAnsi="Times New Roman"/>
          <w:sz w:val="14"/>
          <w:szCs w:val="14"/>
          <w:color w:val="auto"/>
        </w:rPr>
        <w:t>On May 15, 2026, we entered into a License and Collaboration Agreement (the “Regeneron Agreement”) with Regeneron Pharmaceuticals, Inc. (“Regeneron”) to discover, develop, and commercialize Helicons, with a particular focus on Antibody-Helicon Conjugates (“AHCs”), directed to a set of specified targets (each, a “Collaboration Target”).</w:t>
      </w:r>
    </w:p>
    <w:p>
      <w:pPr>
        <w:spacing w:after="0" w:line="136" w:lineRule="exact"/>
        <w:rPr>
          <w:sz w:val="20"/>
          <w:szCs w:val="20"/>
          <w:color w:val="auto"/>
        </w:rPr>
      </w:pPr>
    </w:p>
    <w:p>
      <w:pPr>
        <w:ind w:left="720" w:right="759" w:firstLine="505"/>
        <w:spacing w:after="0" w:line="256" w:lineRule="auto"/>
        <w:rPr>
          <w:sz w:val="20"/>
          <w:szCs w:val="20"/>
          <w:color w:val="auto"/>
        </w:rPr>
      </w:pPr>
      <w:r>
        <w:rPr>
          <w:rFonts w:ascii="Times New Roman" w:cs="Times New Roman" w:eastAsia="Times New Roman" w:hAnsi="Times New Roman"/>
          <w:sz w:val="14"/>
          <w:szCs w:val="14"/>
          <w:color w:val="auto"/>
        </w:rPr>
        <w:t>Under the terms of the Regeneron Agreement and during the research term for each Collaboration Target, we will collaborate with Regeneron to perform certain research and preclinical development activities, including screening, generating, testing and evaluating new Helicons and AHCs directed to such Collaboration Target (each, a “Product”). Under the Regeneron Agreement, there are five initial Collaboration Targets, with Regeneron having the right to replace up to two targets and the option to nominate up to five additional Collaboration Targets, subject to an additional option payment from Regeneron. For one initial Collaboration Target, Regeneron may add one or more additional programs with respect to such Collaboration Target, subject to payment of additional program fees.</w:t>
      </w:r>
    </w:p>
    <w:p>
      <w:pPr>
        <w:spacing w:after="0" w:line="144" w:lineRule="exact"/>
        <w:rPr>
          <w:sz w:val="20"/>
          <w:szCs w:val="20"/>
          <w:color w:val="auto"/>
        </w:rPr>
      </w:pPr>
    </w:p>
    <w:p>
      <w:pPr>
        <w:ind w:left="720" w:right="1039" w:firstLine="505"/>
        <w:spacing w:after="0" w:line="261" w:lineRule="auto"/>
        <w:rPr>
          <w:sz w:val="20"/>
          <w:szCs w:val="20"/>
          <w:color w:val="auto"/>
        </w:rPr>
      </w:pPr>
      <w:r>
        <w:rPr>
          <w:rFonts w:ascii="Times New Roman" w:cs="Times New Roman" w:eastAsia="Times New Roman" w:hAnsi="Times New Roman"/>
          <w:sz w:val="14"/>
          <w:szCs w:val="14"/>
          <w:color w:val="auto"/>
        </w:rPr>
        <w:t>Following Regeneron's nomination of a Product to be a “Licensed Product” during the research term for the applicable Collaboration Target (including additional Collaboration Targets), Regeneron has the sole right to advance through development, manufacturing and worldwide commercialization of Licensed Products, including clinical and regulatory strategy, pricing, and promotion.</w:t>
      </w:r>
    </w:p>
    <w:p>
      <w:pPr>
        <w:spacing w:after="0" w:line="141" w:lineRule="exact"/>
        <w:rPr>
          <w:sz w:val="20"/>
          <w:szCs w:val="20"/>
          <w:color w:val="auto"/>
        </w:rPr>
      </w:pPr>
    </w:p>
    <w:p>
      <w:pPr>
        <w:ind w:left="720" w:right="759" w:firstLine="505"/>
        <w:spacing w:after="0" w:line="254" w:lineRule="auto"/>
        <w:rPr>
          <w:sz w:val="20"/>
          <w:szCs w:val="20"/>
          <w:color w:val="auto"/>
        </w:rPr>
      </w:pPr>
      <w:r>
        <w:rPr>
          <w:rFonts w:ascii="Times New Roman" w:cs="Times New Roman" w:eastAsia="Times New Roman" w:hAnsi="Times New Roman"/>
          <w:sz w:val="14"/>
          <w:szCs w:val="14"/>
          <w:color w:val="auto"/>
        </w:rPr>
        <w:t>Under the terms of the Regeneron Agreement, Regeneron has agreed to make a $50.0 million upfront payment and invest $75.0 million in our next equity financing, subject to certain conditions, which investment is expected to be the concurrent private placement described in this prospectus. For the initial Collaboration Targets, we are eligible to receive: (i) up to $470.0 million in development milestone payments; (ii) up to $575.0 million in regulatory milestone payments; (iii) up to $1.15 billion in commercial milestone payments; and (iv) tiered royalty payments, ranging in the high single digits to low double digits during the period commencing upon the first commercial sale of such Licensed Product in a given country and expiring on the latest of: (a) expiration of the last valid claim of a royalty term-extending patent right of such Licensed Product in such country, (b) 12 years after the first commercial sale of such Licensed Product in such country, and (c) loss of regulatory exclusivity for such Licensed Product in such country, subject to customary reductions.</w:t>
      </w:r>
    </w:p>
    <w:p>
      <w:pPr>
        <w:spacing w:after="0" w:line="149" w:lineRule="exact"/>
        <w:rPr>
          <w:sz w:val="20"/>
          <w:szCs w:val="20"/>
          <w:color w:val="auto"/>
        </w:rPr>
      </w:pPr>
    </w:p>
    <w:p>
      <w:pPr>
        <w:ind w:left="720" w:right="819" w:firstLine="505"/>
        <w:spacing w:after="0" w:line="258" w:lineRule="auto"/>
        <w:rPr>
          <w:sz w:val="20"/>
          <w:szCs w:val="20"/>
          <w:color w:val="auto"/>
        </w:rPr>
      </w:pPr>
      <w:r>
        <w:rPr>
          <w:rFonts w:ascii="Times New Roman" w:cs="Times New Roman" w:eastAsia="Times New Roman" w:hAnsi="Times New Roman"/>
          <w:sz w:val="14"/>
          <w:szCs w:val="14"/>
          <w:color w:val="auto"/>
        </w:rPr>
        <w:t>Under the terms of the Regeneron Agreement, we are subject to an exclusivity obligation for each Collaboration Target until the last to expire royalty term for Licensed Products directed to such Collaboration Target, which restrict us from, directly or indirectly, licensing, developing, manufacturing, commercializing, or otherwise exploiting any competing product directed to such Collaboration Target outside of activities conducted under the Regeneron Agreement, subject to customary exceptions for our acquisition of a competing product and change of control.</w:t>
      </w:r>
    </w:p>
    <w:p>
      <w:pPr>
        <w:spacing w:after="0" w:line="144" w:lineRule="exact"/>
        <w:rPr>
          <w:sz w:val="20"/>
          <w:szCs w:val="20"/>
          <w:color w:val="auto"/>
        </w:rPr>
      </w:pPr>
    </w:p>
    <w:p>
      <w:pPr>
        <w:ind w:left="720" w:right="799" w:firstLine="505"/>
        <w:spacing w:after="0" w:line="257" w:lineRule="auto"/>
        <w:rPr>
          <w:sz w:val="20"/>
          <w:szCs w:val="20"/>
          <w:color w:val="auto"/>
        </w:rPr>
      </w:pPr>
      <w:r>
        <w:rPr>
          <w:rFonts w:ascii="Times New Roman" w:cs="Times New Roman" w:eastAsia="Times New Roman" w:hAnsi="Times New Roman"/>
          <w:sz w:val="14"/>
          <w:szCs w:val="14"/>
          <w:color w:val="auto"/>
        </w:rPr>
        <w:t>Unless earlier terminated pursuant to its terms, the Regeneron Agreement will remain in effect until the expiration of the last royalty term for the last Licensed Product under the Regeneron Agreement. Regeneron has the right to terminate the Regeneron Agreement for convenience and for certain violations of our exclusivity covenants. Each party may terminate the Regeneron Agreement for material breach, subject to a cure period. We may terminate the Regeneron Agreement for certain patent challenges by Regeneron or any of its affiliates on our patent rights and failure to withdraw such challenge within a certain time period, subject to certain exceptions.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3" w:name="page154"/>
    <w:bookmarkEnd w:id="15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819" w:firstLine="505"/>
        <w:spacing w:after="0" w:line="261" w:lineRule="auto"/>
        <w:rPr>
          <w:sz w:val="20"/>
          <w:szCs w:val="20"/>
          <w:color w:val="auto"/>
        </w:rPr>
      </w:pPr>
      <w:r>
        <w:rPr>
          <w:rFonts w:ascii="Times New Roman" w:cs="Times New Roman" w:eastAsia="Times New Roman" w:hAnsi="Times New Roman"/>
          <w:sz w:val="14"/>
          <w:szCs w:val="14"/>
          <w:color w:val="auto"/>
        </w:rPr>
        <w:t>Upon termination of the Regeneron Agreement for any reason, all licenses granted to Regeneron will terminate and revert to us. Any sublicensees who obtained sublicenses from Regeneron will have a right to obtain a direct license from us, provided such sublicensee was in compliance with the applicable sublicense agreement and such sublicense agreement was entered in accordance with the Regeneron Agreement.</w:t>
      </w:r>
    </w:p>
    <w:p>
      <w:pPr>
        <w:spacing w:after="0" w:line="141" w:lineRule="exact"/>
        <w:rPr>
          <w:sz w:val="20"/>
          <w:szCs w:val="20"/>
          <w:color w:val="auto"/>
        </w:rPr>
      </w:pPr>
    </w:p>
    <w:p>
      <w:pPr>
        <w:ind w:left="720" w:right="1259" w:firstLine="505"/>
        <w:spacing w:after="0" w:line="283" w:lineRule="auto"/>
        <w:rPr>
          <w:sz w:val="20"/>
          <w:szCs w:val="20"/>
          <w:color w:val="auto"/>
        </w:rPr>
      </w:pPr>
      <w:r>
        <w:rPr>
          <w:rFonts w:ascii="Times New Roman" w:cs="Times New Roman" w:eastAsia="Times New Roman" w:hAnsi="Times New Roman"/>
          <w:sz w:val="14"/>
          <w:szCs w:val="14"/>
          <w:color w:val="auto"/>
        </w:rPr>
        <w:t>The Regeneron Agreement includes various representations, warranties, covenants, dispute escalation and resolution mechanisms, indemnities and other provisions customary for transactions of this nature.</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3"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and jurisdictions, including the European Union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United States</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government contracts, restitution, disgorgement of profits, or civil or criminal investigations and penalties brought by the FDA and the U.S. Department of Justice or other governmental entities. In addition, an applicant may need to recall a product.</w:t>
      </w:r>
    </w:p>
    <w:p>
      <w:pPr>
        <w:spacing w:after="0" w:line="144" w:lineRule="exact"/>
        <w:rPr>
          <w:sz w:val="20"/>
          <w:szCs w:val="20"/>
          <w:color w:val="auto"/>
        </w:rPr>
      </w:pPr>
    </w:p>
    <w:p>
      <w:pPr>
        <w:ind w:left="720" w:right="999" w:firstLine="343"/>
        <w:spacing w:after="0" w:line="283" w:lineRule="auto"/>
        <w:rPr>
          <w:sz w:val="20"/>
          <w:szCs w:val="20"/>
          <w:color w:val="auto"/>
        </w:rPr>
      </w:pPr>
      <w:r>
        <w:rPr>
          <w:rFonts w:ascii="Times New Roman" w:cs="Times New Roman" w:eastAsia="Times New Roman" w:hAnsi="Times New Roman"/>
          <w:sz w:val="14"/>
          <w:szCs w:val="14"/>
          <w:color w:val="auto"/>
        </w:rPr>
        <w:t>An applicant seeking approval to market and distribute a new drug product in the United States must typically undertake the following:</w:t>
      </w:r>
    </w:p>
    <w:p>
      <w:pPr>
        <w:spacing w:after="0" w:line="41" w:lineRule="exact"/>
        <w:rPr>
          <w:sz w:val="20"/>
          <w:szCs w:val="20"/>
          <w:color w:val="auto"/>
        </w:rPr>
      </w:pPr>
    </w:p>
    <w:p>
      <w:pPr>
        <w:ind w:left="1480" w:right="799" w:hanging="246"/>
        <w:spacing w:after="0" w:line="283"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nonclinical, or preclinical, laboratory tests, animal studies and formulation studies in compliance with the FDA’s good laboratory practice (“GLP”) regulations;</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application (“IND”) which must take effect before human clinical trials may begin;</w:t>
      </w:r>
    </w:p>
    <w:p>
      <w:pPr>
        <w:spacing w:after="0" w:line="40" w:lineRule="exact"/>
        <w:rPr>
          <w:rFonts w:ascii="Times New Roman" w:cs="Times New Roman" w:eastAsia="Times New Roman" w:hAnsi="Times New Roman"/>
          <w:sz w:val="14"/>
          <w:szCs w:val="14"/>
          <w:color w:val="auto"/>
        </w:rPr>
      </w:pPr>
    </w:p>
    <w:p>
      <w:pPr>
        <w:ind w:left="1480" w:right="1199" w:hanging="246"/>
        <w:spacing w:after="0" w:line="283"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institutional review board (“IRB”) representing each clinical site before each clinical trial may be initiated at that site;</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practices (“GCPs”) to establish the safety and efficacy of the proposed drug product for each indication;</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and submission to the FDA of a New Drug Application (“NDA”) and payment of user fees;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the product by an FDA advisory committee, where appropriate or if applicable;</w:t>
      </w:r>
    </w:p>
    <w:p>
      <w:pPr>
        <w:spacing w:after="0" w:line="91" w:lineRule="exact"/>
        <w:rPr>
          <w:rFonts w:ascii="Times New Roman" w:cs="Times New Roman" w:eastAsia="Times New Roman" w:hAnsi="Times New Roman"/>
          <w:sz w:val="14"/>
          <w:szCs w:val="14"/>
          <w:color w:val="auto"/>
        </w:rPr>
      </w:pPr>
    </w:p>
    <w:p>
      <w:pPr>
        <w:ind w:left="1480" w:right="839" w:hanging="246"/>
        <w:spacing w:after="0" w:line="261"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p>
    <w:p>
      <w:pPr>
        <w:spacing w:after="0" w:line="56" w:lineRule="exact"/>
        <w:rPr>
          <w:rFonts w:ascii="Times New Roman" w:cs="Times New Roman" w:eastAsia="Times New Roman" w:hAnsi="Times New Roman"/>
          <w:sz w:val="14"/>
          <w:szCs w:val="14"/>
          <w:color w:val="auto"/>
        </w:rPr>
      </w:pPr>
    </w:p>
    <w:p>
      <w:pPr>
        <w:ind w:left="1480" w:right="1079" w:hanging="246"/>
        <w:spacing w:after="0" w:line="283" w:lineRule="auto"/>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GCPs and the integrity of the clinical data;</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post-approval requirements, any post-approval studies required by the FDA.</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9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Before an applicant begins testing a compound in humans, the drug candidate enters the preclinical testing stage. Preclinical studies include laboratory evaluation of the purity and stability of the manufactured drug substance or active pharmaceutical ingredient (“API”) and the formulated drug or drug product, as well as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animal studies to assess the safety and activity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4" w:name="page155"/>
    <w:bookmarkEnd w:id="15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979"/>
        <w:spacing w:after="0" w:line="267" w:lineRule="auto"/>
        <w:rPr>
          <w:sz w:val="20"/>
          <w:szCs w:val="20"/>
          <w:color w:val="auto"/>
        </w:rPr>
      </w:pPr>
      <w:r>
        <w:rPr>
          <w:rFonts w:ascii="Times New Roman" w:cs="Times New Roman" w:eastAsia="Times New Roman" w:hAnsi="Times New Roman"/>
          <w:sz w:val="14"/>
          <w:szCs w:val="14"/>
          <w:color w:val="auto"/>
        </w:rPr>
        <w:t>the drug for initial testing in humans and to establish a rationale for therapeutic use. The conduct of preclinical studies is subject to federal regulations and requirements, including GLP regulations. Some long-term preclinical testing, such as animal tests of reproductive adverse effects and carcinogenicity, may continue after the IND is submitted.</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The IND and IRB Processes</w:t>
      </w:r>
    </w:p>
    <w:p>
      <w:pPr>
        <w:spacing w:after="0" w:line="93"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An IND is an exemption from the FDCA that allows an unapproved drug to be shipped in interstate commerce for use in an investigational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46"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spacing w:after="0" w:line="14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3"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The FDA or the sponsor may suspend or terminate a clinical trial at any time on various grounds, including a finding that the research subjects are being exposed to an unacceptable health risk. Other reasons for suspension or termination may be made by us based on evolving business objectives and/or competitive climate.</w:t>
      </w:r>
    </w:p>
    <w:p>
      <w:pPr>
        <w:spacing w:after="0" w:line="143"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Information about certain clinical trials must be submitted within specific timeframes to the National Institutes of Health (“NIH”) for public dissemination on its ClinicalTrials.gov website. Sponsors also must disclose certain results of these clinical trials, although disclosure of results may be delayed until after the new product or new indication has been approved by the FDA.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5" w:name="page156"/>
    <w:bookmarkEnd w:id="15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Human Clinical Trials in Support of an NDA</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which may overlap or be combined:</w:t>
      </w:r>
    </w:p>
    <w:p>
      <w:pPr>
        <w:spacing w:after="0" w:line="89" w:lineRule="exact"/>
        <w:rPr>
          <w:sz w:val="20"/>
          <w:szCs w:val="20"/>
          <w:color w:val="auto"/>
        </w:rPr>
      </w:pPr>
    </w:p>
    <w:p>
      <w:pPr>
        <w:ind w:left="1480" w:right="919" w:hanging="246"/>
        <w:spacing w:after="0" w:line="268" w:lineRule="auto"/>
        <w:tabs>
          <w:tab w:leader="none" w:pos="1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1</w:t>
      </w:r>
      <w:r>
        <w:rPr>
          <w:rFonts w:ascii="Times New Roman" w:cs="Times New Roman" w:eastAsia="Times New Roman" w:hAnsi="Times New Roman"/>
          <w:sz w:val="14"/>
          <w:szCs w:val="14"/>
          <w:color w:val="auto"/>
        </w:rPr>
        <w:t>. The drug is initially introduced into healthy human subjects or, in certain indications such as cancer, patients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target disease or condition and tested for safety, dosage tolerance, absorption, metabolism, distribution, excretion and, if possible, to gain an early indication of its effectiveness and to determine maximal dosage.</w:t>
      </w:r>
    </w:p>
    <w:p>
      <w:pPr>
        <w:spacing w:after="0" w:line="49" w:lineRule="exact"/>
        <w:rPr>
          <w:rFonts w:ascii="Times New Roman" w:cs="Times New Roman" w:eastAsia="Times New Roman" w:hAnsi="Times New Roman"/>
          <w:sz w:val="14"/>
          <w:szCs w:val="14"/>
          <w:color w:val="auto"/>
        </w:rPr>
      </w:pPr>
    </w:p>
    <w:p>
      <w:pPr>
        <w:ind w:left="1480" w:right="759" w:hanging="246"/>
        <w:spacing w:after="0" w:line="268" w:lineRule="auto"/>
        <w:tabs>
          <w:tab w:leader="none" w:pos="1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 The drug is administered to a limited patient population to identify possible Adverse Effects (“AEs”) and safety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risks, to preliminarily evaluate the efficacy of the product for specific targeted diseases and to determine dosage tolerance and optimal dosage.</w:t>
      </w:r>
    </w:p>
    <w:p>
      <w:pPr>
        <w:spacing w:after="0" w:line="49" w:lineRule="exact"/>
        <w:rPr>
          <w:rFonts w:ascii="Times New Roman" w:cs="Times New Roman" w:eastAsia="Times New Roman" w:hAnsi="Times New Roman"/>
          <w:sz w:val="14"/>
          <w:szCs w:val="14"/>
          <w:color w:val="auto"/>
        </w:rPr>
      </w:pPr>
    </w:p>
    <w:p>
      <w:pPr>
        <w:ind w:left="1480" w:right="819" w:hanging="246"/>
        <w:spacing w:after="0" w:line="262" w:lineRule="auto"/>
        <w:tabs>
          <w:tab w:leader="none" w:pos="1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3</w:t>
      </w:r>
      <w:r>
        <w:rPr>
          <w:rFonts w:ascii="Times New Roman" w:cs="Times New Roman" w:eastAsia="Times New Roman" w:hAnsi="Times New Roman"/>
          <w:sz w:val="14"/>
          <w:szCs w:val="14"/>
          <w:color w:val="auto"/>
        </w:rPr>
        <w:t>. The drug is administered to an expanded patient population, generally at geographically dispersed clinical trial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sites, in well-controlled clinical trials to generate enough data to evaluate the efficacy and safety of the product for approval, to establish the overall risk-benefit profile of the product and to provide adequate information for the labeling of the product.</w:t>
      </w:r>
    </w:p>
    <w:p>
      <w:pPr>
        <w:spacing w:after="0" w:line="140"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Post-approval studies, often referred to as Phase 4 studies, may be conducted after initial regulatory approval. These studies are used to gain additional experience from the treatment of patients in the intended therapeutic indication.</w:t>
      </w:r>
    </w:p>
    <w:p>
      <w:pPr>
        <w:spacing w:after="0" w:line="125"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 xml:space="preserve">Progress reports detailing the results of the clinical trials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45"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Review of an NDA by the FDA</w:t>
      </w:r>
    </w:p>
    <w:p>
      <w:pPr>
        <w:spacing w:after="0" w:line="93" w:lineRule="exact"/>
        <w:rPr>
          <w:sz w:val="20"/>
          <w:szCs w:val="20"/>
          <w:color w:val="auto"/>
        </w:rPr>
      </w:pPr>
    </w:p>
    <w:p>
      <w:pPr>
        <w:ind w:left="720" w:right="979" w:firstLine="343"/>
        <w:spacing w:after="0" w:line="257" w:lineRule="auto"/>
        <w:rPr>
          <w:sz w:val="20"/>
          <w:szCs w:val="20"/>
          <w:color w:val="auto"/>
        </w:rPr>
      </w:pPr>
      <w:r>
        <w:rPr>
          <w:rFonts w:ascii="Times New Roman" w:cs="Times New Roman" w:eastAsia="Times New Roman" w:hAnsi="Times New Roman"/>
          <w:sz w:val="14"/>
          <w:szCs w:val="14"/>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p>
    <w:p>
      <w:pPr>
        <w:spacing w:after="0" w:line="14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Applications for drugs containing new molecular entities have a “goal date” for a decision by the FDA of 10 months from the date of filing, and applications for “priority review” products containing new molecular entities have a goal date of six months from the date of filing. A goal date does not create an enforceable right to a decision by that date, and FDA does not always meet its goal dates. The review process may be extended by the FDA for three additional months to consider new information or clarification provided by the applicant to address an outstanding deficiency identified by the FDA following the original submission.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6" w:name="page157"/>
    <w:bookmarkEnd w:id="15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addition, as a condition of approval, the FDA may require an applicant to develop risk evaluation and mitigations strategies (“REMS”). REMS use risk minimization strategies beyond the professional labeling to ensure that the benefits of the product outweigh the potential risks. To determine whether a REMS program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p>
    <w:p>
      <w:pPr>
        <w:spacing w:after="0" w:line="149"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Orphan Drug Designation and Exclusivity</w:t>
      </w:r>
    </w:p>
    <w:p>
      <w:pPr>
        <w:spacing w:after="0" w:line="93"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product intended to treat a rare disease or condition, which is generally a disease or condition that affects either (i) fewer than 200,000 individuals in the U.S. or (ii) more than 200,000 individuals in the U.S. and for which there is no reasonable expectation that the cost of developing and making the product available in the U.S.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If a product with orphan status receives the first FDA approval for the use or indication for which it has such designation, the product is entitled to orphan product exclusivity. Orphan product exclusivity means that the FDA may not approve any other applications to market the same product for the same approved indication for seven years, except in certain limited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use or indication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Orphan drug designation entitles a party to financial incentives such as opportunities for grant funding towards clinical trial costs, tax advantages, and user-fee waivers.</w:t>
      </w:r>
    </w:p>
    <w:p>
      <w:pPr>
        <w:spacing w:after="0" w:line="146"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Fast Track, Breakthrough Therapy, and Priority Review</w:t>
      </w:r>
    </w:p>
    <w:p>
      <w:pPr>
        <w:spacing w:after="0" w:line="93" w:lineRule="exact"/>
        <w:rPr>
          <w:sz w:val="20"/>
          <w:szCs w:val="20"/>
          <w:color w:val="auto"/>
        </w:rPr>
      </w:pPr>
    </w:p>
    <w:p>
      <w:pPr>
        <w:jc w:val="both"/>
        <w:ind w:left="720" w:right="1219" w:firstLine="343"/>
        <w:spacing w:after="0" w:line="296" w:lineRule="auto"/>
        <w:rPr>
          <w:sz w:val="20"/>
          <w:szCs w:val="20"/>
          <w:color w:val="auto"/>
        </w:rPr>
      </w:pPr>
      <w:r>
        <w:rPr>
          <w:rFonts w:ascii="Times New Roman" w:cs="Times New Roman" w:eastAsia="Times New Roman" w:hAnsi="Times New Roman"/>
          <w:sz w:val="13"/>
          <w:szCs w:val="13"/>
          <w:color w:val="auto"/>
        </w:rPr>
        <w:t>The FDA has a number of programs intended to facilitate and expedite development and review of new drugs if they are intended to address an unmet medical need in the treatment of a serious or life-threatening disease or condition. Three of these programs are referred to as Fast Track Designation, Breakthrough Therapy Designation, and priority review designation.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7" w:name="page158"/>
    <w:bookmarkEnd w:id="15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49"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4"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Third, the FDA may designate an NDA review for a priority review if it is for a product that treats a serious or life-threatening disease or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p>
    <w:p>
      <w:pPr>
        <w:spacing w:after="0" w:line="145" w:lineRule="exact"/>
        <w:rPr>
          <w:sz w:val="20"/>
          <w:szCs w:val="20"/>
          <w:color w:val="auto"/>
        </w:rPr>
      </w:pPr>
    </w:p>
    <w:p>
      <w:pPr>
        <w:jc w:val="both"/>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and priority review do not change the standards for approval and may not ultimately expedite the development or approval process.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Accelerated Approval Pathway</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44"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45"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8" w:name="page159"/>
    <w:bookmarkEnd w:id="15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The FDA’s Decision on an NDA</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On the basis of the FDA’s evaluation of the NDA and accompanying information, including the results of the inspection of the manufacturing facilities and select clinical trial sites, the FDA may issue an approval letter or a complete response letter. An approval letter authorizes commercial marketing of the product with prescribing information for specific indications. A complete response letter generally outlines the deficiencies in the submission and may require substantial additional testing or information in order for the FDA to reconsider the application ,and may cause significant delay and expense.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46"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All of these limits may adversely affect the commercial success of the product.</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93" w:lineRule="exact"/>
        <w:rPr>
          <w:sz w:val="20"/>
          <w:szCs w:val="20"/>
          <w:color w:val="auto"/>
        </w:rPr>
      </w:pPr>
    </w:p>
    <w:p>
      <w:pPr>
        <w:ind w:left="720" w:right="899" w:firstLine="343"/>
        <w:spacing w:after="0" w:line="257"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p>
    <w:p>
      <w:pPr>
        <w:spacing w:after="0" w:line="14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9" w:name="page160"/>
    <w:bookmarkEnd w:id="15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59" w:lineRule="exact"/>
        <w:rPr>
          <w:sz w:val="20"/>
          <w:szCs w:val="20"/>
          <w:color w:val="auto"/>
        </w:rPr>
      </w:pPr>
    </w:p>
    <w:p>
      <w:pPr>
        <w:ind w:left="1480" w:right="939" w:hanging="246"/>
        <w:spacing w:after="0" w:line="283" w:lineRule="auto"/>
        <w:tabs>
          <w:tab w:leader="none" w:pos="1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voluntary product recalls;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or untitled letters or holds on post-approval clinical trials;</w:t>
      </w:r>
    </w:p>
    <w:p>
      <w:pPr>
        <w:spacing w:after="0" w:line="9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revocation of product approvals;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or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5"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44" w:lineRule="exact"/>
        <w:rPr>
          <w:sz w:val="20"/>
          <w:szCs w:val="20"/>
          <w:color w:val="auto"/>
        </w:rPr>
      </w:pPr>
    </w:p>
    <w:p>
      <w:pPr>
        <w:ind w:left="720" w:right="1119" w:firstLine="343"/>
        <w:spacing w:after="0" w:line="261" w:lineRule="auto"/>
        <w:rPr>
          <w:sz w:val="20"/>
          <w:szCs w:val="20"/>
          <w:color w:val="auto"/>
        </w:rPr>
      </w:pPr>
      <w:r>
        <w:rPr>
          <w:rFonts w:ascii="Times New Roman" w:cs="Times New Roman" w:eastAsia="Times New Roman" w:hAnsi="Times New Roman"/>
          <w:sz w:val="14"/>
          <w:szCs w:val="14"/>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Hatch-Waxman Amendments</w:t>
      </w:r>
    </w:p>
    <w:p>
      <w:pPr>
        <w:spacing w:after="0" w:line="93"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Non-Patent Exclusivity</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0" w:name="page161"/>
    <w:bookmarkEnd w:id="16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19" w:firstLine="343"/>
        <w:spacing w:after="0" w:line="256" w:lineRule="auto"/>
        <w:rPr>
          <w:sz w:val="20"/>
          <w:szCs w:val="20"/>
          <w:color w:val="auto"/>
        </w:rPr>
      </w:pPr>
      <w:r>
        <w:rPr>
          <w:rFonts w:ascii="Times New Roman" w:cs="Times New Roman" w:eastAsia="Times New Roman" w:hAnsi="Times New Roman"/>
          <w:sz w:val="14"/>
          <w:szCs w:val="14"/>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p>
    <w:p>
      <w:pPr>
        <w:spacing w:after="0" w:line="144"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Hatch-Waxman Patent Certification and the 30-Month Stay</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60" w:lineRule="exact"/>
        <w:rPr>
          <w:sz w:val="20"/>
          <w:szCs w:val="20"/>
          <w:color w:val="auto"/>
        </w:rPr>
      </w:pPr>
    </w:p>
    <w:p>
      <w:pPr>
        <w:ind w:left="1480" w:hanging="246"/>
        <w:spacing w:after="0"/>
        <w:tabs>
          <w:tab w:leader="none" w:pos="1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patent information on the drug product that is the subject of the application has been submitted to the FDA;</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has expired;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patent expires; or</w:t>
      </w:r>
    </w:p>
    <w:p>
      <w:pPr>
        <w:spacing w:after="0" w:line="9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is invalid, unenforceable or will not be infringed upon by the manufacture, use, or sale of the drug product for which the application is submitted.</w:t>
      </w:r>
    </w:p>
    <w:p>
      <w:pPr>
        <w:spacing w:after="0" w:line="125"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Patent Term Restoration and Extension</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1" w:name="page162"/>
    <w:bookmarkEnd w:id="16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Medicinal Products in the European Union</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Clinical Trial Approval</w:t>
      </w:r>
    </w:p>
    <w:p>
      <w:pPr>
        <w:spacing w:after="0" w:line="93" w:lineRule="exact"/>
        <w:rPr>
          <w:sz w:val="20"/>
          <w:szCs w:val="20"/>
          <w:color w:val="auto"/>
        </w:rPr>
      </w:pPr>
    </w:p>
    <w:p>
      <w:pPr>
        <w:ind w:left="720" w:right="899" w:firstLine="343"/>
        <w:spacing w:after="0" w:line="258" w:lineRule="auto"/>
        <w:rPr>
          <w:sz w:val="20"/>
          <w:szCs w:val="20"/>
          <w:color w:val="auto"/>
        </w:rPr>
      </w:pPr>
      <w:r>
        <w:rPr>
          <w:rFonts w:ascii="Times New Roman" w:cs="Times New Roman" w:eastAsia="Times New Roman" w:hAnsi="Times New Roman"/>
          <w:sz w:val="14"/>
          <w:szCs w:val="14"/>
          <w:color w:val="auto"/>
        </w:rPr>
        <w:t>In the EU, an applicant for authorization of a clinical trial must obtain prior approval from the national competent authority of the EU Member States in which the clinical trial is to be conducted. Furthermore, the applicant may only start a clinical trial at a specific study site after the relevant independent ethics committee has issued a favorable opinion. In April 2014, the Clinical Trials Regulation, (EU) No 536/2014 (the “Clinical Trials Regulation”) was adopted in the EU. The Clinical Trials Regulation is directly applicable in all the EU Member States and repealed the Clinical Trials Directive 2001/20/EC, as of January 31, 2022.</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The Clinical Trials Regulation aims to simplify and streamline the approval of clinical trials in the EU. The main characteristics of the regulation include: a streamlined application procedure via a single entry point, known as the “Clinical Trials Information System”;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an elected Reference Member State, with support of the competent authorities of all EU Member States in which an application for authorization of a clinical trial has been submitted (the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Marketing Authorization</w:t>
      </w:r>
    </w:p>
    <w:p>
      <w:pPr>
        <w:spacing w:after="0" w:line="93"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To obtain a marketing authorization for a product in the EU, an applicant must submit an MAA either under a centralized procedure administered by the European Medicines Agency (“EMA”) or one of the procedures administered by competent authorities in the EU Member States (decentralized procedure or mutual recognition procedure) for obtaining a marketing authorization in multiple EU Member States. A marketing authorization may be granted only to an applicant established in the European Economic Area (“EEA”) (which is comprised of the EU Member States plus Norway, Iceland and Liechtenstein).</w:t>
      </w:r>
    </w:p>
    <w:p>
      <w:pPr>
        <w:spacing w:after="0" w:line="144"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45"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Under the centralized procedure, the Committee for Medicinal Products for Human Use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the maximum timeframe for the evaluation of an MAA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2" w:name="page163"/>
    <w:bookmarkEnd w:id="16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Now that the United Kingdom (which comprises Great Britain and Northern Ireland) (“UK”) has left the EU, Great Britain is no longer covered by centralized marketing authorizations (under the Northern Ireland Protocol, centralized marketing authorizations currently continue to be recognized in Northern Ireland). On January 1, 2024, a new international recognition framework was put in place by the Medicines and Healthcare products Regulatory Agency (“MHRA”), the UK medicines and medical devices regulator, under which the MHRA may have regard to decisions on the approval of marketing authorizations made by the EMA and certain other regulators when determining an application for the grant of a UK or Great Britain marketing authorization. The MHRA also has the power to have regard to marketing authorizations approved in EU Member States through decentralized or mutual recognition procedures with a view to more quickly granting a marketing authorization in the UK or Great Britain. For additional information related to the regulatory framework in the UK, please refer to the discussion below under the section titled “ </w:t>
      </w:r>
      <w:r>
        <w:rPr>
          <w:rFonts w:ascii="Times New Roman" w:cs="Times New Roman" w:eastAsia="Times New Roman" w:hAnsi="Times New Roman"/>
          <w:sz w:val="14"/>
          <w:szCs w:val="14"/>
          <w:i w:val="1"/>
          <w:iCs w:val="1"/>
          <w:color w:val="auto"/>
        </w:rPr>
        <w:t>—Brexit and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Regulatory Framework in the United Kingdom</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The decentralized marketing authorization procedure allows an applicant to apply for simultaneous authorization in more than one EU Member State of medicinal products that have not yet been authorized in any EU Member State and that do not fall within the mandatory scope of the centralized procedure. This application is identical to the application that would be submitted to the EMA for authorization through the centralized procedure. The Reference Member State prepares a draft assessment and drafts of the related materials within 120 days after receipt of a valid application. The resulting assessment report is submitted to the Concerned Member States who, within 90 days of receipt, must decide whether to approve the assessment report and related materials. If a Concerned Member State cannot approve the assessment report and related materials due to concerns relating to a potential serious risk to public health, disputed elements may be referred to the European Commission, whose decision is binding on all Member States.</w:t>
      </w:r>
    </w:p>
    <w:p>
      <w:pPr>
        <w:spacing w:after="0" w:line="145" w:lineRule="exact"/>
        <w:rPr>
          <w:sz w:val="20"/>
          <w:szCs w:val="20"/>
          <w:color w:val="auto"/>
        </w:rPr>
      </w:pPr>
    </w:p>
    <w:p>
      <w:pPr>
        <w:ind w:left="720" w:right="919" w:firstLine="343"/>
        <w:spacing w:after="0" w:line="261" w:lineRule="auto"/>
        <w:rPr>
          <w:sz w:val="20"/>
          <w:szCs w:val="20"/>
          <w:color w:val="auto"/>
        </w:rPr>
      </w:pPr>
      <w:r>
        <w:rPr>
          <w:rFonts w:ascii="Times New Roman" w:cs="Times New Roman" w:eastAsia="Times New Roman" w:hAnsi="Times New Roman"/>
          <w:sz w:val="14"/>
          <w:szCs w:val="14"/>
          <w:color w:val="auto"/>
        </w:rPr>
        <w:t>The mutual recognition procedure is based on the acceptance by the competent authorities of the EU Member States of the marketing authorization of a medicinal product by the competent authorities of another EU Member State.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Pediatric Development</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Regulation (EC) No 1901/2006 provides that prior to obtaining a marketing authorization in the EU, applicants have to demonstrate compliance with all measures included in an EMA-approved Pediatric Investigation Plan (“PIP”) covering all subsets of the pediatric population, unless the EMA has granted (1) a product-specific waiver, (2) a class waiver or (3) a deferral for one or more of the measures included in the PIP. The PIP sets out the timing and measures proposed to generate data to support a pediatric indication of the product for which a marketing authorization is being sought. Products that are granted a marketing authorization with the results of the pediatric clinical trials conducted in accordance with the PIP are eligible for a six-month extension of the protection under a supplementary protection certificate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Data and Market Exclusivity</w:t>
      </w:r>
    </w:p>
    <w:p>
      <w:pPr>
        <w:spacing w:after="0" w:line="9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In the EU, innovative medicinal products approved on the basis of a complete and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(abbreviated) marketing authorization,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 and independent data package of pharmaceutical tests, preclinical tests and clinical trials.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3" w:name="page164"/>
    <w:bookmarkEnd w:id="16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Orphan Designation and Exclusivity</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Regulation (EC) No 141/2000 and Regulation (EC) No. 847/2000 provide that a product can be designated as an orphan medicinal product by the European Commission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following marketing approval of the orphan product. During this market exclusivity period, the EMA, the European Commission or the competent authorities of the EU Member States may only grant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Periods of Authorization and Renewals</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A marketing authorization has an initial validity of five years. The marketing authorization may be renewed after five years on the basis of a re-evaluation of the risk-benefit balance by the EMA or by the competent authority of the relevant EU Member State for a nationally authorized product.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Regulatory Requirements after a Marketing Authorization has been Obtained</w:t>
      </w:r>
    </w:p>
    <w:p>
      <w:pPr>
        <w:spacing w:after="0" w:line="93" w:lineRule="exact"/>
        <w:rPr>
          <w:sz w:val="20"/>
          <w:szCs w:val="20"/>
          <w:color w:val="auto"/>
        </w:rPr>
      </w:pPr>
    </w:p>
    <w:p>
      <w:pPr>
        <w:jc w:val="both"/>
        <w:ind w:left="720" w:right="939" w:firstLine="343"/>
        <w:spacing w:after="0" w:line="267" w:lineRule="auto"/>
        <w:rPr>
          <w:sz w:val="20"/>
          <w:szCs w:val="20"/>
          <w:color w:val="auto"/>
        </w:rPr>
      </w:pPr>
      <w:r>
        <w:rPr>
          <w:rFonts w:ascii="Times New Roman" w:cs="Times New Roman" w:eastAsia="Times New Roman" w:hAnsi="Times New Roman"/>
          <w:sz w:val="14"/>
          <w:szCs w:val="14"/>
          <w:color w:val="auto"/>
        </w:rPr>
        <w:t>Where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1" w:lineRule="exact"/>
        <w:rPr>
          <w:sz w:val="20"/>
          <w:szCs w:val="20"/>
          <w:color w:val="auto"/>
        </w:rPr>
      </w:pPr>
    </w:p>
    <w:p>
      <w:pPr>
        <w:ind w:left="1480" w:right="1159" w:hanging="246"/>
        <w:spacing w:after="0" w:line="283" w:lineRule="auto"/>
        <w:tabs>
          <w:tab w:leader="none" w:pos="1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EU’s stringent pharmacovigilance or safety reporting rules must be ensured. These rules can impose post-authorization studies and additional monitoring obligations.</w:t>
      </w:r>
    </w:p>
    <w:p>
      <w:pPr>
        <w:spacing w:after="0" w:line="40" w:lineRule="exact"/>
        <w:rPr>
          <w:rFonts w:ascii="Times New Roman" w:cs="Times New Roman" w:eastAsia="Times New Roman" w:hAnsi="Times New Roman"/>
          <w:sz w:val="14"/>
          <w:szCs w:val="14"/>
          <w:color w:val="auto"/>
        </w:rPr>
      </w:pPr>
    </w:p>
    <w:p>
      <w:pPr>
        <w:ind w:left="1480" w:right="779" w:hanging="246"/>
        <w:spacing w:after="0" w:line="257" w:lineRule="auto"/>
        <w:tabs>
          <w:tab w:leader="none" w:pos="1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APIs, including the manufacture of APIs outside of the EU with the intention to import the APIs into the EU.</w:t>
      </w:r>
    </w:p>
    <w:p>
      <w:pPr>
        <w:spacing w:after="0" w:line="58" w:lineRule="exact"/>
        <w:rPr>
          <w:rFonts w:ascii="Times New Roman" w:cs="Times New Roman" w:eastAsia="Times New Roman" w:hAnsi="Times New Roman"/>
          <w:sz w:val="14"/>
          <w:szCs w:val="14"/>
          <w:color w:val="auto"/>
        </w:rPr>
      </w:pPr>
    </w:p>
    <w:p>
      <w:pPr>
        <w:ind w:left="1480" w:right="799" w:hanging="246"/>
        <w:spacing w:after="0" w:line="267" w:lineRule="auto"/>
        <w:tabs>
          <w:tab w:leader="none" w:pos="1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marketing and promotion of authorized products, including industry-sponsored continuing medical education and advertising directed toward the prescribers of products and/or the general public, are strictly regulated in the EU notably under Directive 2001/83/EC, as amended, and EU Member State laws.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EEA.</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4" w:name="page165"/>
    <w:bookmarkEnd w:id="16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Reform of the Regulatory Framework in the European Union</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Brexit and the Regulatory Framework in the United Kingdom</w:t>
      </w:r>
    </w:p>
    <w:p>
      <w:pPr>
        <w:spacing w:after="0" w:line="93"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The UK ceased being a Member State of the EU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previous EU legislation on the marketing, promotion and sale of medicinal products through the Human Medicines Regulations 2012 (as amended) (under the Northern Ireland Protocol, the EU regulatory framework continues to apply in Northern Ireland). Except in respect of the EU Clinical Trials Regulation, the regulatory regime in Great Britain therefore aligns in many ways with current EU medicines regulations, however it is possible that these regimes will diverge more significantly in the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which was put in place by the MHRA on January 1, 2024, the MHRA may take into account decisions on the approval of marketing authorizations from the EMA (and certain other regulators) when considering an application for a Great Britain or UK marketing authorization.</w:t>
      </w:r>
    </w:p>
    <w:p>
      <w:pPr>
        <w:spacing w:after="0" w:line="147"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93"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include, but are not limited to:</w:t>
      </w:r>
    </w:p>
    <w:p>
      <w:pPr>
        <w:spacing w:after="0" w:line="51" w:lineRule="exact"/>
        <w:rPr>
          <w:sz w:val="20"/>
          <w:szCs w:val="20"/>
          <w:color w:val="auto"/>
        </w:rPr>
      </w:pPr>
    </w:p>
    <w:p>
      <w:pPr>
        <w:ind w:left="1480" w:right="759" w:hanging="246"/>
        <w:spacing w:after="0" w:line="255" w:lineRule="auto"/>
        <w:tabs>
          <w:tab w:leader="none" w:pos="14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spacing w:after="0" w:line="61" w:lineRule="exact"/>
        <w:rPr>
          <w:rFonts w:ascii="Times New Roman" w:cs="Times New Roman" w:eastAsia="Times New Roman" w:hAnsi="Times New Roman"/>
          <w:sz w:val="14"/>
          <w:szCs w:val="14"/>
          <w:color w:val="auto"/>
        </w:rPr>
      </w:pPr>
    </w:p>
    <w:p>
      <w:pPr>
        <w:ind w:left="1480" w:right="759" w:hanging="246"/>
        <w:spacing w:after="0" w:line="255" w:lineRule="auto"/>
        <w:tabs>
          <w:tab w:leader="none" w:pos="14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5" w:name="page166"/>
    <w:bookmarkEnd w:id="16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819"/>
        <w:spacing w:after="0" w:line="261" w:lineRule="auto"/>
        <w:rPr>
          <w:sz w:val="20"/>
          <w:szCs w:val="20"/>
          <w:color w:val="auto"/>
        </w:rPr>
      </w:pPr>
      <w:r>
        <w:rPr>
          <w:rFonts w:ascii="Times New Roman" w:cs="Times New Roman" w:eastAsia="Times New Roman" w:hAnsi="Times New Roman"/>
          <w:sz w:val="14"/>
          <w:szCs w:val="14"/>
          <w:color w:val="auto"/>
        </w:rPr>
        <w:t>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57" w:lineRule="exact"/>
        <w:rPr>
          <w:sz w:val="20"/>
          <w:szCs w:val="20"/>
          <w:color w:val="auto"/>
        </w:rPr>
      </w:pPr>
    </w:p>
    <w:p>
      <w:pPr>
        <w:ind w:left="1480" w:right="739" w:hanging="246"/>
        <w:spacing w:after="0" w:line="254"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w:t>
      </w:r>
    </w:p>
    <w:p>
      <w:pPr>
        <w:spacing w:after="0" w:line="64" w:lineRule="exact"/>
        <w:rPr>
          <w:rFonts w:ascii="Times New Roman" w:cs="Times New Roman" w:eastAsia="Times New Roman" w:hAnsi="Times New Roman"/>
          <w:sz w:val="14"/>
          <w:szCs w:val="14"/>
          <w:color w:val="auto"/>
        </w:rPr>
      </w:pPr>
    </w:p>
    <w:p>
      <w:pPr>
        <w:ind w:left="1480" w:right="739" w:hanging="246"/>
        <w:spacing w:after="0" w:line="255"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(“HITECH”),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1" w:lineRule="exact"/>
        <w:rPr>
          <w:rFonts w:ascii="Times New Roman" w:cs="Times New Roman" w:eastAsia="Times New Roman" w:hAnsi="Times New Roman"/>
          <w:sz w:val="14"/>
          <w:szCs w:val="14"/>
          <w:color w:val="auto"/>
        </w:rPr>
      </w:pPr>
    </w:p>
    <w:p>
      <w:pPr>
        <w:ind w:left="1480" w:right="859" w:hanging="246"/>
        <w:spacing w:after="0" w:line="257"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58" w:lineRule="exact"/>
        <w:rPr>
          <w:rFonts w:ascii="Times New Roman" w:cs="Times New Roman" w:eastAsia="Times New Roman" w:hAnsi="Times New Roman"/>
          <w:sz w:val="14"/>
          <w:szCs w:val="14"/>
          <w:color w:val="auto"/>
        </w:rPr>
      </w:pPr>
    </w:p>
    <w:p>
      <w:pPr>
        <w:ind w:left="1480" w:right="779" w:hanging="246"/>
        <w:spacing w:after="0" w:line="254"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created under the Patient Protection and Affordable Care Act, as amended by the Health Care and Education Reconciliation Act (collectively, the “ACA”) and its implementing regulations, which requires manufacturers of drugs, devices, biologicals and medical supplies for which payment is available under Medicare, Medicaid or the Children’s Health Insurance Program (with certain exceptions) to report annually to the Department of Health and Human Services (“HHS”) information related to payments or other transfers of value made to physicians (defined to include doctors, dentists, optometrists, podiatrists and chiropractors), certain other licensed healthcare professionals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spacing w:after="0" w:line="64"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price reporting laws, which require us to calculate and report complex pricing metrics in an accurate and timely manner to government programs;</w:t>
      </w:r>
    </w:p>
    <w:p>
      <w:pPr>
        <w:spacing w:after="0" w:line="40" w:lineRule="exact"/>
        <w:rPr>
          <w:rFonts w:ascii="Times New Roman" w:cs="Times New Roman" w:eastAsia="Times New Roman" w:hAnsi="Times New Roman"/>
          <w:sz w:val="14"/>
          <w:szCs w:val="14"/>
          <w:color w:val="auto"/>
        </w:rPr>
      </w:pPr>
    </w:p>
    <w:p>
      <w:pPr>
        <w:ind w:left="1480" w:right="959" w:hanging="246"/>
        <w:spacing w:after="0" w:line="283"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 and</w:t>
      </w:r>
    </w:p>
    <w:p>
      <w:pPr>
        <w:spacing w:after="0" w:line="40" w:lineRule="exact"/>
        <w:rPr>
          <w:rFonts w:ascii="Times New Roman" w:cs="Times New Roman" w:eastAsia="Times New Roman" w:hAnsi="Times New Roman"/>
          <w:sz w:val="14"/>
          <w:szCs w:val="14"/>
          <w:color w:val="auto"/>
        </w:rPr>
      </w:pPr>
    </w:p>
    <w:p>
      <w:pPr>
        <w:ind w:left="1480" w:right="819" w:hanging="246"/>
        <w:spacing w:after="0" w:line="254" w:lineRule="auto"/>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46"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6" w:name="page167"/>
    <w:bookmarkEnd w:id="16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Privacy and Data Security</w:t>
      </w:r>
    </w:p>
    <w:p>
      <w:pPr>
        <w:spacing w:after="0" w:line="93" w:lineRule="exact"/>
        <w:rPr>
          <w:sz w:val="20"/>
          <w:szCs w:val="20"/>
          <w:color w:val="auto"/>
        </w:rPr>
      </w:pPr>
    </w:p>
    <w:p>
      <w:pPr>
        <w:ind w:left="720" w:right="799" w:firstLine="343"/>
        <w:spacing w:after="0" w:line="296" w:lineRule="auto"/>
        <w:rPr>
          <w:sz w:val="20"/>
          <w:szCs w:val="20"/>
          <w:color w:val="auto"/>
        </w:rPr>
      </w:pPr>
      <w:r>
        <w:rPr>
          <w:rFonts w:ascii="Times New Roman" w:cs="Times New Roman" w:eastAsia="Times New Roman" w:hAnsi="Times New Roman"/>
          <w:sz w:val="13"/>
          <w:szCs w:val="13"/>
          <w:color w:val="auto"/>
        </w:rPr>
        <w:t>In the ordinary course of business, we process sensitive data. Accordingly, we are, or may be become, subject to numerous privacy and data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20"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Federal Trade Commission Act). In addition, in the past few years, numerous U.S. states have passed, or are in the process of enacting comprehensive privacy laws, rules, and regulations that impose certain obligations on covered businesses, and similar laws are being considered in several other states, as well as at the federal and state levels. While these states exempt some data processed in the context of clinical trials, these developments may further complicate compliance efforts, and are examples of the increasingly stringent and evolving regulatory frameworks related to personal data processing, as more fully discussed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appearing elsewhere in this prospectus.</w:t>
      </w:r>
    </w:p>
    <w:p>
      <w:pPr>
        <w:spacing w:after="0" w:line="149"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Additionally, to the extent we collect personal data from individuals outside of the United States, through clinical trials or otherwise, we are, or may become, subject to foreign data and data security laws, such as the European Union’s General Data Protection Regulation 2016/679 (“EU GDPR”) and other national data protection legislation in force in relevant EEA Member States, and the EU GDPR as it forms part UK law by virtue of section 3 of the European Union (Withdrawal) Act 2018 (“UK GDPR”). Foreign privacy and data security laws impose significant and complex compliance obligations on entities that are subject to those laws, as more fully discussed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appearing elsewhere in this prospectus.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w:t>
      </w:r>
    </w:p>
    <w:p>
      <w:pPr>
        <w:spacing w:after="0" w:line="59" w:lineRule="exact"/>
        <w:rPr>
          <w:sz w:val="20"/>
          <w:szCs w:val="20"/>
          <w:color w:val="auto"/>
        </w:rPr>
      </w:pPr>
    </w:p>
    <w:p>
      <w:pPr>
        <w:ind w:left="1480" w:hanging="24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75"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 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44"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7" w:name="page168"/>
    <w:bookmarkEnd w:id="16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w:t>
      </w:r>
    </w:p>
    <w:p>
      <w:pPr>
        <w:spacing w:after="0" w:line="150"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 Even if we do receive a favorable coverage determination for approved products by third-party payors, coverage policies and third-party payor reimbursement rates may change at any time.</w:t>
      </w:r>
    </w:p>
    <w:p>
      <w:pPr>
        <w:spacing w:after="0" w:line="144"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the U.S. Centers for Medicare &amp; Medicaid Services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44"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44" w:lineRule="exact"/>
        <w:rPr>
          <w:sz w:val="20"/>
          <w:szCs w:val="20"/>
          <w:color w:val="auto"/>
        </w:rPr>
      </w:pPr>
    </w:p>
    <w:p>
      <w:pPr>
        <w:ind w:left="720" w:right="779" w:firstLine="343"/>
        <w:spacing w:after="0" w:line="252" w:lineRule="auto"/>
        <w:rPr>
          <w:sz w:val="20"/>
          <w:szCs w:val="20"/>
          <w:color w:val="auto"/>
        </w:rPr>
      </w:pPr>
      <w:r>
        <w:rPr>
          <w:rFonts w:ascii="Times New Roman" w:cs="Times New Roman" w:eastAsia="Times New Roman" w:hAnsi="Times New Roman"/>
          <w:sz w:val="14"/>
          <w:szCs w:val="14"/>
          <w:color w:val="auto"/>
        </w:rPr>
        <w:t xml:space="preserve">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Current and Future U.S. Healthcare Reform</w:t>
      </w:r>
    </w:p>
    <w:p>
      <w:pPr>
        <w:spacing w:after="0" w:line="93"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In the U.S., there have been a number of legislative and regulatory changes to the healthcare system that could impact our ability to sell our products profitably.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8" w:name="page169"/>
    <w:bookmarkEnd w:id="16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started taking effect progressively in fiscal year 2023. HHS has announced and negotiated final prices for two rounds of drugs; and HHS has also announced the third round of 15 drugs to be negotiated. The Medicare drug price negotiation program is currently subject to several constitutional challenges. It is unclear how the IRA will be implemented but is likely to have a significant impact on the pharmaceutical industry.</w:t>
      </w:r>
    </w:p>
    <w:p>
      <w:pPr>
        <w:spacing w:after="0" w:line="149"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Additionally, on December 2,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IRA delayed implementation of this rule to January 1, 2032.</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Other legislative and regulatory changes have been proposed and adopted in the United States since the ACA was enacted:</w:t>
      </w:r>
    </w:p>
    <w:p>
      <w:pPr>
        <w:spacing w:after="0" w:line="91" w:lineRule="exact"/>
        <w:rPr>
          <w:sz w:val="20"/>
          <w:szCs w:val="20"/>
          <w:color w:val="auto"/>
        </w:rPr>
      </w:pPr>
    </w:p>
    <w:p>
      <w:pPr>
        <w:ind w:left="1480" w:right="839" w:hanging="246"/>
        <w:spacing w:after="0" w:line="267" w:lineRule="auto"/>
        <w:tabs>
          <w:tab w:leader="none" w:pos="14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Budget Control Act of 2011, among other things, included aggregate reductions of Medicare payments to providers of 2% per fiscal year, and, due to subsequent legislative amendments to the statute, will remain in effect until 2032.</w:t>
      </w:r>
    </w:p>
    <w:p>
      <w:pPr>
        <w:spacing w:after="0" w:line="51" w:lineRule="exact"/>
        <w:rPr>
          <w:rFonts w:ascii="Times New Roman" w:cs="Times New Roman" w:eastAsia="Times New Roman" w:hAnsi="Times New Roman"/>
          <w:sz w:val="14"/>
          <w:szCs w:val="14"/>
          <w:color w:val="auto"/>
        </w:rPr>
      </w:pPr>
    </w:p>
    <w:p>
      <w:pPr>
        <w:ind w:left="1480" w:right="999" w:hanging="246"/>
        <w:spacing w:after="0" w:line="283" w:lineRule="auto"/>
        <w:tabs>
          <w:tab w:leader="none" w:pos="14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American Taxpayer Relief Act of 2012, among other things, further reduced Medicare payments to several types of providers.</w:t>
      </w:r>
    </w:p>
    <w:p>
      <w:pPr>
        <w:spacing w:after="0" w:line="40" w:lineRule="exact"/>
        <w:rPr>
          <w:rFonts w:ascii="Times New Roman" w:cs="Times New Roman" w:eastAsia="Times New Roman" w:hAnsi="Times New Roman"/>
          <w:sz w:val="14"/>
          <w:szCs w:val="14"/>
          <w:color w:val="auto"/>
        </w:rPr>
      </w:pPr>
    </w:p>
    <w:p>
      <w:pPr>
        <w:ind w:left="1480" w:right="859" w:hanging="246"/>
        <w:spacing w:after="0" w:line="258" w:lineRule="auto"/>
        <w:tabs>
          <w:tab w:leader="none" w:pos="14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American Rescue Plan Act of 2021 eliminates the statutory Medicaid drug rebate cap, currently set at 100% of a drug’s average manufacturer price,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59" w:lineRule="exact"/>
        <w:rPr>
          <w:rFonts w:ascii="Times New Roman" w:cs="Times New Roman" w:eastAsia="Times New Roman" w:hAnsi="Times New Roman"/>
          <w:sz w:val="14"/>
          <w:szCs w:val="14"/>
          <w:color w:val="auto"/>
        </w:rPr>
      </w:pPr>
    </w:p>
    <w:p>
      <w:pPr>
        <w:jc w:val="both"/>
        <w:ind w:left="1480" w:right="939" w:hanging="246"/>
        <w:spacing w:after="0" w:line="267" w:lineRule="auto"/>
        <w:tabs>
          <w:tab w:leader="none" w:pos="14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also includes several other provisions that may impact our business to varying degrees, including provisions that create a $2,000 out-of-pocket cap for Medicare Part D beneficiaries (effectively eliminating the Medicare Part D “donut hole” as described above), and impose new manufacturer financial liability on all drugs in Medicare Part D.</w:t>
      </w:r>
    </w:p>
    <w:p>
      <w:pPr>
        <w:spacing w:after="0" w:line="51" w:lineRule="exact"/>
        <w:rPr>
          <w:rFonts w:ascii="Times New Roman" w:cs="Times New Roman" w:eastAsia="Times New Roman" w:hAnsi="Times New Roman"/>
          <w:sz w:val="14"/>
          <w:szCs w:val="14"/>
          <w:color w:val="auto"/>
        </w:rPr>
      </w:pPr>
    </w:p>
    <w:p>
      <w:pPr>
        <w:ind w:left="1480" w:right="1159" w:hanging="246"/>
        <w:spacing w:after="0" w:line="261" w:lineRule="auto"/>
        <w:tabs>
          <w:tab w:leader="none" w:pos="14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One Big Beautiful Bill Act of 2025 imposed significant reductions in Medicaid funding, additional work requirements for certain Medicaid beneficiaries and more frequent eligibility redeterminations. These changes are expected to place increased pressure on state Medicaid budgets and could reduce enrollment, utilization and reimbursement levels for prescription drugs, including our products, which could adversely affect our business.</w:t>
      </w:r>
    </w:p>
    <w:p>
      <w:pPr>
        <w:spacing w:after="0" w:line="141"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The costs of drugs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143"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9" w:name="page170"/>
    <w:bookmarkEnd w:id="16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59" w:firstLine="343"/>
        <w:spacing w:after="0" w:line="253" w:lineRule="auto"/>
        <w:rPr>
          <w:sz w:val="20"/>
          <w:szCs w:val="20"/>
          <w:color w:val="auto"/>
        </w:rPr>
      </w:pPr>
      <w:r>
        <w:rPr>
          <w:rFonts w:ascii="Times New Roman" w:cs="Times New Roman" w:eastAsia="Times New Roman" w:hAnsi="Times New Roman"/>
          <w:sz w:val="14"/>
          <w:szCs w:val="14"/>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50"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3" w:lineRule="exact"/>
        <w:rPr>
          <w:sz w:val="20"/>
          <w:szCs w:val="20"/>
          <w:color w:val="auto"/>
        </w:rPr>
      </w:pPr>
    </w:p>
    <w:p>
      <w:pPr>
        <w:ind w:left="720" w:right="1039" w:firstLine="343"/>
        <w:spacing w:after="0" w:line="267" w:lineRule="auto"/>
        <w:rPr>
          <w:sz w:val="20"/>
          <w:szCs w:val="20"/>
          <w:color w:val="auto"/>
        </w:rPr>
      </w:pPr>
      <w:r>
        <w:rPr>
          <w:rFonts w:ascii="Times New Roman" w:cs="Times New Roman" w:eastAsia="Times New Roman" w:hAnsi="Times New Roman"/>
          <w:sz w:val="14"/>
          <w:szCs w:val="14"/>
          <w:color w:val="auto"/>
        </w:rPr>
        <w:t>Our corporate headquarters are located in Cambridge, Massachusetts, where we lease approximately 122,000 square feet of office, laboratory and manufacturing space. Our Cambridge lease expires in February 2031, and includes two five-year renewal options.</w:t>
      </w:r>
    </w:p>
    <w:p>
      <w:pPr>
        <w:spacing w:after="0" w:line="136"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We believe our existing facilities in Cambridge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As of April 1, 2026, we had 145 full-time employees and 31 full-time consultants, and 69 of our employees have M.D. or Ph.D. degrees. Within our workforce, 122 employees are engaged in research and development and 23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0" w:name="page171"/>
    <w:bookmarkEnd w:id="17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April 1, 2026:</w:t>
      </w:r>
    </w:p>
    <w:p>
      <w:pPr>
        <w:spacing w:after="0" w:line="192"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3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Age</w:t>
            </w:r>
          </w:p>
        </w:tc>
        <w:tc>
          <w:tcPr>
            <w:tcW w:w="60" w:type="dxa"/>
            <w:vAlign w:val="bottom"/>
          </w:tcPr>
          <w:p>
            <w:pPr>
              <w:spacing w:after="0"/>
              <w:rPr>
                <w:sz w:val="11"/>
                <w:szCs w:val="11"/>
                <w:color w:val="auto"/>
              </w:rPr>
            </w:pPr>
          </w:p>
        </w:tc>
        <w:tc>
          <w:tcPr>
            <w:tcW w:w="3640" w:type="dxa"/>
            <w:vAlign w:val="bottom"/>
          </w:tcPr>
          <w:p>
            <w:pPr>
              <w:ind w:left="162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59"/>
        </w:trPr>
        <w:tc>
          <w:tcPr>
            <w:tcW w:w="20" w:type="dxa"/>
            <w:vAlign w:val="bottom"/>
          </w:tcPr>
          <w:p>
            <w:pPr>
              <w:spacing w:after="0"/>
              <w:rPr>
                <w:sz w:val="13"/>
                <w:szCs w:val="13"/>
                <w:color w:val="auto"/>
              </w:rPr>
            </w:pPr>
          </w:p>
        </w:tc>
        <w:tc>
          <w:tcPr>
            <w:tcW w:w="3400" w:type="dxa"/>
            <w:vAlign w:val="bottom"/>
            <w:tcBorders>
              <w:top w:val="single" w:sz="8" w:color="auto"/>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Executive Officers:</w:t>
            </w:r>
          </w:p>
        </w:tc>
        <w:tc>
          <w:tcPr>
            <w:tcW w:w="8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640" w:type="dxa"/>
            <w:vAlign w:val="bottom"/>
            <w:tcBorders>
              <w:top w:val="single" w:sz="8" w:color="auto"/>
            </w:tcBorders>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Mathai Mammen, M.D., Ph.D.</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Fawzi Benzaghou, M.D.</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Chief Medical Officer</w:t>
            </w:r>
          </w:p>
        </w:tc>
      </w:tr>
      <w:tr>
        <w:trPr>
          <w:trHeight w:val="168"/>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Helen Ho, Ph.D.</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Business and Strategy Officer</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Thomas Kotarakos</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Rohin Mhatre, Ph.D.</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Technical Operations Officer</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Teresa Jurgensen, J.D.</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General Counsel</w:t>
            </w:r>
          </w:p>
        </w:tc>
      </w:tr>
      <w:tr>
        <w:trPr>
          <w:trHeight w:val="168"/>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Non-Employee Directors: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Alexis Borisy</w:t>
            </w:r>
            <w:r>
              <w:rPr>
                <w:rFonts w:ascii="Times New Roman" w:cs="Times New Roman" w:eastAsia="Times New Roman" w:hAnsi="Times New Roman"/>
                <w:sz w:val="18"/>
                <w:szCs w:val="18"/>
                <w:color w:val="auto"/>
                <w:vertAlign w:val="superscript"/>
              </w:rPr>
              <w:t>(2)</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Edward Fitzgerald</w:t>
            </w:r>
            <w:r>
              <w:rPr>
                <w:rFonts w:ascii="Times New Roman" w:cs="Times New Roman" w:eastAsia="Times New Roman" w:hAnsi="Times New Roman"/>
                <w:sz w:val="18"/>
                <w:szCs w:val="18"/>
                <w:color w:val="auto"/>
                <w:vertAlign w:val="superscript"/>
              </w:rPr>
              <w:t>(3)</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Rick Klausner, M.D.</w:t>
            </w:r>
            <w:r>
              <w:rPr>
                <w:rFonts w:ascii="Times New Roman" w:cs="Times New Roman" w:eastAsia="Times New Roman" w:hAnsi="Times New Roman"/>
                <w:sz w:val="18"/>
                <w:szCs w:val="18"/>
                <w:color w:val="auto"/>
                <w:vertAlign w:val="superscript"/>
              </w:rPr>
              <w:t>(1)</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Alan M. Sebulsky</w:t>
            </w:r>
            <w:r>
              <w:rPr>
                <w:rFonts w:ascii="Times New Roman" w:cs="Times New Roman" w:eastAsia="Times New Roman" w:hAnsi="Times New Roman"/>
                <w:sz w:val="18"/>
                <w:szCs w:val="18"/>
                <w:color w:val="auto"/>
                <w:vertAlign w:val="superscript"/>
              </w:rPr>
              <w:t>(2)(3)</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Jake Simson, Ph.D.</w:t>
            </w:r>
            <w:r>
              <w:rPr>
                <w:rFonts w:ascii="Times New Roman" w:cs="Times New Roman" w:eastAsia="Times New Roman" w:hAnsi="Times New Roman"/>
                <w:sz w:val="18"/>
                <w:szCs w:val="18"/>
                <w:color w:val="auto"/>
                <w:vertAlign w:val="superscript"/>
              </w:rPr>
              <w:t>(2)</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Barbara Weber, M.D.</w:t>
            </w:r>
            <w:r>
              <w:rPr>
                <w:rFonts w:ascii="Times New Roman" w:cs="Times New Roman" w:eastAsia="Times New Roman" w:hAnsi="Times New Roman"/>
                <w:sz w:val="18"/>
                <w:szCs w:val="18"/>
                <w:color w:val="auto"/>
                <w:vertAlign w:val="superscript"/>
              </w:rPr>
              <w:t>(2)(3)</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3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Krishna Yeshwant, M.D.</w:t>
            </w:r>
            <w:r>
              <w:rPr>
                <w:rFonts w:ascii="Times New Roman" w:cs="Times New Roman" w:eastAsia="Times New Roman" w:hAnsi="Times New Roman"/>
                <w:sz w:val="18"/>
                <w:szCs w:val="18"/>
                <w:color w:val="auto"/>
                <w:vertAlign w:val="superscript"/>
              </w:rPr>
              <w:t>(1)</w:t>
            </w: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3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66675</wp:posOffset>
            </wp:positionV>
            <wp:extent cx="64071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2" w:lineRule="exact"/>
        <w:rPr>
          <w:sz w:val="20"/>
          <w:szCs w:val="20"/>
          <w:color w:val="auto"/>
        </w:rPr>
      </w:pPr>
    </w:p>
    <w:p>
      <w:pPr>
        <w:ind w:left="1060" w:hanging="340"/>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2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7"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91"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Mathai Mammen, M.D., Ph.D. </w:t>
      </w:r>
      <w:r>
        <w:rPr>
          <w:rFonts w:ascii="Times New Roman" w:cs="Times New Roman" w:eastAsia="Times New Roman" w:hAnsi="Times New Roman"/>
          <w:sz w:val="14"/>
          <w:szCs w:val="14"/>
          <w:color w:val="auto"/>
        </w:rPr>
        <w:t>has served as our Chief Executive Officer and Chairman of our board of directors since June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Dr. Mammen served as the Global Head of R&amp;D, Pharmaceuticals at Johnson &amp; Johnson (NYSE: JNJ) from June 2017 to August 2022. Prior to joining Janssen Pharmaceutical Companies, Dr. Mammen was Senior Vice President at Merck Research Laboratories from March 2016 to June 2017. Prior to Merck, Dr. Mammen led research and development at Theravance, a company he co-founded in 1997 until March 2016. In 2014, he and the Theravance Leadership Team separated Theravance into two publicly traded companies: Innoviva (NASDAQ: INVA) and Theravance Biopharma (NASDAQ GS: TBPH). Through his career, Dr Mammen was responsible for leading teams in discovery and development that led to the approval and global commercialization of 19 medicines, many of them medical practice changing. Dr Mammen is an author or inventor on over 100 peer reviewed papers and patents. Dr. Mammen has served on the board of directors of Sandoz Group, AG, a Swiss public company (SWX: SDZ), since May 2024 and previously served on the board of directors of 10X Genomics (NASDAQ: TXG) from August 2017 to October 2024. Dr. Mammen received his M.D. from Harvard Medical School/Massachusetts Institute of Technology (Health Sciences and Technology program) and his Ph.D. in Chemistry from Harvard University’s Department of Chemistry. He received his B.Sc. in Chemistry and Biochemistry from Dalhousie University in Halifax, Nova Scotia. We believe Dr. Mammen is qualified to serve as a member of our board of directors because of his significant academic training and current and previous experience serving as a director and co-founder of another life sciences company, as well as his operating experience with several life sciences companies.</w:t>
      </w:r>
    </w:p>
    <w:p>
      <w:pPr>
        <w:spacing w:after="0" w:line="146"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Fawzi Benzaghou, M.D. </w:t>
      </w:r>
      <w:r>
        <w:rPr>
          <w:rFonts w:ascii="Times New Roman" w:cs="Times New Roman" w:eastAsia="Times New Roman" w:hAnsi="Times New Roman"/>
          <w:sz w:val="14"/>
          <w:szCs w:val="14"/>
          <w:color w:val="auto"/>
        </w:rPr>
        <w:t>has served as our Chief Medical Officer since September 2025. Previously, Dr. Benzaghou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Senior Vice President, Global Head of Oncology R&amp;D at Ipsen (XPAR: IPN.PA), a publicly traded biopharmaceutical company where he spent nine years in several senior roles in the oncology area. During this time, he led and secured six global approvals. Prior to his roles at Ipsen, Dr. Fawzi was Head of Development at Steba Biotech. Dr. Benzaghou is a board-certified pediatric surgeon and a graduate from Algiers University and then from Paris Cité University, where he practiced for several years, including at Necker Children’s Hospital. He obtained several certificates in oncology and clinical research. He also holds a Master’s Degree in strategy and management in health industries from ESSEC Business School and is a graduate of an executive education program at Harvard Business School. Dr. Benzaghou is a member of several scientific societies including the American Society of Clinical Oncology and the European Society for Medical Oncology and is a co-author of several peer-reviewed publications.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1" w:name="page172"/>
    <w:bookmarkEnd w:id="17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Helen Ho, Ph.D. </w:t>
      </w:r>
      <w:r>
        <w:rPr>
          <w:rFonts w:ascii="Times New Roman" w:cs="Times New Roman" w:eastAsia="Times New Roman" w:hAnsi="Times New Roman"/>
          <w:sz w:val="14"/>
          <w:szCs w:val="14"/>
          <w:color w:val="auto"/>
        </w:rPr>
        <w:t>has served as our Chief Business and Strategy Officer since April 2026. Prior to joining us, Dr. Ho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Chief Business Officer of Blueprint Medicines Corporation (formerly NASDAQ: BPMC) from January 2022 to January 2025. Dr. Ho previously served as Blueprint’s Senior Vice President, Head of Corporate Development from January 2021 to January 2022, and as Blueprint’s Vice President, Head of Corporate Development from April 2018 to January 2021. Prior to joining Blueprint, Dr. Ho was Head of Corporate Development at TCR2 Therapeutics (formerly NASDAQ: TCRR) from 2016 to 2018 and held various business development and operations roles at Agios Pharmaceuticals (NASDAQ GS: AGIO) from 2011 to 2016. Prior to her time at Agios, Dr. Ho worked as a Management Consultant at L.E.K. Consulting from 2007 to 2011. Dr. Ho holds a Ph.D. in Cell Biology from Yale University and a B.S. in Biochemistry from the University of California, Los Angeles.</w:t>
      </w:r>
    </w:p>
    <w:p>
      <w:pPr>
        <w:spacing w:after="0" w:line="145"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Thomas Kotarakos </w:t>
      </w:r>
      <w:r>
        <w:rPr>
          <w:rFonts w:ascii="Times New Roman" w:cs="Times New Roman" w:eastAsia="Times New Roman" w:hAnsi="Times New Roman"/>
          <w:sz w:val="14"/>
          <w:szCs w:val="14"/>
          <w:color w:val="auto"/>
        </w:rPr>
        <w:t>has served as our Chief Financial Officer since February 2026 and previously was our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of Finance from March 2023 to February 2026 and Senior Vice President of Finance from December 2021 to March 2023. Prior to joining us, Mr. Kotarakos was the Senior Vice President of Finance and Business Operations at Codiak BioSciences (formerly NASDAQ: CDAK), from December 2018 to December 2021. Mr. Kotarakos previously served as the Corporate Controller at Seres Therapeutics (NASDAQ GS: MCRB) from December 2014 to December 2018. Before his time at Seres, Mr. Kotarakos held various management positions at GT Advanced Technologies and served as an audit manager at PricewaterhouseCoopers. Mr. Kotarakos is a certified public accountant and received his M.S. and B.S. degrees in Accounting from Bentley University.</w:t>
      </w:r>
    </w:p>
    <w:p>
      <w:pPr>
        <w:spacing w:after="0" w:line="144"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Rohin Mhatre, Ph.D. </w:t>
      </w:r>
      <w:r>
        <w:rPr>
          <w:rFonts w:ascii="Times New Roman" w:cs="Times New Roman" w:eastAsia="Times New Roman" w:hAnsi="Times New Roman"/>
          <w:sz w:val="14"/>
          <w:szCs w:val="14"/>
          <w:color w:val="auto"/>
        </w:rPr>
        <w:t>has served as our Chief Technical Operations Officer since October 2023. Prior to joining us, Dr. Mhatre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served as Biogen Inc.’s ("Biogen") (NASDAQ: BIIB) Senior Vice President, Pharmaceutical Development, Engineering and Technology from January 2017 to August 2023. Dr. Mhatre previously held several other roles at Biogen, including Vice President, Global Regulatory Affairs from October 2015 to January 2017, Vice President, Biopharmaceutical Development, Senior Director, CMC Management, and Director, Biopharmaceutical Development. Dr. Mhatre has also served as a member of the board of directors of Repligen Corp. (NASDAQ: RGEN) since March 2020. Dr. Mhatre has a Ph.D. in Chemistry from Northeastern University.</w:t>
      </w:r>
    </w:p>
    <w:p>
      <w:pPr>
        <w:spacing w:after="0" w:line="143"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Teresa Jurgensen, J.D. </w:t>
      </w:r>
      <w:r>
        <w:rPr>
          <w:rFonts w:ascii="Times New Roman" w:cs="Times New Roman" w:eastAsia="Times New Roman" w:hAnsi="Times New Roman"/>
          <w:sz w:val="14"/>
          <w:szCs w:val="14"/>
          <w:color w:val="auto"/>
        </w:rPr>
        <w:t>has served as our General Counsel since August 2024. Prior to joining us, Ms. Jurgensen served 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Senior Vice President, General Counsel and Head of Enabling Functions at 2seventy bio (formerly NASDAQ: TSVT), a spin-out of bluebird bio, from November 2021 to August 2024. Ms. Jurgensen previously served as Vice President, General Counsel, Oncology at bluebird bio (formerly NASDAQ: BLUE) from January 2021 to November 2021 and as bluebird bio’s Senior Director, Business Development and Alliance Management Counsel from December 2018 to January 2021. Prior to her time at bluebird bio, Ms. Jurgensen served as Associate General Counsel at Teva Pharmaceutical Industries Ltd. (NYSE: TEVA) from October 2016 to November 2018, as Teva’s Director, Executive Counsel from September 2015 to October 2016, and as Teva’s Transactional Counsel from October 2014 to September 2015. Prior to her time at Teva, Ms. Jurgensen worked as an Associate at Saul Ewing LLP and as Corporate Counsel at Synthes, Inc. Ms. Jurgensen holds a B.S. in Marketing from Penn State University and a J.D. from Widener University School of Law.</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Non-Executive Directors</w:t>
      </w:r>
    </w:p>
    <w:p>
      <w:pPr>
        <w:spacing w:after="0" w:line="91" w:lineRule="exact"/>
        <w:rPr>
          <w:sz w:val="20"/>
          <w:szCs w:val="20"/>
          <w:color w:val="auto"/>
        </w:rPr>
      </w:pPr>
    </w:p>
    <w:p>
      <w:pPr>
        <w:jc w:val="both"/>
        <w:ind w:left="720" w:right="7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Alexis Borisy </w:t>
      </w:r>
      <w:r>
        <w:rPr>
          <w:rFonts w:ascii="Times New Roman" w:cs="Times New Roman" w:eastAsia="Times New Roman" w:hAnsi="Times New Roman"/>
          <w:sz w:val="14"/>
          <w:szCs w:val="14"/>
          <w:color w:val="auto"/>
        </w:rPr>
        <w:t>has served as a member of our board of directors since February 2024. Mr. Borisy is the co-founder and operating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chairman of Curie.Bio, a new model for venture in biotech. In 2022, Mr. Borisy co-founded IDRx, Inc., a biopharmaceutical company. Also in July 2022, Mr. Borisy became a director of Nextech Invest, a Swiss-based venture firm, where he also serves as Chairman.</w:t>
      </w:r>
    </w:p>
    <w:p>
      <w:pPr>
        <w:ind w:left="720" w:right="779"/>
        <w:spacing w:after="0" w:line="251" w:lineRule="auto"/>
        <w:rPr>
          <w:sz w:val="20"/>
          <w:szCs w:val="20"/>
          <w:color w:val="auto"/>
        </w:rPr>
      </w:pPr>
      <w:r>
        <w:rPr>
          <w:rFonts w:ascii="Times New Roman" w:cs="Times New Roman" w:eastAsia="Times New Roman" w:hAnsi="Times New Roman"/>
          <w:sz w:val="14"/>
          <w:szCs w:val="14"/>
          <w:color w:val="auto"/>
        </w:rPr>
        <w:t>Prior to its acquisition by Revolution Medicines, Inc. (NASDAQ: RVMD) in November 2023, Mr. Borisy served as Chief Executive Officer and Chairman of EQRx, Inc., (formerly NASDAQ: EQRX), a biotechnology company, from August 2019 to November 2023. From 2010 to June 2019, Mr. Borisy was a partner at Third Rock Ventures, a series of venture capital funds investing in life science companies. Mr. Borisy co-founded Blueprint Medicines Corporation (formerly NASDAQ: BPMC), a biopharmaceutical company, and served as its Interim Chief Executive Officer from 2013 to 2014 and served as a member of its board of directors from 2011 until its acquisition by Sanofi in July 2025.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Relay Therapeutics, Inc. (NASDAQ: RLAY) and Revolution Medicines, Inc. (NASDAQ: RVMD). During the past five years, Mr. Borisy also served as a member of the board of directors of Magenta Therapeutics, Inc. (formerly NASDAQ: MGTA), Editas Medicine, Inc. (NASDAQ: EDIT), OPKO Health, Inc. (NASDAQ: OPK), and Tango Therapeutics, Inc. (NASDAQ: TNGX).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2" w:name="page173"/>
    <w:bookmarkEnd w:id="17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Edward Fitzgerald </w:t>
      </w:r>
      <w:r>
        <w:rPr>
          <w:rFonts w:ascii="Times New Roman" w:cs="Times New Roman" w:eastAsia="Times New Roman" w:hAnsi="Times New Roman"/>
          <w:sz w:val="14"/>
          <w:szCs w:val="14"/>
          <w:color w:val="auto"/>
        </w:rPr>
        <w:t>has served as a member of our board of directors since July 2017. Mr. Fitzgerald has worked as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independent business advisor since 2016, and previously served as a member of the board of directors of Akcea Therapeutics, Inc. (formerly NASDAQ GS: AKCA) from May 2017 to April 2020 and a member of the advisory board of Analgesic Solutions, LLC from May 2016 to April 2019. Mr. Fitzgerald previously served as Chief Financial Officer and Treasurer of ARIAD Pharmaceuticals, Inc. (NASDAQ: ARIA) and Senior Vice President, Chief Financial Officer and Secretary at AltaRex, Inc. (formerly NYSE: AYX). Mr. Fitzgerald also held management roles at BankBoston Corporation and served as a Partner at Arthur Anderson &amp; Co. Mr. Fitzgerald received a B.S. and an M.B.A. from Babson College and served on the college’s board of trustees from 1997 to 2006, chairing its finance committee. We believe Mr. Fitzgerald is qualified to serve on our board of directors due to his extensive executive, financial and management experience, including his tenure as Chief Financial Officer of ARIAD Pharmaceuticals, Inc.</w:t>
      </w:r>
    </w:p>
    <w:p>
      <w:pPr>
        <w:spacing w:after="0" w:line="14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Rick Klausner, M.D. </w:t>
      </w:r>
      <w:r>
        <w:rPr>
          <w:rFonts w:ascii="Times New Roman" w:cs="Times New Roman" w:eastAsia="Times New Roman" w:hAnsi="Times New Roman"/>
          <w:sz w:val="14"/>
          <w:szCs w:val="14"/>
          <w:color w:val="auto"/>
        </w:rPr>
        <w:t>has served as a member of our board of directors since November 2022. Dr. Klausner is the founder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current Board Chair of Lyell Immunopharma, Inc. (NASDAQ GS: LYEL) and was previously its Chief Executive Officer from September 2018 to July 2020 and Executive Chairman from August 2020 to October 2021. Dr. Klausner is the founder and co-chair of Altos Labs, Inc. a private life sciences company. He is the President of the Milky Way Research Foundation and founder and Managing Partner of Milky Way Investments. He was the founder and Director of Juno Therapeutics Inc. (formerly NASDAQ: JUNO) and the founder and Director of GRAIL LLC (NASDAQ GS: GRAL). He is the Chairman of Sonoma Biotherapeutics, Co-Founder and Chairman of LifeMine Therapeutics Inc. and Board member of Ohalo Genetics Inc. He is the former Senior Vice President, Chief Medical Officer, and Chief Opportunity Officer of Illumina Inc. (NASDAQ: ILMN). Previously, he was Executive Director for Global Health of the Bill and Melinda Gates Foundation. Dr. Klausner was appointed by Presidents Clinton and Bush as the eleventh Director of the U.S. National Cancer Institute between 1995 and 2001. Dr. Klausner served as chief of the Cell Biology and Metabolism Branch of the National Institute of Child Health and Human Development and a past president of the American Society of Clinical Investigation. Dr. Klausner earned an M.D. from Duke Medical School and a B.S. from Yale University. We believe that Dr. Klausner’s scientific and medical expertise, particularly in cell biology, molecular biology and cancer, as well as his industry, academic and public service leadership roles, make him an appropriate member of our board of directors.</w:t>
      </w:r>
    </w:p>
    <w:p>
      <w:pPr>
        <w:spacing w:after="0" w:line="147"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Alan M. Sebulsky </w:t>
      </w:r>
      <w:r>
        <w:rPr>
          <w:rFonts w:ascii="Times New Roman" w:cs="Times New Roman" w:eastAsia="Times New Roman" w:hAnsi="Times New Roman"/>
          <w:sz w:val="14"/>
          <w:szCs w:val="14"/>
          <w:color w:val="auto"/>
        </w:rPr>
        <w:t>has served as a member of our board of directors since May 2026. Mr. Sebulsky has served as the Managing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 of Apothecary Capital LLC since its reestablishment in April 2026. Mr. Sebulsky previously served as a Partner and Portfolio Manager at Adage Capital Management, LP. from July 2012 to April 2026, where he was responsible for managing a biopharmaceutical portfolio. Prior to that Mr. Sebulsky served as a Portfolio Manager at BBT Capital Management Advisory LLC from April 2003 to March 2012, through his role as the Managing Partner of Apothecary Capital LLC over the same period. From 1994 to 2002, Mr. Sebulsky held various positions, most recently as a Managing Director, at Lincoln Capital Management, a private investment management firm, where he was responsible for investments in the healthcare industry. Mr. Sebulsky previously served as a director of Jazz Pharmaceuticals PLC (NASDAQ: JAZZ) and Arrow International, Inc. (formerly NASDAQ: ARRO). Mr. Sebulsky received a B.B.A. and an M.S. from the University of Wisconsin, Madison. We believe Mr. Sebulsky is qualified to serve on our board of directors due to his experience and perspective as a former Wall Street healthcare stock analyst and an investor who actively follows the healthcare industry and previously managed a dedicated healthcare investment fund.</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Jake Simson, Ph.D</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has served as a member of our board of directors since January 2026. Since December 2020, Dr. Simson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has served as a Partner of RA Capital Management, L.P., a life sciences investment advisor. Dr. Simson previously served as an associate, analyst and principal at RA Capital Management, L.P. from July 2013 to December 2020. Dr. Simson serves as a member of the board of directors of Tyra Biosciences Inc, a public biotechnology company (NASDAQ GS: TYRA), Janux Therapeutics, Inc, a public biopharmaceutical company (NASDAQ: JANX), Septerna, Inc., a public biotechnology company (NASDAQ: SEPN), and Bicara Therapeutics Inc., a public biotechnology company (NASDAQ: BCAX). Dr. Simson also served on the board of directors of DICE Therapeutics, Inc., a biotechnology company (NASDAQ: DICE), from December 2020 until it was acquired by Eli Lilly and Company (NYSE: LLY) in August 2023. Dr. Simson also serves on the boards of directors of various private companies. Dr. Simson received his Ph.D. in Biomedical Engineering from Johns Hopkins University and his S.B. in Materials Science and Engineering from Massachusetts Institute of Technology. We believe Dr. Simson is qualified to serve on our board of directors due to his experience serving as a director for several private and public life science companies and his experience in the life sciences investment industry.</w:t>
      </w:r>
    </w:p>
    <w:p>
      <w:pPr>
        <w:spacing w:after="0" w:line="144"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Barbara Weber, M.D. </w:t>
      </w:r>
      <w:r>
        <w:rPr>
          <w:rFonts w:ascii="Times New Roman" w:cs="Times New Roman" w:eastAsia="Times New Roman" w:hAnsi="Times New Roman"/>
          <w:sz w:val="14"/>
          <w:szCs w:val="14"/>
          <w:color w:val="auto"/>
        </w:rPr>
        <w:t>has served as a member of our board of directors since October 2018. Dr. Weber has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Chairman of Tango Therapeutics, Inc. (NASDAQ: TNGX) since January 2026, and was previously President and Chief Executive Officer and a member of the board of directors of Tango Therapeutics, Inc. from March 2017 to January 2026. Dr. Weber was a Venture Partner at Third Rock Ventures from March 2015 until June 2022. Previously, Dr. Weber served as Senior Vice President, Oncology Translational Medicine, Novartis (SIX: NVS) from 2009 to 2015, Vice President, Oncology at GSK Plc (LSE: GSK) from 2005 to 2009 and Professor, Medicine and Genetics at the University of Pennsylvania from 1994 to 2005. Dr. Weber served on the board of directors of Revolution Medicines, Inc. (NASDAQ: RVMD), a biotechnology company, from April 2018 until June 2025. Dr. Weber previously served as a director of OPY Acquisition Corp. I (NASDAQ: OHAA), a special purpose acquisition company. Dr. Weber received a B.S. in Chemistry and an M.D. from the University of Washington, was a resident in internal medicine at Yale University and a fellow in medical oncology at the Dana Farber Cancer Institute. We believe Dr. Weber is qualified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3" w:name="page174"/>
    <w:bookmarkEnd w:id="17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959"/>
        <w:spacing w:after="0" w:line="283" w:lineRule="auto"/>
        <w:rPr>
          <w:sz w:val="20"/>
          <w:szCs w:val="20"/>
          <w:color w:val="auto"/>
        </w:rPr>
      </w:pPr>
      <w:r>
        <w:rPr>
          <w:rFonts w:ascii="Times New Roman" w:cs="Times New Roman" w:eastAsia="Times New Roman" w:hAnsi="Times New Roman"/>
          <w:sz w:val="14"/>
          <w:szCs w:val="14"/>
          <w:color w:val="auto"/>
        </w:rPr>
        <w:t>to serve on our board based on her position as President and Chief Executive Officer of Tango Therapeutics, Inc. and her extensive leadership experience in the biopharmaceutical industry.</w:t>
      </w:r>
    </w:p>
    <w:p>
      <w:pPr>
        <w:spacing w:after="0" w:line="123"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Krishna Yeshwant, M.D. </w:t>
      </w:r>
      <w:r>
        <w:rPr>
          <w:rFonts w:ascii="Times New Roman" w:cs="Times New Roman" w:eastAsia="Times New Roman" w:hAnsi="Times New Roman"/>
          <w:sz w:val="14"/>
          <w:szCs w:val="14"/>
          <w:color w:val="auto"/>
        </w:rPr>
        <w:t>has served as a member of our board of directors since April 2018. Dr. Yeshwant has served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partner at GV Management Co. LLC, a venture capital firm, since June 2009 and has been working with GV since June 2008. Dr. Yeshwant was previously employed by Partners Healthcare, a not-for-profit health care system, as an internal medicine physician at The Brigham and Women’s Hospital from 2009 to 2021. Before joining GV, Dr. Yeshwant helped start Stanford Students Consulting, an electronic data interchange company that was acquired by The Hewlett-Packard Company in 2000. In 2000, he was part of the early team at Recourse Technologies, Inc., a network security company that was acquired by Symantec Corporation in 2002. Dr. Yeshwant previously served on the board of directors of Foundation Medicine, Inc. (formerly NASDAQ: FMI), a molecular information company, from 2011 to July 2018, on the board of directors of EQRx, Inc. (formerly NASDAQ: EQRX), a biotechnology company that was acquired by Revolution Medicines, Inc. in 2023, from January 2020 to November 2023, and on the board of directors of Verve Therapeutics, Inc. (formerly NASDAQ: VERV), a biotechnology company that was acquired by Eli Lilly and Company in 2025, from August 2018 to July 2025. Dr. Yeshwant received a B.S. in computer science from Stanford University, an M.D. from Harvard Medical School and an M.B.A. from Harvard Business School. We believe Dr. Yeshwant is qualified to serve on our board of directors because of his medical experience as a physician, his experience working with and serving on the boards of directors of life sciences companies and his experience working in the venture capital industry.</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There are no family relationships among any of our executive officers or directors.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Composition of Our Board of Directors</w:t>
      </w:r>
    </w:p>
    <w:p>
      <w:pPr>
        <w:spacing w:after="0" w:line="93" w:lineRule="exact"/>
        <w:rPr>
          <w:sz w:val="20"/>
          <w:szCs w:val="20"/>
          <w:color w:val="auto"/>
        </w:rPr>
      </w:pPr>
    </w:p>
    <w:p>
      <w:pPr>
        <w:ind w:left="720" w:right="919" w:firstLine="343"/>
        <w:spacing w:after="0" w:line="267"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which currently consists of nine members. The primary responsibilities of our board of directors are to provide oversight, strategic guidance, counseling and direction to our management. Our board of directors meets on a regular basis and additionally as required.</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Certain members of our board of directors were elected under the provisions of our sixth amended and restated certificate of</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incorporation and agreements with our stockholders, which agreements are described under the section of this prospectus entitled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Certain Relationships and Related Person Transactions</w:t>
      </w:r>
      <w:r>
        <w:rPr>
          <w:rFonts w:ascii="Times New Roman" w:cs="Times New Roman" w:eastAsia="Times New Roman" w:hAnsi="Times New Roman"/>
          <w:sz w:val="14"/>
          <w:szCs w:val="14"/>
          <w:color w:val="auto"/>
        </w:rPr>
        <w:t>.” Subject to and under the terms of our sixth amended and restated certificate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of incorporation and our fifth amended and restated voting agreement, the stockholders who are party to our fifth amended and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restated voting agreement agreed to vote their respective shares to elect: (i) one person designated by the holders of at least 75% of our</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Series A preferred stock then outstanding, currently vacant, (ii) one person designated by GV 2017, L.P., currently Krishna Yeshwant,</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M.D., (iii) one person designated by venBio Global Strategic Fund III, L.P., currently vacant, (iv) one person designated by Milky</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Way Investments Group Limited, currently Rick Klausner, M.D., (v) one person designated by Nextech VIII Oncology SCSp,</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currently Alexis Borisy, (vi) one person designated by RA Capital Healthcare Fund, L.P. and RA Capital Nexus Fund III, L.P.,</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currently Jake Simson, Ph.D. (vii) our Chief Executive Officer, currently Mathai Mammen, M.D., Ph.D., and (viii) up to three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individuals to serve as independent directors, currently Edward Fitzgerald, Alan M. Sebulsky and Barbara Weber, M.D. These board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composition provisions will terminate upon the closing of this offering. Upon the termination of these provisions, there will be no</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further contractual obligations regarding the election of our directors. Our nominating and corporate governance committee and our</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board of directors may therefore consider a broad range of factors relating to the qualifications and background of nominees. Our</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nominating and corporate governance committee’s and our board of directors’ priority in selecting board members is the identification</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of persons who will further the interests of our stockholders through their established record of professional accomplishment, the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ability to contribute positively to the collaborative culture among board members, knowledge of our business, understanding of the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competitive landscape, professional and personal experiences, and expertise relevant to our growth strategy. Our directors hold office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until their successors have been elected and qualified or until the earlier of their resignation or removal. Our seventh amended and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restated certificate of incorporation, which will become effective immediately prior to the closing of this offering, and our amended</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and restated bylaws, which will become effective upon the effectiveness of the registration statement of which this prospectus forms a</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part, also provide that our directors may be removed only for cause by the affirmative vote of the holders of at least two-thirds of the</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votes that all our stockholders would be entitled to cast in an annual election of directors, and that any vacancy on our board of</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directors, including a vacancy resulting from an enlargement of our board of directors, may be filled only by vote of a majority of our</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directors then in office.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4" w:name="page175"/>
    <w:bookmarkEnd w:id="17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Staggered Board</w:t>
      </w:r>
    </w:p>
    <w:p>
      <w:pPr>
        <w:spacing w:after="0" w:line="9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which will become effective immediately prior to the closing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seventh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61" w:lineRule="exact"/>
        <w:rPr>
          <w:sz w:val="20"/>
          <w:szCs w:val="20"/>
          <w:color w:val="auto"/>
        </w:rPr>
      </w:pPr>
    </w:p>
    <w:p>
      <w:pPr>
        <w:ind w:left="1480" w:hanging="246"/>
        <w:spacing w:after="0"/>
        <w:tabs>
          <w:tab w:leader="none" w:pos="1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and their terms will expire at our first annual meeting of stockholders</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following this offering, to be held in          ;</w:t>
      </w:r>
    </w:p>
    <w:p>
      <w:pPr>
        <w:spacing w:after="0" w:line="77" w:lineRule="exact"/>
        <w:rPr>
          <w:sz w:val="20"/>
          <w:szCs w:val="20"/>
          <w:color w:val="auto"/>
        </w:rPr>
      </w:pPr>
    </w:p>
    <w:p>
      <w:pPr>
        <w:ind w:left="1480" w:hanging="246"/>
        <w:spacing w:after="0"/>
        <w:tabs>
          <w:tab w:leader="none" w:pos="1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and their terms will expire at our second annual meeting of stockholders</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following this offering, to be held in            ; and</w:t>
      </w:r>
    </w:p>
    <w:p>
      <w:pPr>
        <w:spacing w:after="0" w:line="77" w:lineRule="exact"/>
        <w:rPr>
          <w:sz w:val="20"/>
          <w:szCs w:val="20"/>
          <w:color w:val="auto"/>
        </w:rPr>
      </w:pPr>
    </w:p>
    <w:p>
      <w:pPr>
        <w:ind w:left="1480" w:right="999" w:hanging="246"/>
        <w:spacing w:after="0" w:line="283" w:lineRule="auto"/>
        <w:tabs>
          <w:tab w:leader="none" w:pos="14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and their terms will expire at our third annual meeting of stockholders following this offering, to be held in        .</w:t>
      </w:r>
    </w:p>
    <w:p>
      <w:pPr>
        <w:spacing w:after="0" w:line="125" w:lineRule="exact"/>
        <w:rPr>
          <w:sz w:val="20"/>
          <w:szCs w:val="20"/>
          <w:color w:val="auto"/>
        </w:rPr>
      </w:pPr>
    </w:p>
    <w:p>
      <w:pPr>
        <w:jc w:val="both"/>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This classification of our board of directors may have the effect of delaying or preventing changes in control of our company.</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3" w:lineRule="exact"/>
        <w:rPr>
          <w:sz w:val="20"/>
          <w:szCs w:val="20"/>
          <w:color w:val="auto"/>
        </w:rPr>
      </w:pPr>
    </w:p>
    <w:p>
      <w:pPr>
        <w:ind w:left="720" w:right="939" w:firstLine="343"/>
        <w:spacing w:after="0" w:line="283" w:lineRule="auto"/>
        <w:rPr>
          <w:sz w:val="20"/>
          <w:szCs w:val="20"/>
          <w:color w:val="auto"/>
        </w:rPr>
      </w:pPr>
      <w:r>
        <w:rPr>
          <w:rFonts w:ascii="Times New Roman" w:cs="Times New Roman" w:eastAsia="Times New Roman" w:hAnsi="Times New Roman"/>
          <w:sz w:val="14"/>
          <w:szCs w:val="14"/>
          <w:color w:val="auto"/>
        </w:rPr>
        <w:t>Under the listing standards, requirements and rules of The Nasdaq Stock Market LLC (“Nasdaq Listing Rules”), independent directors must comprise a majority of our board of directors as a listed company within one year of the listing date.</w:t>
      </w:r>
    </w:p>
    <w:p>
      <w:pPr>
        <w:spacing w:after="0" w:line="125"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,        and 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Dr. Mammen, by virtue of his employment relationship with us,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Times New Roman" w:cs="Times New Roman" w:eastAsia="Times New Roman" w:hAnsi="Times New Roman"/>
          <w:sz w:val="14"/>
          <w:szCs w:val="14"/>
          <w:i w:val="1"/>
          <w:iCs w:val="1"/>
          <w:color w:val="auto"/>
        </w:rPr>
        <w:t>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Relationships and Related Person Transactions</w:t>
      </w:r>
      <w:r>
        <w:rPr>
          <w:rFonts w:ascii="Times New Roman" w:cs="Times New Roman" w:eastAsia="Times New Roman" w:hAnsi="Times New Roman"/>
          <w:sz w:val="14"/>
          <w:szCs w:val="14"/>
          <w:color w:val="auto"/>
        </w:rPr>
        <w:t>.” Upon the completion of this offering, we expect that the composition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functioning of our board of directors and each of our committees will comply with all applicable requirements of Nasdaq and the rules and regulations of the SEC.</w:t>
      </w:r>
    </w:p>
    <w:p>
      <w:pPr>
        <w:spacing w:after="0" w:line="200" w:lineRule="exact"/>
        <w:rPr>
          <w:sz w:val="20"/>
          <w:szCs w:val="20"/>
          <w:color w:val="auto"/>
        </w:rPr>
      </w:pP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Board Policies</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connection with this offering, we intend to adopt policies and procedures for director candidates for our nominating and corporate governance committee, which will provide for factors, such as a candidate’s character, judgment, skills, education, expertise, and absence of conflicts of interest that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5" w:name="page176"/>
    <w:bookmarkEnd w:id="17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Our board of directors recognizes that one of its key responsibilities is to evaluate and determine its optimal leadership structure so as to provide effective oversight of management. Our bylaws and corporate governance guidelines will provide our board of directors with flexibility to combine or separate the positions of Chairman of our board of directors and Chief Executive Officer. Our board of directors currently believes that our Chief Executive Officer is best situated to serve as Chairman because he is the director who is most familiar with our business and industry and possesses detailed and in-depth knowledge of the issues, opportunities and challenges facing us and is therefore best positioned to ensure that our board of directors’ time and attention are focused on the most critical matters. Our independent directors bring experience, oversight and expertise from outside the Company and industry, while the Chief Executive Officer brings Company-specific experience and expertise. Our board of directors believes that the combined role of Chairman and Chief Executive Officer facilitates information flow between management and the board of directors, which is essential to effective governance.</w:t>
      </w:r>
    </w:p>
    <w:p>
      <w:pPr>
        <w:spacing w:after="0" w:line="146"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Effective 2026, Alexis Borisy was appointed as our Lead Independent Director. The duties of our Lead Independent Director include (i) presiding at all meetings of our board of directors at which the Chairman of our board of directors is not present and leading executive sessions of the independent directors; (ii) providing input on board of directors agendas and materials in advance of meetings of our board of directors; (iii) if requested by stockholders, ensuring that our Lead Independent Director is available for consultation and direct communication; and (iv) performing such other functions as our board of directors may delegate to our Lead Independent Director from time to time. Our board of directors will continue to periodically review our leadership structure and may make such changes in the future as it deems appropriate.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Board’s Role in Risk Oversight</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4"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93"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which will be effective upon the closing of this offering, that satisfies the applicable rules and regulation of the SEC, the Sarbanes-Oxley Act and the Nasdaq Listing Rules.</w:t>
      </w:r>
    </w:p>
    <w:p>
      <w:pPr>
        <w:spacing w:after="0" w:line="144"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Our board of directors has also established a science and technology committee of the board of directors that will operate under a charter duly adopted by the board of directors.</w:t>
      </w:r>
    </w:p>
    <w:p>
      <w:pPr>
        <w:spacing w:after="0" w:line="123" w:lineRule="exact"/>
        <w:rPr>
          <w:sz w:val="20"/>
          <w:szCs w:val="20"/>
          <w:color w:val="auto"/>
        </w:rPr>
      </w:pPr>
    </w:p>
    <w:p>
      <w:pPr>
        <w:ind w:left="720" w:right="759" w:firstLine="343"/>
        <w:spacing w:after="0" w:line="262" w:lineRule="auto"/>
        <w:rPr>
          <w:sz w:val="20"/>
          <w:szCs w:val="20"/>
          <w:color w:val="auto"/>
        </w:rPr>
      </w:pPr>
      <w:r>
        <w:rPr>
          <w:rFonts w:ascii="Times New Roman" w:cs="Times New Roman" w:eastAsia="Times New Roman" w:hAnsi="Times New Roman"/>
          <w:sz w:val="14"/>
          <w:szCs w:val="14"/>
          <w:color w:val="auto"/>
        </w:rPr>
        <w:t xml:space="preserve">We will post the written charters to our website at </w:t>
      </w:r>
      <w:r>
        <w:rPr>
          <w:rFonts w:ascii="Times New Roman" w:cs="Times New Roman" w:eastAsia="Times New Roman" w:hAnsi="Times New Roman"/>
          <w:sz w:val="14"/>
          <w:szCs w:val="14"/>
          <w:i w:val="1"/>
          <w:iCs w:val="1"/>
          <w:color w:val="auto"/>
        </w:rPr>
        <w:t>www.parabilismed.com</w:t>
      </w:r>
      <w:r>
        <w:rPr>
          <w:rFonts w:ascii="Times New Roman" w:cs="Times New Roman" w:eastAsia="Times New Roman" w:hAnsi="Times New Roman"/>
          <w:sz w:val="14"/>
          <w:szCs w:val="14"/>
          <w:color w:val="auto"/>
        </w:rPr>
        <w:t xml:space="preserve"> upon the completion of this offering. The information contained in or accessible from our website is not incorporated into this prospectus, and you should not consider it part of this prospectus. We have included our website address in this prospectus solely as an inactive textual reference. Our board of directors may establish other committees as it deems necessary or appropriate from time to time.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6" w:name="page177"/>
    <w:bookmarkEnd w:id="17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3"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Upon the completion of this offering, our audit committee will consist of Edward Fitzgerald, Alan M. Sebulsky and Barbara Weber, and the chair of our audit committee will be Edward Fitzgerald.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is an “audit committee financial expert” within the meaning of SEC regulations. In arriving at these determinations, our board of directors has examined each audit committee member’s scope of experience and the nature of their employment in the corporate finance sector. Both our independent registered public accounting firm and management will periodically meet privately with our audit committee.</w:t>
      </w:r>
    </w:p>
    <w:p>
      <w:pPr>
        <w:spacing w:after="0" w:line="145" w:lineRule="exact"/>
        <w:rPr>
          <w:sz w:val="20"/>
          <w:szCs w:val="20"/>
          <w:color w:val="auto"/>
        </w:rPr>
      </w:pPr>
    </w:p>
    <w:p>
      <w:pPr>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include:</w:t>
      </w:r>
    </w:p>
    <w:p>
      <w:pPr>
        <w:spacing w:after="0" w:line="51" w:lineRule="exact"/>
        <w:rPr>
          <w:sz w:val="20"/>
          <w:szCs w:val="20"/>
          <w:color w:val="auto"/>
        </w:rPr>
      </w:pPr>
    </w:p>
    <w:p>
      <w:pPr>
        <w:ind w:left="1480" w:right="121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approving the compensation of, and assessing the independence of our independent registered public accounting firm;</w:t>
      </w:r>
    </w:p>
    <w:p>
      <w:pPr>
        <w:spacing w:after="0" w:line="40" w:lineRule="exact"/>
        <w:rPr>
          <w:rFonts w:ascii="Times New Roman" w:cs="Times New Roman" w:eastAsia="Times New Roman" w:hAnsi="Times New Roman"/>
          <w:sz w:val="14"/>
          <w:szCs w:val="14"/>
          <w:color w:val="auto"/>
        </w:rPr>
      </w:pPr>
    </w:p>
    <w:p>
      <w:pPr>
        <w:ind w:left="1480" w:right="123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auditing and permissible non-audit services, and the terms of such services, to be provided by our independent registered public accounting firm;</w:t>
      </w:r>
    </w:p>
    <w:p>
      <w:pPr>
        <w:spacing w:after="0" w:line="40"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overall audit plan with our independent registered public accounting firm and members of management responsible for preparing our financial statements;</w:t>
      </w:r>
    </w:p>
    <w:p>
      <w:pPr>
        <w:spacing w:after="0" w:line="40" w:lineRule="exact"/>
        <w:rPr>
          <w:rFonts w:ascii="Times New Roman" w:cs="Times New Roman" w:eastAsia="Times New Roman" w:hAnsi="Times New Roman"/>
          <w:sz w:val="14"/>
          <w:szCs w:val="14"/>
          <w:color w:val="auto"/>
        </w:rPr>
      </w:pPr>
    </w:p>
    <w:p>
      <w:pPr>
        <w:ind w:left="1480" w:right="99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the oversight and reviewing the adequacy of our internal control over financial reporting;</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policies and procedures for the receipt and retention of accounting-related complaints and concerns;</w:t>
      </w:r>
    </w:p>
    <w:p>
      <w:pPr>
        <w:spacing w:after="0" w:line="91" w:lineRule="exact"/>
        <w:rPr>
          <w:rFonts w:ascii="Times New Roman" w:cs="Times New Roman" w:eastAsia="Times New Roman" w:hAnsi="Times New Roman"/>
          <w:sz w:val="14"/>
          <w:szCs w:val="14"/>
          <w:color w:val="auto"/>
        </w:rPr>
      </w:pPr>
    </w:p>
    <w:p>
      <w:pPr>
        <w:ind w:left="1480" w:right="979" w:hanging="246"/>
        <w:spacing w:after="0" w:line="267"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the integrity of our financial statements and our compliance with legal and regulatory requirements as they relate to our financial statements and accounting matters;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audit committee report required by SEC rules to be included in our annual proxy statement;</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all related person transactions for potential conflict of interest situations and approving all such transactions;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quarterly earnings releases.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Upon the completion of this offering, our compensation committee will consist of Rick Klausner, Barbara Weber and Krishna Yeshwant, and the chair of our compensation committee will be Krishna Yeshwant. Our board of directors has determined that each member of the compensation committee is independent under the Nasdaq Listing Rules and is a “non-employee director” as defined in Rule 16b-3 under the Exchange Act.</w:t>
      </w:r>
    </w:p>
    <w:p>
      <w:pPr>
        <w:spacing w:after="0" w:line="141" w:lineRule="exact"/>
        <w:rPr>
          <w:sz w:val="20"/>
          <w:szCs w:val="20"/>
          <w:color w:val="auto"/>
        </w:rPr>
      </w:pPr>
    </w:p>
    <w:p>
      <w:pPr>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51" w:lineRule="exact"/>
        <w:rPr>
          <w:sz w:val="20"/>
          <w:szCs w:val="20"/>
          <w:color w:val="auto"/>
        </w:rPr>
      </w:pPr>
    </w:p>
    <w:p>
      <w:pPr>
        <w:ind w:left="1480" w:right="1179" w:hanging="246"/>
        <w:spacing w:after="0" w:line="283" w:lineRule="auto"/>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reviewing and recommending to the board of directors the corporate goals and objectives relevant to the compensation of our Chief Executive Officer;</w:t>
      </w:r>
    </w:p>
    <w:p>
      <w:pPr>
        <w:spacing w:after="0" w:line="40" w:lineRule="exact"/>
        <w:rPr>
          <w:rFonts w:ascii="Times New Roman" w:cs="Times New Roman" w:eastAsia="Times New Roman" w:hAnsi="Times New Roman"/>
          <w:sz w:val="14"/>
          <w:szCs w:val="14"/>
          <w:color w:val="auto"/>
        </w:rPr>
      </w:pPr>
    </w:p>
    <w:p>
      <w:pPr>
        <w:jc w:val="both"/>
        <w:ind w:left="1480" w:right="839" w:hanging="246"/>
        <w:spacing w:after="0" w:line="267" w:lineRule="auto"/>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of our Chief Executive Officer in light of such corporate goals and objectives and based on such evaluation (i) reviewing and determining the cash compensation of our Chief Executive Officer and (ii) reviewing and approving grants and awards to our Chief Executive Officer under equity-based plans;</w:t>
      </w:r>
    </w:p>
    <w:p>
      <w:pPr>
        <w:spacing w:after="0" w:line="5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of our other executive officers;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our overall management compensation, philosophy and policy;</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and administering our compensation and similar plans;</w:t>
      </w:r>
    </w:p>
    <w:p>
      <w:pPr>
        <w:spacing w:after="0" w:line="91" w:lineRule="exact"/>
        <w:rPr>
          <w:rFonts w:ascii="Times New Roman" w:cs="Times New Roman" w:eastAsia="Times New Roman" w:hAnsi="Times New Roman"/>
          <w:sz w:val="14"/>
          <w:szCs w:val="14"/>
          <w:color w:val="auto"/>
        </w:rPr>
      </w:pPr>
    </w:p>
    <w:p>
      <w:pPr>
        <w:ind w:left="1480" w:right="979" w:hanging="246"/>
        <w:spacing w:after="0" w:line="283" w:lineRule="auto"/>
        <w:tabs>
          <w:tab w:leader="none" w:pos="1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and assessing potential and current compensation advisors in accordance with the independence standards identified in the applicable Nasdaq listing rules;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7" w:name="page178"/>
    <w:bookmarkEnd w:id="17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hanging="246"/>
        <w:spacing w:after="0"/>
        <w:tabs>
          <w:tab w:leader="none" w:pos="1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our policies and procedures for the grant of equity-based awards;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of directors the compensation of our directors;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our compensation committee report if and when required by SEC rules;</w:t>
      </w:r>
    </w:p>
    <w:p>
      <w:pPr>
        <w:spacing w:after="0" w:line="91" w:lineRule="exact"/>
        <w:rPr>
          <w:rFonts w:ascii="Times New Roman" w:cs="Times New Roman" w:eastAsia="Times New Roman" w:hAnsi="Times New Roman"/>
          <w:sz w:val="14"/>
          <w:szCs w:val="14"/>
          <w:color w:val="auto"/>
        </w:rPr>
      </w:pPr>
    </w:p>
    <w:p>
      <w:pPr>
        <w:ind w:left="1480" w:right="1239" w:hanging="246"/>
        <w:spacing w:after="0" w:line="283" w:lineRule="auto"/>
        <w:tabs>
          <w:tab w:leader="none" w:pos="1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annually with management our “Compensation Discussion and Analysis,” if and when required, to be included in our annual proxy statement; and</w:t>
      </w:r>
    </w:p>
    <w:p>
      <w:pPr>
        <w:spacing w:after="0" w:line="40"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retention or termination of any consulting firm or outside advisor to assist in the evaluation of compensation matters.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Upon the completion of this offering, our nominating and corporate governance committee will consist of Alexis Borisy, Alan M. Sebulsky and Jake Simson, and the chair of our nominating and corporate governance committee will be Alexis Borisy.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44"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w:t>
      </w:r>
    </w:p>
    <w:p>
      <w:pPr>
        <w:spacing w:after="0" w:line="51" w:lineRule="exact"/>
        <w:rPr>
          <w:sz w:val="20"/>
          <w:szCs w:val="20"/>
          <w:color w:val="auto"/>
        </w:rPr>
      </w:pPr>
    </w:p>
    <w:p>
      <w:pPr>
        <w:ind w:left="1480" w:hanging="246"/>
        <w:spacing w:after="0"/>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recommending to the board of directors criteria for board and committee membership;</w:t>
      </w:r>
    </w:p>
    <w:p>
      <w:pPr>
        <w:spacing w:after="0" w:line="91" w:lineRule="exact"/>
        <w:rPr>
          <w:rFonts w:ascii="Times New Roman" w:cs="Times New Roman" w:eastAsia="Times New Roman" w:hAnsi="Times New Roman"/>
          <w:sz w:val="14"/>
          <w:szCs w:val="14"/>
          <w:color w:val="auto"/>
        </w:rPr>
      </w:pPr>
    </w:p>
    <w:p>
      <w:pPr>
        <w:ind w:left="1480" w:right="739" w:hanging="246"/>
        <w:spacing w:after="0" w:line="283" w:lineRule="auto"/>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identifying and evaluating board of director candidates, including nominees recommended by stockholders;</w:t>
      </w:r>
    </w:p>
    <w:p>
      <w:pPr>
        <w:spacing w:after="0" w:line="40"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composition of the board of directors to ensure that it is composed of members containing the appropriate skills and expertise to advise us;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individuals qualified to become members of the board of directors;</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the board of directors the persons to be nominated for election as directors and to each of the board’s committees;</w:t>
      </w:r>
    </w:p>
    <w:p>
      <w:pPr>
        <w:spacing w:after="0" w:line="40" w:lineRule="exact"/>
        <w:rPr>
          <w:rFonts w:ascii="Times New Roman" w:cs="Times New Roman" w:eastAsia="Times New Roman" w:hAnsi="Times New Roman"/>
          <w:sz w:val="14"/>
          <w:szCs w:val="14"/>
          <w:color w:val="auto"/>
        </w:rPr>
      </w:pPr>
    </w:p>
    <w:p>
      <w:pPr>
        <w:ind w:left="1480" w:right="1039" w:hanging="246"/>
        <w:spacing w:after="0" w:line="283" w:lineRule="auto"/>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recommending to the board of directors a code of business conduct and ethics and a set of corporate governance guidelines;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of our board of directors and management.</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Science and Technology Committee</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science and technology committee, which consists of Alexis Borisy, Rick Klausner, Barbara Weber and Krishna Yeshwant, and is chaired by Rick Klausner, supports board oversight of our research and development, and manufacturing and supply activities, by providing a forum for review of strategic considerations and issues in such areas, as well as to evaluate relevant emerging technology and advances in our field.</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93"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In connection with this offering, we intend to adopt an amended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cs="Times New Roman" w:eastAsia="Times New Roman" w:hAnsi="Times New Roman"/>
          <w:sz w:val="14"/>
          <w:szCs w:val="14"/>
          <w:i w:val="1"/>
          <w:iCs w:val="1"/>
          <w:color w:val="auto"/>
        </w:rPr>
        <w:t>www.parabilismed.com</w:t>
      </w:r>
      <w:r>
        <w:rPr>
          <w:rFonts w:ascii="Times New Roman" w:cs="Times New Roman" w:eastAsia="Times New Roman" w:hAnsi="Times New Roman"/>
          <w:sz w:val="14"/>
          <w:szCs w:val="14"/>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The information contained in or accessible from our website is not incorporated into this prospectus, and you should not consider it a part of this prospectus. We have included our website address in this prospectus solely as an inactive textual reference.</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3" w:lineRule="exact"/>
        <w:rPr>
          <w:sz w:val="20"/>
          <w:szCs w:val="20"/>
          <w:color w:val="auto"/>
        </w:rPr>
      </w:pPr>
    </w:p>
    <w:p>
      <w:pPr>
        <w:ind w:left="720" w:right="979" w:firstLine="343"/>
        <w:spacing w:after="0" w:line="261" w:lineRule="auto"/>
        <w:rPr>
          <w:sz w:val="20"/>
          <w:szCs w:val="20"/>
          <w:color w:val="auto"/>
        </w:rPr>
      </w:pPr>
      <w:r>
        <w:rPr>
          <w:rFonts w:ascii="Times New Roman" w:cs="Times New Roman" w:eastAsia="Times New Roman" w:hAnsi="Times New Roman"/>
          <w:sz w:val="14"/>
          <w:szCs w:val="14"/>
          <w:color w:val="auto"/>
        </w:rPr>
        <w:t>None of the members of the compensation committee is currently, or has been at any time, one of our officers or employees. None of our officers currently serve, or have served during the last calendar year, as a member of the board of directors or compensation committee of any entity that has one or more executive officers serving as a member of our board of directors or compensation committee.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8" w:name="page179"/>
    <w:bookmarkEnd w:id="17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Agreements</w:t>
      </w:r>
    </w:p>
    <w:p>
      <w:pPr>
        <w:spacing w:after="0" w:line="93" w:lineRule="exact"/>
        <w:rPr>
          <w:sz w:val="20"/>
          <w:szCs w:val="20"/>
          <w:color w:val="auto"/>
        </w:rPr>
      </w:pPr>
    </w:p>
    <w:p>
      <w:pPr>
        <w:ind w:left="720" w:right="959" w:firstLine="343"/>
        <w:spacing w:after="0" w:line="256" w:lineRule="auto"/>
        <w:rPr>
          <w:sz w:val="20"/>
          <w:szCs w:val="20"/>
          <w:color w:val="auto"/>
        </w:rPr>
      </w:pPr>
      <w:r>
        <w:rPr>
          <w:rFonts w:ascii="Times New Roman" w:cs="Times New Roman" w:eastAsia="Times New Roman" w:hAnsi="Times New Roman"/>
          <w:sz w:val="14"/>
          <w:szCs w:val="14"/>
          <w:color w:val="auto"/>
        </w:rPr>
        <w:t>As permitted by Delaware law, provisions in our seventh amended and restated certificate of incorporation and amended and restated bylaws, which will become effective immediately prior to the closing of this offering, and upon the effectiveness of the registration statement of which this prospectus forms a part, respectively,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59" w:lineRule="exact"/>
        <w:rPr>
          <w:sz w:val="20"/>
          <w:szCs w:val="20"/>
          <w:color w:val="auto"/>
        </w:rPr>
      </w:pPr>
    </w:p>
    <w:p>
      <w:pPr>
        <w:ind w:left="1480" w:hanging="246"/>
        <w:spacing w:after="0"/>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 or officer’s duty of loyalty to us or our stockholders;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91" w:lineRule="exact"/>
        <w:rPr>
          <w:rFonts w:ascii="Times New Roman" w:cs="Times New Roman" w:eastAsia="Times New Roman" w:hAnsi="Times New Roman"/>
          <w:sz w:val="14"/>
          <w:szCs w:val="14"/>
          <w:color w:val="auto"/>
        </w:rPr>
      </w:pPr>
    </w:p>
    <w:p>
      <w:pPr>
        <w:ind w:left="1480" w:right="839" w:hanging="246"/>
        <w:spacing w:after="0" w:line="283" w:lineRule="auto"/>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unlawful payments of dividends or unlawful stock repurchases, or redemptions as provided in Section 174 of the Delaware General Corporation Law (“DGCL”);</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 or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w:t>
      </w:r>
    </w:p>
    <w:p>
      <w:pPr>
        <w:spacing w:after="0" w:line="175"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seventh amended and restated certificate of incorporation that will become effective upon the closing of this offering also authorizes us to indemnify our officers, directors and other agents to the fullest extent permitted under Delaware law.</w:t>
      </w:r>
    </w:p>
    <w:p>
      <w:pPr>
        <w:spacing w:after="0" w:line="144" w:lineRule="exact"/>
        <w:rPr>
          <w:sz w:val="20"/>
          <w:szCs w:val="20"/>
          <w:color w:val="auto"/>
        </w:rPr>
      </w:pPr>
    </w:p>
    <w:p>
      <w:pPr>
        <w:ind w:left="720" w:right="959" w:firstLine="343"/>
        <w:spacing w:after="0" w:line="283" w:lineRule="auto"/>
        <w:rPr>
          <w:sz w:val="20"/>
          <w:szCs w:val="20"/>
          <w:color w:val="auto"/>
        </w:rPr>
      </w:pPr>
      <w:r>
        <w:rPr>
          <w:rFonts w:ascii="Times New Roman" w:cs="Times New Roman" w:eastAsia="Times New Roman" w:hAnsi="Times New Roman"/>
          <w:sz w:val="14"/>
          <w:szCs w:val="14"/>
          <w:color w:val="auto"/>
        </w:rPr>
        <w:t>As permitted by Delaware law, our amended and restated bylaws, become effective upon the effectiveness of the registration statement of which this prospectus forms a part, will provide that:</w:t>
      </w:r>
    </w:p>
    <w:p>
      <w:pPr>
        <w:spacing w:after="0" w:line="41" w:lineRule="exact"/>
        <w:rPr>
          <w:sz w:val="20"/>
          <w:szCs w:val="20"/>
          <w:color w:val="auto"/>
        </w:rPr>
      </w:pPr>
    </w:p>
    <w:p>
      <w:pPr>
        <w:ind w:left="1480" w:hanging="246"/>
        <w:spacing w:after="0"/>
        <w:tabs>
          <w:tab w:leader="none" w:pos="14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employees and other agents to the fullest extent permitted by law;</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advance expenses to our directors and officers, and may advance expenses to our employees and other agents, in connection with a legal proceeding to the fullest extent permitted by law; and</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amended and restated bylaws are not exclusive.</w:t>
      </w:r>
    </w:p>
    <w:p>
      <w:pPr>
        <w:spacing w:after="0" w:line="175"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have obtained such insurance.</w:t>
      </w:r>
    </w:p>
    <w:p>
      <w:pPr>
        <w:spacing w:after="0" w:line="144" w:lineRule="exact"/>
        <w:rPr>
          <w:sz w:val="20"/>
          <w:szCs w:val="20"/>
          <w:color w:val="auto"/>
        </w:rPr>
      </w:pPr>
    </w:p>
    <w:p>
      <w:pPr>
        <w:ind w:left="720" w:right="819" w:firstLine="343"/>
        <w:spacing w:after="0" w:line="255" w:lineRule="auto"/>
        <w:rPr>
          <w:sz w:val="20"/>
          <w:szCs w:val="20"/>
          <w:color w:val="auto"/>
        </w:rPr>
      </w:pPr>
      <w:r>
        <w:rPr>
          <w:rFonts w:ascii="Times New Roman" w:cs="Times New Roman" w:eastAsia="Times New Roman" w:hAnsi="Times New Roman"/>
          <w:sz w:val="14"/>
          <w:szCs w:val="14"/>
          <w:color w:val="auto"/>
        </w:rPr>
        <w:t>In addition to the indemnification that will be provided for in our seventh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45"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This description of the indemnification provisions of our seventh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36" w:lineRule="exact"/>
        <w:rPr>
          <w:sz w:val="20"/>
          <w:szCs w:val="20"/>
          <w:color w:val="auto"/>
        </w:rPr>
      </w:pPr>
    </w:p>
    <w:p>
      <w:pPr>
        <w:ind w:left="720" w:right="1019" w:firstLine="343"/>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6" w:lineRule="exact"/>
        <w:rPr>
          <w:sz w:val="20"/>
          <w:szCs w:val="20"/>
          <w:color w:val="auto"/>
        </w:rPr>
      </w:pPr>
    </w:p>
    <w:p>
      <w:pPr>
        <w:ind w:left="720" w:right="779" w:firstLine="343"/>
        <w:spacing w:after="0" w:line="323" w:lineRule="auto"/>
        <w:rPr>
          <w:sz w:val="20"/>
          <w:szCs w:val="20"/>
          <w:color w:val="auto"/>
        </w:rPr>
      </w:pPr>
      <w:r>
        <w:rPr>
          <w:rFonts w:ascii="Times New Roman" w:cs="Times New Roman" w:eastAsia="Times New Roman" w:hAnsi="Times New Roman"/>
          <w:sz w:val="13"/>
          <w:szCs w:val="13"/>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9" w:name="page180"/>
    <w:bookmarkEnd w:id="17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7"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4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As an emerging growth company, we have opted to comply with the executive compensation disclosure rules applicable to “smaller reporting companies” as such term is defined in the rules promulgated under the Securities Act. Our named executive officers (“NEOs”) for the year ended December 31, 2025 consist of (i) our principal executive officer; (ii) our two most highly compensated executive officers (other than our Chief Executive Officer) who were serving as our executive officers on December 31, 2025 and (iii) our former Chief Medical Officer, who would have been one of our two most highly compensated executive officers (other than our Chief Executive Officer) but for the fact that he was no longer serving as an executive officer on December 31, 2025. Our former Chief Medical Officer resigned as our Chief Medical Officer effective April 11, 2025, and our current Chief Medical Officer commenced employment as our Chief Medical Officer effective September 2, 2025. Accordingly, our NEOs for the fiscal year ended December 31, 2025 are:</w:t>
      </w:r>
    </w:p>
    <w:p>
      <w:pPr>
        <w:spacing w:after="0" w:line="64" w:lineRule="exact"/>
        <w:rPr>
          <w:sz w:val="20"/>
          <w:szCs w:val="20"/>
          <w:color w:val="auto"/>
        </w:rPr>
      </w:pPr>
    </w:p>
    <w:p>
      <w:pPr>
        <w:ind w:left="1480" w:hanging="246"/>
        <w:spacing w:after="0"/>
        <w:tabs>
          <w:tab w:leader="none" w:pos="14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Mathai Mammen, M.D., Ph.D., our President, and Chief Executive Officer;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Fawzi Benzaghou, M.D., our Chief Medical Officer;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Teresa Jurgensen, J.D., our General Counsel;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Orford, M.D., Ph.D., our former Chief Medical Officer.</w:t>
      </w:r>
    </w:p>
    <w:p>
      <w:pPr>
        <w:spacing w:after="0" w:line="175"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To date, the compensation of our NEOs has primarily consisted of a combination of base salary, annual cash incentive compensation, and long-term incentive compensation, as described in more detail below. Our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93"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our NEOs for services rendered to us in all capacities during the fiscal year ended December 31, 2025.</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80" w:type="dxa"/>
            <w:vAlign w:val="bottom"/>
          </w:tcPr>
          <w:p>
            <w:pPr>
              <w:spacing w:after="0"/>
              <w:rPr>
                <w:sz w:val="10"/>
                <w:szCs w:val="10"/>
                <w:color w:val="auto"/>
              </w:rPr>
            </w:pPr>
          </w:p>
        </w:tc>
        <w:tc>
          <w:tcPr>
            <w:tcW w:w="660" w:type="dxa"/>
            <w:vAlign w:val="bottom"/>
            <w:vMerge w:val="restart"/>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($)(1)</w:t>
            </w:r>
          </w:p>
        </w:tc>
        <w:tc>
          <w:tcPr>
            <w:tcW w:w="180" w:type="dxa"/>
            <w:vAlign w:val="bottom"/>
          </w:tcPr>
          <w:p>
            <w:pPr>
              <w:spacing w:after="0"/>
              <w:rPr>
                <w:sz w:val="11"/>
                <w:szCs w:val="11"/>
                <w:color w:val="auto"/>
              </w:rPr>
            </w:pPr>
          </w:p>
        </w:tc>
        <w:tc>
          <w:tcPr>
            <w:tcW w:w="680" w:type="dxa"/>
            <w:vAlign w:val="bottom"/>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($)(2)</w:t>
            </w:r>
          </w:p>
        </w:tc>
        <w:tc>
          <w:tcPr>
            <w:tcW w:w="180" w:type="dxa"/>
            <w:vAlign w:val="bottom"/>
          </w:tcPr>
          <w:p>
            <w:pPr>
              <w:spacing w:after="0"/>
              <w:rPr>
                <w:sz w:val="11"/>
                <w:szCs w:val="11"/>
                <w:color w:val="auto"/>
              </w:rPr>
            </w:pPr>
          </w:p>
        </w:tc>
        <w:tc>
          <w:tcPr>
            <w:tcW w:w="820" w:type="dxa"/>
            <w:vAlign w:val="bottom"/>
            <w:gridSpan w:val="2"/>
          </w:tcPr>
          <w:p>
            <w:pPr>
              <w:jc w:val="center"/>
              <w:ind w:left="4"/>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1"/>
                <w:szCs w:val="11"/>
                <w:color w:val="auto"/>
              </w:rPr>
            </w:pPr>
          </w:p>
        </w:tc>
        <w:tc>
          <w:tcPr>
            <w:tcW w:w="920" w:type="dxa"/>
            <w:vAlign w:val="bottom"/>
            <w:gridSpan w:val="2"/>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top w:val="single" w:sz="8" w:color="auto"/>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Mathai Mammen, M.D., Ph.D.</w:t>
            </w:r>
          </w:p>
        </w:tc>
        <w:tc>
          <w:tcPr>
            <w:tcW w:w="8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0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President &amp; Chief Executive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rPr>
              <w:t>784,840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496,411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(3)</w:t>
            </w:r>
          </w:p>
        </w:tc>
        <w:tc>
          <w:tcPr>
            <w:tcW w:w="9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1,295,251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Fawzi Benzaghou, M.D.</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Chief Medical Officer</w:t>
            </w:r>
            <w:r>
              <w:rPr>
                <w:rFonts w:ascii="Times New Roman" w:cs="Times New Roman" w:eastAsia="Times New Roman" w:hAnsi="Times New Roman"/>
                <w:sz w:val="18"/>
                <w:szCs w:val="18"/>
                <w:color w:val="auto"/>
                <w:vertAlign w:val="superscript"/>
              </w:rPr>
              <w:t>(4)</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rPr>
              <w:t>198,904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206,496</w:t>
            </w:r>
          </w:p>
        </w:tc>
        <w:tc>
          <w:tcPr>
            <w:tcW w:w="1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671,354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(3)</w:t>
            </w:r>
          </w:p>
        </w:tc>
        <w:tc>
          <w:tcPr>
            <w:tcW w:w="9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1,079,523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Teresa Jurgensen, J.D.</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rPr>
              <w:t>464,100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213,486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(3)</w:t>
            </w:r>
          </w:p>
        </w:tc>
        <w:tc>
          <w:tcPr>
            <w:tcW w:w="9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691,586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Keith Orford, M.D., Ph.D.</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Former Chief Medical Officer</w:t>
            </w:r>
            <w:r>
              <w:rPr>
                <w:rFonts w:ascii="Times New Roman" w:cs="Times New Roman" w:eastAsia="Times New Roman" w:hAnsi="Times New Roman"/>
                <w:sz w:val="18"/>
                <w:szCs w:val="18"/>
                <w:color w:val="auto"/>
                <w:vertAlign w:val="superscript"/>
              </w:rPr>
              <w:t>(6)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rPr>
              <w:t>168,566</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w w:val="94"/>
              </w:rPr>
              <w:t>(7)</w:t>
            </w:r>
          </w:p>
        </w:tc>
        <w:tc>
          <w:tcPr>
            <w:tcW w:w="60" w:type="dxa"/>
            <w:vAlign w:val="bottom"/>
          </w:tcPr>
          <w:p>
            <w:pPr>
              <w:spacing w:after="0"/>
              <w:rPr>
                <w:sz w:val="21"/>
                <w:szCs w:val="21"/>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613,688</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(8)</w:t>
            </w:r>
          </w:p>
        </w:tc>
        <w:tc>
          <w:tcPr>
            <w:tcW w:w="9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783,740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16510</wp:posOffset>
            </wp:positionV>
            <wp:extent cx="64071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44" w:lineRule="exact"/>
        <w:rPr>
          <w:sz w:val="20"/>
          <w:szCs w:val="20"/>
          <w:color w:val="auto"/>
        </w:rPr>
      </w:pPr>
    </w:p>
    <w:p>
      <w:pPr>
        <w:ind w:left="1060" w:right="919" w:hanging="340"/>
        <w:spacing w:after="0" w:line="314" w:lineRule="auto"/>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annual discretionary bonuses each NEO earned during the applicable fiscal year based on achievement of company performance, which were paid in the first quarter of the following fiscal year.</w:t>
      </w:r>
    </w:p>
    <w:p>
      <w:pPr>
        <w:spacing w:after="0" w:line="20" w:lineRule="exact"/>
        <w:rPr>
          <w:rFonts w:ascii="Times New Roman" w:cs="Times New Roman" w:eastAsia="Times New Roman" w:hAnsi="Times New Roman"/>
          <w:sz w:val="14"/>
          <w:szCs w:val="14"/>
          <w:color w:val="auto"/>
        </w:rPr>
      </w:pPr>
    </w:p>
    <w:p>
      <w:pPr>
        <w:ind w:left="1060" w:right="819" w:hanging="340"/>
        <w:spacing w:after="0" w:line="256" w:lineRule="auto"/>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below, the amounts reported in this column represent the aggregate grant date fair value of stock options awarded to our NEOs in the applicable fiscal year, calculated in accordance with the Financial Accounting Standards Board Accounting Standards Codification Topic 718, or FASB ASC Topic 718, disregarding estimated forfeitures related to service-based vesting. The assumptions used in calculating the grant date fair values are set forth in Note 8 of our consolidated audited financial statements for fiscal year 2025, included elsewhere in this prospectus. The amounts reported in this column reflect the accounting cost for the options and do not correspond to the actual economic value that may be received by our NEOs upon the exercise of the options or any sale of the underlying shares.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0" w:name="page181"/>
    <w:bookmarkEnd w:id="18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60" w:hanging="340"/>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matching contributions under our 401(k) plan for the applicable NEO.</w:t>
      </w:r>
    </w:p>
    <w:p>
      <w:pPr>
        <w:spacing w:after="0" w:line="91" w:lineRule="exact"/>
        <w:rPr>
          <w:rFonts w:ascii="Times New Roman" w:cs="Times New Roman" w:eastAsia="Times New Roman" w:hAnsi="Times New Roman"/>
          <w:sz w:val="14"/>
          <w:szCs w:val="14"/>
          <w:color w:val="auto"/>
        </w:rPr>
      </w:pPr>
    </w:p>
    <w:p>
      <w:pPr>
        <w:ind w:left="1060" w:right="819" w:hanging="340"/>
        <w:spacing w:after="0" w:line="314"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Benzaghou commenced employment with the Company on September 2, 2025 and his annual base salary and annual bonus for fiscal year 2025 were pro-rated accordingly.</w:t>
      </w:r>
    </w:p>
    <w:p>
      <w:pPr>
        <w:spacing w:after="0" w:line="20" w:lineRule="exact"/>
        <w:rPr>
          <w:rFonts w:ascii="Times New Roman" w:cs="Times New Roman" w:eastAsia="Times New Roman" w:hAnsi="Times New Roman"/>
          <w:sz w:val="14"/>
          <w:szCs w:val="14"/>
          <w:color w:val="auto"/>
        </w:rPr>
      </w:pPr>
    </w:p>
    <w:p>
      <w:pPr>
        <w:ind w:left="1060" w:right="759" w:hanging="340"/>
        <w:spacing w:after="0" w:line="282"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includes a $115,000 sign-on bonus paid to Dr. Benzaghou pursuant to his sign-on bonus agreement in connection with his commencement of employment, as further described under the section titled “Employment Arrangements in Place Prior to the Offering with our NEOs” below.</w:t>
      </w:r>
    </w:p>
    <w:p>
      <w:pPr>
        <w:spacing w:after="0" w:line="42" w:lineRule="exact"/>
        <w:rPr>
          <w:rFonts w:ascii="Times New Roman" w:cs="Times New Roman" w:eastAsia="Times New Roman" w:hAnsi="Times New Roman"/>
          <w:sz w:val="14"/>
          <w:szCs w:val="14"/>
          <w:color w:val="auto"/>
        </w:rPr>
      </w:pPr>
    </w:p>
    <w:p>
      <w:pPr>
        <w:ind w:left="1060" w:right="759" w:hanging="340"/>
        <w:spacing w:after="0" w:line="267"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Orford resigned as our Chief Medical Officer effective April 11, 2025 and his annual base salary for fiscal year 2025 was pro-rated accordingly. Dr. Orford’s salary for fiscal year 2025 includes $19,353 in accrued paid time off paid in connection with Dr. Orford’s separation from the Company.</w:t>
      </w:r>
    </w:p>
    <w:p>
      <w:pPr>
        <w:spacing w:after="0" w:line="51" w:lineRule="exact"/>
        <w:rPr>
          <w:rFonts w:ascii="Times New Roman" w:cs="Times New Roman" w:eastAsia="Times New Roman" w:hAnsi="Times New Roman"/>
          <w:sz w:val="14"/>
          <w:szCs w:val="14"/>
          <w:color w:val="auto"/>
        </w:rPr>
      </w:pPr>
    </w:p>
    <w:p>
      <w:pPr>
        <w:ind w:left="1060" w:right="879" w:hanging="340"/>
        <w:spacing w:after="0" w:line="282"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incremental fair value, calculated in accordance with FASB ASC Topic 718, related to the acceleration of vesting of certain equity awards held by Dr. Orford in connection with his separation from the Company, as further described under the section titled “Employment Arrangements in Place Prior to the Offering with our NEOs” below.</w:t>
      </w:r>
    </w:p>
    <w:p>
      <w:pPr>
        <w:spacing w:after="0" w:line="42" w:lineRule="exact"/>
        <w:rPr>
          <w:rFonts w:ascii="Times New Roman" w:cs="Times New Roman" w:eastAsia="Times New Roman" w:hAnsi="Times New Roman"/>
          <w:sz w:val="14"/>
          <w:szCs w:val="14"/>
          <w:color w:val="auto"/>
        </w:rPr>
      </w:pPr>
    </w:p>
    <w:p>
      <w:pPr>
        <w:ind w:left="1060" w:right="1059" w:hanging="340"/>
        <w:spacing w:after="0" w:line="267"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includes matching contributions under our 401(k) plan ($12,233) and severance payments ($601,455) payable to Dr. Orford in connection with his separation from the Company, as further described under the section titled “Employment Arrangements in Place Prior to the Offering with our NEOs” below.</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Narrative Disclosure to the 2025 Summary Compensation Table</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Elements of Compensation</w:t>
      </w:r>
    </w:p>
    <w:p>
      <w:pPr>
        <w:spacing w:after="0" w:line="93" w:lineRule="exact"/>
        <w:rPr>
          <w:sz w:val="20"/>
          <w:szCs w:val="20"/>
          <w:color w:val="auto"/>
        </w:rPr>
      </w:pPr>
    </w:p>
    <w:p>
      <w:pPr>
        <w:ind w:left="720" w:right="919" w:firstLine="343"/>
        <w:spacing w:after="0" w:line="283" w:lineRule="auto"/>
        <w:rPr>
          <w:sz w:val="20"/>
          <w:szCs w:val="20"/>
          <w:color w:val="auto"/>
        </w:rPr>
      </w:pPr>
      <w:r>
        <w:rPr>
          <w:rFonts w:ascii="Times New Roman" w:cs="Times New Roman" w:eastAsia="Times New Roman" w:hAnsi="Times New Roman"/>
          <w:sz w:val="14"/>
          <w:szCs w:val="14"/>
          <w:color w:val="auto"/>
        </w:rPr>
        <w:t>The compensation of our NEOs generally consists of three key elements: (i) base salary; (ii) annual cash bonus opportunities; and (iii) long term incentive compensation in the form of equity awards.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Annual Base Salaries</w:t>
      </w:r>
    </w:p>
    <w:p>
      <w:pPr>
        <w:spacing w:after="0" w:line="93"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The annual base salary payable to each NEO is intended to provide a fixed component of compensation reflecting the executive’s skill set, experience, role, responsibilities, and contributions. Each NEO’s initial annual base salary was specified in their offer letter or employment agreement, as described below, and is reviewed (and, if applicable, adjusted) from time to time by our board of directors or compensation committee thereof.</w:t>
      </w:r>
    </w:p>
    <w:p>
      <w:pPr>
        <w:spacing w:after="0" w:line="141"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For the fiscal year ended December 31, 2025, the annual base salaries for Dr. Mammen, Dr. Benzaghou, Ms. Jurgensen and Dr. Orford were $784,840, $600,000, $464,100 and $539,235 respectively. Dr. Orford resigned as our Chief Medical Officer effective April 11, 2025 and Dr. Benzaghou commenced employment as our Chief Medical Officer effective September 2, 2025. As a result, their base salaries for fiscal year 2025 were pro-rated accordingly.</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2025 Bonuses</w:t>
      </w:r>
    </w:p>
    <w:p>
      <w:pPr>
        <w:spacing w:after="0" w:line="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Annual Discretionary Cash Bonus Opportunities</w:t>
      </w:r>
    </w:p>
    <w:p>
      <w:pPr>
        <w:spacing w:after="0" w:line="93" w:lineRule="exact"/>
        <w:rPr>
          <w:sz w:val="20"/>
          <w:szCs w:val="20"/>
          <w:color w:val="auto"/>
        </w:rPr>
      </w:pPr>
    </w:p>
    <w:p>
      <w:pPr>
        <w:ind w:left="720" w:right="779" w:firstLine="343"/>
        <w:spacing w:after="0" w:line="266" w:lineRule="auto"/>
        <w:rPr>
          <w:sz w:val="20"/>
          <w:szCs w:val="20"/>
          <w:color w:val="auto"/>
        </w:rPr>
      </w:pPr>
      <w:r>
        <w:rPr>
          <w:rFonts w:ascii="Times New Roman" w:cs="Times New Roman" w:eastAsia="Times New Roman" w:hAnsi="Times New Roman"/>
          <w:sz w:val="14"/>
          <w:szCs w:val="14"/>
          <w:color w:val="auto"/>
        </w:rPr>
        <w:t>For the fiscal year ended December 31, 2025, each of our NEOs was eligible to earn an annual discretionary bonus based on the Company’s achievement of certain performance objectives. The 2025 target annual bonuses for Dr. Mammen, Dr. Benzaghou, Ms. Jurgensen and Dr. Orford were 55%, 40%, 40% and 40% of their annual base salaries, respectively. Dr. Benzaghou’s 2025 bonus was prorated based on his partial year of employment with us in 2025.</w:t>
      </w:r>
    </w:p>
    <w:p>
      <w:pPr>
        <w:spacing w:after="0" w:line="138" w:lineRule="exact"/>
        <w:rPr>
          <w:sz w:val="20"/>
          <w:szCs w:val="20"/>
          <w:color w:val="auto"/>
        </w:rPr>
      </w:pPr>
    </w:p>
    <w:p>
      <w:pPr>
        <w:ind w:left="720" w:right="999" w:firstLine="343"/>
        <w:spacing w:after="0" w:line="266" w:lineRule="auto"/>
        <w:rPr>
          <w:sz w:val="20"/>
          <w:szCs w:val="20"/>
          <w:color w:val="auto"/>
        </w:rPr>
      </w:pPr>
      <w:r>
        <w:rPr>
          <w:rFonts w:ascii="Times New Roman" w:cs="Times New Roman" w:eastAsia="Times New Roman" w:hAnsi="Times New Roman"/>
          <w:sz w:val="14"/>
          <w:szCs w:val="14"/>
          <w:color w:val="auto"/>
        </w:rPr>
        <w:t>Pursuant to our bonus program, each NEO’s annual cash bonus for 2025 was determined by reference to the Company’s achievement of certain performance milestones relating to pre-determined clinical, financial, organizational, and pipeline goals. Following a review of our 2025 performance, our board of directors determined that we had achieved our 2025 goals at 115% and approved 2025 annual discretionary cash bonuses to Dr. Mammen, Dr. Benzaghou and Ms. Jurgensen equal to 115% of their respective target annual bonuses .</w:t>
      </w:r>
    </w:p>
    <w:p>
      <w:pPr>
        <w:spacing w:after="0" w:line="138" w:lineRule="exact"/>
        <w:rPr>
          <w:sz w:val="20"/>
          <w:szCs w:val="20"/>
          <w:color w:val="auto"/>
        </w:rPr>
      </w:pPr>
    </w:p>
    <w:p>
      <w:pPr>
        <w:ind w:left="720" w:right="999" w:firstLine="343"/>
        <w:spacing w:after="0" w:line="283" w:lineRule="auto"/>
        <w:rPr>
          <w:sz w:val="20"/>
          <w:szCs w:val="20"/>
          <w:color w:val="auto"/>
        </w:rPr>
      </w:pPr>
      <w:r>
        <w:rPr>
          <w:rFonts w:ascii="Times New Roman" w:cs="Times New Roman" w:eastAsia="Times New Roman" w:hAnsi="Times New Roman"/>
          <w:sz w:val="14"/>
          <w:szCs w:val="14"/>
          <w:color w:val="auto"/>
        </w:rPr>
        <w:t>Dr. Orford was not paid an annual discretionary cash bonus for fiscal year 2025 because his employment with the Company ended in April 2025.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1" w:name="page182"/>
    <w:bookmarkEnd w:id="18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Other Bonuses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In connection with Dr. Benzaghou’s commencement of employment, he was entitled to a one-time sign-on bonus equal to</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$100,000 multiplied by our 2025 corporate bonus multiplier, payable in a lump sum at the same time that 2025 annual discretionary</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cash bonuses are paid to other executives. Dr. Benzaghou received his sign-on bonus payment of $115,000 on March 6, 2026. Dr.</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Benzaghou’s sign-on bonus is subject to full repayment if he voluntarily terminates employment for any reason within 12 months</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following his start date. If Dr. Benzaghou voluntarily terminates his employment for any reason within months 13 to 24 following his</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start date, he is required to repay a monthly pro-rated portion of this sign-on bonus.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Equity-based Compensation</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w:t>
      </w:r>
    </w:p>
    <w:p>
      <w:pPr>
        <w:spacing w:after="0" w:line="141" w:lineRule="exact"/>
        <w:rPr>
          <w:sz w:val="20"/>
          <w:szCs w:val="20"/>
          <w:color w:val="auto"/>
        </w:rPr>
      </w:pPr>
    </w:p>
    <w:p>
      <w:pPr>
        <w:ind w:left="720" w:right="879" w:firstLine="343"/>
        <w:spacing w:after="0" w:line="267" w:lineRule="auto"/>
        <w:rPr>
          <w:sz w:val="20"/>
          <w:szCs w:val="20"/>
          <w:color w:val="auto"/>
        </w:rPr>
      </w:pPr>
      <w:r>
        <w:rPr>
          <w:rFonts w:ascii="Times New Roman" w:cs="Times New Roman" w:eastAsia="Times New Roman" w:hAnsi="Times New Roman"/>
          <w:sz w:val="14"/>
          <w:szCs w:val="14"/>
          <w:color w:val="auto"/>
        </w:rPr>
        <w:t>Accordingly, our board of directors or our compensation committee, as applicable, periodically reviews the equity incentive compensation of our NEOs and may grant equity incentive awards to them from time to time. See “—Outstanding Equity Awards at 2025 Fiscal Year-End” for more information regarding equity awards made to our NEOs.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Perquisites/Personal Benefits</w:t>
      </w:r>
    </w:p>
    <w:p>
      <w:pPr>
        <w:spacing w:after="0" w:line="93"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Perquisites or other personal benefits are not a significant component of our executive compensation program. Accordingly, we do not provide significant perquisites or other personal benefits to our executive officers, including our NEOs.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93"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We currently maintain a tax-qualified 401(k) retirement savings plan for our employees, including our NEOs, who satisfy certain eligibility requirements. Our NEOs are eligible to participate in the 401(k) plan on the same terms as other full-time employees. Our 401(k) plan is intended to qualify for favorable tax treatment under Section 401(a) of the Internal Revenue Code of 1986, as amended (the “Code”), and contains a cash or deferred feature that is intended to meet the requirements of Section 401(k) of the Code. We make matching contributions equal to 100% of employee deferrals of up to 4% of eligible compensation.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Compensation Recovery Policy</w:t>
      </w:r>
    </w:p>
    <w:p>
      <w:pPr>
        <w:spacing w:after="0" w:line="9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In accordance with the requirements of the SEC and Nasdaq Listing Rules, our board of directors plans to adopt a compensation recovery policy, which will become effective upon the date on which the registration statement of which this prospectus is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2" w:name="page183"/>
    <w:bookmarkEnd w:id="18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Outstanding Equity Awards at 2025 Fiscal Year-End</w:t>
      </w:r>
    </w:p>
    <w:p>
      <w:pPr>
        <w:spacing w:after="0" w:line="93"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provides information regarding the outstanding equity awards held by our NEOs as of December 31, 2025. All awards were granted pursuant to the 2016 Employee, Director and Consultant Incentive Plan, as amended from time to time (the “2016 Plan”). See “—Equity Incentive Plans—2016 Plan” below for additional information.</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jc w:val="center"/>
              <w:ind w:right="104"/>
              <w:spacing w:after="0" w:line="91" w:lineRule="exact"/>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w w:val="99"/>
              </w:rPr>
              <w:t>Plan Awards: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02"/>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42"/>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880" w:type="dxa"/>
            <w:vAlign w:val="bottom"/>
          </w:tcPr>
          <w:p>
            <w:pPr>
              <w:jc w:val="center"/>
              <w:ind w:right="82"/>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Vesting</w:t>
            </w:r>
          </w:p>
        </w:tc>
        <w:tc>
          <w:tcPr>
            <w:tcW w:w="100" w:type="dxa"/>
            <w:vAlign w:val="bottom"/>
          </w:tcPr>
          <w:p>
            <w:pPr>
              <w:spacing w:after="0"/>
              <w:rPr>
                <w:sz w:val="10"/>
                <w:szCs w:val="10"/>
                <w:color w:val="auto"/>
              </w:rPr>
            </w:pPr>
          </w:p>
        </w:tc>
        <w:tc>
          <w:tcPr>
            <w:tcW w:w="880" w:type="dxa"/>
            <w:vAlign w:val="bottom"/>
          </w:tcPr>
          <w:p>
            <w:pPr>
              <w:jc w:val="center"/>
              <w:ind w:right="122"/>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880" w:type="dxa"/>
            <w:vAlign w:val="bottom"/>
          </w:tcPr>
          <w:p>
            <w:pPr>
              <w:jc w:val="center"/>
              <w:ind w:right="102"/>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 w:type="dxa"/>
            <w:vAlign w:val="bottom"/>
          </w:tcPr>
          <w:p>
            <w:pPr>
              <w:spacing w:after="0"/>
              <w:rPr>
                <w:sz w:val="10"/>
                <w:szCs w:val="10"/>
                <w:color w:val="auto"/>
              </w:rPr>
            </w:pPr>
          </w:p>
        </w:tc>
        <w:tc>
          <w:tcPr>
            <w:tcW w:w="880" w:type="dxa"/>
            <w:vAlign w:val="bottom"/>
          </w:tcPr>
          <w:p>
            <w:pPr>
              <w:jc w:val="center"/>
              <w:ind w:right="124"/>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580" w:type="dxa"/>
            <w:vAlign w:val="bottom"/>
            <w:vMerge w:val="restart"/>
          </w:tcPr>
          <w:p>
            <w:pPr>
              <w:jc w:val="right"/>
              <w:ind w:right="61"/>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0" w:type="dxa"/>
            <w:vAlign w:val="bottom"/>
          </w:tcPr>
          <w:p>
            <w:pPr>
              <w:spacing w:after="0"/>
              <w:rPr>
                <w:sz w:val="10"/>
                <w:szCs w:val="10"/>
                <w:color w:val="auto"/>
              </w:rPr>
            </w:pPr>
          </w:p>
        </w:tc>
        <w:tc>
          <w:tcPr>
            <w:tcW w:w="680" w:type="dxa"/>
            <w:vAlign w:val="bottom"/>
            <w:vMerge w:val="restart"/>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Grant</w:t>
            </w: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42"/>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 w:type="dxa"/>
            <w:vAlign w:val="bottom"/>
          </w:tcPr>
          <w:p>
            <w:pPr>
              <w:spacing w:after="0"/>
              <w:rPr>
                <w:sz w:val="10"/>
                <w:szCs w:val="10"/>
                <w:color w:val="auto"/>
              </w:rPr>
            </w:pPr>
          </w:p>
        </w:tc>
        <w:tc>
          <w:tcPr>
            <w:tcW w:w="880" w:type="dxa"/>
            <w:vAlign w:val="bottom"/>
          </w:tcPr>
          <w:p>
            <w:pPr>
              <w:jc w:val="center"/>
              <w:ind w:right="82"/>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Commencement</w:t>
            </w:r>
          </w:p>
        </w:tc>
        <w:tc>
          <w:tcPr>
            <w:tcW w:w="100" w:type="dxa"/>
            <w:vAlign w:val="bottom"/>
          </w:tcPr>
          <w:p>
            <w:pPr>
              <w:spacing w:after="0"/>
              <w:rPr>
                <w:sz w:val="10"/>
                <w:szCs w:val="10"/>
                <w:color w:val="auto"/>
              </w:rPr>
            </w:pPr>
          </w:p>
        </w:tc>
        <w:tc>
          <w:tcPr>
            <w:tcW w:w="880" w:type="dxa"/>
            <w:vAlign w:val="bottom"/>
          </w:tcPr>
          <w:p>
            <w:pPr>
              <w:jc w:val="center"/>
              <w:ind w:right="122"/>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980" w:type="dxa"/>
            <w:vAlign w:val="bottom"/>
            <w:gridSpan w:val="2"/>
          </w:tcPr>
          <w:p>
            <w:pPr>
              <w:jc w:val="center"/>
              <w:ind w:right="2"/>
              <w:spacing w:after="0" w:line="116"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0"/>
                <w:szCs w:val="10"/>
                <w:color w:val="auto"/>
              </w:rPr>
            </w:pPr>
          </w:p>
        </w:tc>
        <w:tc>
          <w:tcPr>
            <w:tcW w:w="880" w:type="dxa"/>
            <w:vAlign w:val="bottom"/>
          </w:tcPr>
          <w:p>
            <w:pPr>
              <w:jc w:val="center"/>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100" w:type="dxa"/>
            <w:vAlign w:val="bottom"/>
          </w:tcPr>
          <w:p>
            <w:pPr>
              <w:spacing w:after="0"/>
              <w:rPr>
                <w:sz w:val="10"/>
                <w:szCs w:val="10"/>
                <w:color w:val="auto"/>
              </w:rPr>
            </w:pPr>
          </w:p>
        </w:tc>
        <w:tc>
          <w:tcPr>
            <w:tcW w:w="580" w:type="dxa"/>
            <w:vAlign w:val="bottom"/>
          </w:tcPr>
          <w:p>
            <w:pPr>
              <w:jc w:val="right"/>
              <w:ind w:right="21"/>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0" w:type="dxa"/>
            <w:vAlign w:val="bottom"/>
          </w:tcPr>
          <w:p>
            <w:pPr>
              <w:spacing w:after="0"/>
              <w:rPr>
                <w:sz w:val="10"/>
                <w:szCs w:val="10"/>
                <w:color w:val="auto"/>
              </w:rPr>
            </w:pPr>
          </w:p>
        </w:tc>
        <w:tc>
          <w:tcPr>
            <w:tcW w:w="680" w:type="dxa"/>
            <w:vAlign w:val="bottom"/>
          </w:tcPr>
          <w:p>
            <w:pPr>
              <w:jc w:val="center"/>
              <w:ind w:right="21"/>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35"/>
        </w:trPr>
        <w:tc>
          <w:tcPr>
            <w:tcW w:w="1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Date</w:t>
            </w:r>
          </w:p>
        </w:tc>
        <w:tc>
          <w:tcPr>
            <w:tcW w:w="80" w:type="dxa"/>
            <w:vAlign w:val="bottom"/>
          </w:tcPr>
          <w:p>
            <w:pPr>
              <w:spacing w:after="0"/>
              <w:rPr>
                <w:sz w:val="11"/>
                <w:szCs w:val="11"/>
                <w:color w:val="auto"/>
              </w:rPr>
            </w:pP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0" w:type="dxa"/>
            <w:vAlign w:val="bottom"/>
          </w:tcPr>
          <w:p>
            <w:pPr>
              <w:spacing w:after="0"/>
              <w:rPr>
                <w:sz w:val="11"/>
                <w:szCs w:val="11"/>
                <w:color w:val="auto"/>
              </w:rPr>
            </w:pPr>
          </w:p>
        </w:tc>
        <w:tc>
          <w:tcPr>
            <w:tcW w:w="880" w:type="dxa"/>
            <w:vAlign w:val="bottom"/>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100" w:type="dxa"/>
            <w:vAlign w:val="bottom"/>
          </w:tcPr>
          <w:p>
            <w:pPr>
              <w:spacing w:after="0"/>
              <w:rPr>
                <w:sz w:val="11"/>
                <w:szCs w:val="11"/>
                <w:color w:val="auto"/>
              </w:rPr>
            </w:pPr>
          </w:p>
        </w:tc>
        <w:tc>
          <w:tcPr>
            <w:tcW w:w="88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Unexercisable</w:t>
            </w:r>
          </w:p>
        </w:tc>
        <w:tc>
          <w:tcPr>
            <w:tcW w:w="100" w:type="dxa"/>
            <w:vAlign w:val="bottom"/>
          </w:tcPr>
          <w:p>
            <w:pPr>
              <w:spacing w:after="0"/>
              <w:rPr>
                <w:sz w:val="11"/>
                <w:szCs w:val="11"/>
                <w:color w:val="auto"/>
              </w:rPr>
            </w:pPr>
          </w:p>
        </w:tc>
        <w:tc>
          <w:tcPr>
            <w:tcW w:w="88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100" w:type="dxa"/>
            <w:vAlign w:val="bottom"/>
          </w:tcPr>
          <w:p>
            <w:pPr>
              <w:spacing w:after="0"/>
              <w:rPr>
                <w:sz w:val="11"/>
                <w:szCs w:val="11"/>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rPr>
              <w:t>Price ($)</w:t>
            </w:r>
          </w:p>
        </w:tc>
        <w:tc>
          <w:tcPr>
            <w:tcW w:w="80" w:type="dxa"/>
            <w:vAlign w:val="bottom"/>
          </w:tcPr>
          <w:p>
            <w:pPr>
              <w:spacing w:after="0"/>
              <w:rPr>
                <w:sz w:val="11"/>
                <w:szCs w:val="11"/>
                <w:color w:val="auto"/>
              </w:rPr>
            </w:pPr>
          </w:p>
        </w:tc>
        <w:tc>
          <w:tcPr>
            <w:tcW w:w="68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tcBorders>
              <w:top w:val="single" w:sz="8" w:color="auto"/>
            </w:tcBorders>
            <w:shd w:val="clear" w:color="auto" w:fill="CFF0FC"/>
          </w:tcPr>
          <w:p>
            <w:pPr>
              <w:spacing w:after="0" w:line="138" w:lineRule="exact"/>
              <w:rPr>
                <w:sz w:val="20"/>
                <w:szCs w:val="20"/>
                <w:color w:val="auto"/>
              </w:rPr>
            </w:pPr>
            <w:r>
              <w:rPr>
                <w:rFonts w:ascii="Times New Roman" w:cs="Times New Roman" w:eastAsia="Times New Roman" w:hAnsi="Times New Roman"/>
                <w:sz w:val="13"/>
                <w:szCs w:val="13"/>
                <w:color w:val="auto"/>
                <w:w w:val="98"/>
              </w:rPr>
              <w:t>Mathai Mammen, M.D. Ph.D.</w:t>
            </w:r>
          </w:p>
        </w:tc>
        <w:tc>
          <w:tcPr>
            <w:tcW w:w="8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4/21/2023</w:t>
            </w:r>
          </w:p>
        </w:tc>
        <w:tc>
          <w:tcPr>
            <w:tcW w:w="8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ind w:right="162"/>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ind w:right="122"/>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2"/>
                <w:szCs w:val="12"/>
                <w:color w:val="auto"/>
              </w:rPr>
              <w:t xml:space="preserve">645,578 </w:t>
            </w:r>
            <w:r>
              <w:rPr>
                <w:rFonts w:ascii="Times New Roman" w:cs="Times New Roman" w:eastAsia="Times New Roman" w:hAnsi="Times New Roman"/>
                <w:sz w:val="15"/>
                <w:szCs w:val="15"/>
                <w:color w:val="auto"/>
                <w:vertAlign w:val="superscript"/>
              </w:rPr>
              <w:t>(1)</w:t>
            </w:r>
          </w:p>
        </w:tc>
        <w:tc>
          <w:tcPr>
            <w:tcW w:w="1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ind w:right="21"/>
              <w:spacing w:after="0" w:line="138" w:lineRule="exact"/>
              <w:rPr>
                <w:sz w:val="20"/>
                <w:szCs w:val="20"/>
                <w:color w:val="auto"/>
              </w:rPr>
            </w:pPr>
            <w:r>
              <w:rPr>
                <w:rFonts w:ascii="Times New Roman" w:cs="Times New Roman" w:eastAsia="Times New Roman" w:hAnsi="Times New Roman"/>
                <w:sz w:val="13"/>
                <w:szCs w:val="13"/>
                <w:color w:val="auto"/>
              </w:rPr>
              <w:t>4/20/2033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4/21/2023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3/16/2023</w:t>
            </w:r>
          </w:p>
        </w:tc>
        <w:tc>
          <w:tcPr>
            <w:tcW w:w="980" w:type="dxa"/>
            <w:vAlign w:val="bottom"/>
            <w:gridSpan w:val="2"/>
            <w:shd w:val="clear" w:color="auto" w:fill="CFF0FC"/>
          </w:tcPr>
          <w:p>
            <w:pPr>
              <w:jc w:val="right"/>
              <w:ind w:right="42"/>
              <w:spacing w:after="0" w:line="158" w:lineRule="exact"/>
              <w:rPr>
                <w:sz w:val="20"/>
                <w:szCs w:val="20"/>
                <w:color w:val="auto"/>
              </w:rPr>
            </w:pPr>
            <w:r>
              <w:rPr>
                <w:rFonts w:ascii="Times New Roman" w:cs="Times New Roman" w:eastAsia="Times New Roman" w:hAnsi="Times New Roman"/>
                <w:sz w:val="13"/>
                <w:szCs w:val="13"/>
                <w:color w:val="auto"/>
              </w:rPr>
              <w:t>2,515,064</w:t>
            </w:r>
            <w:r>
              <w:rPr>
                <w:rFonts w:ascii="Times New Roman" w:cs="Times New Roman" w:eastAsia="Times New Roman" w:hAnsi="Times New Roman"/>
                <w:sz w:val="16"/>
                <w:szCs w:val="16"/>
                <w:color w:val="auto"/>
                <w:vertAlign w:val="superscript"/>
              </w:rPr>
              <w:t>(2)</w:t>
            </w:r>
          </w:p>
        </w:tc>
        <w:tc>
          <w:tcPr>
            <w:tcW w:w="9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3"/>
                <w:szCs w:val="13"/>
                <w:color w:val="auto"/>
              </w:rPr>
              <w:t>1,143,212</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7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4/20/2033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3/28/2024</w:t>
            </w:r>
          </w:p>
        </w:tc>
        <w:tc>
          <w:tcPr>
            <w:tcW w:w="980" w:type="dxa"/>
            <w:vAlign w:val="bottom"/>
            <w:gridSpan w:val="2"/>
            <w:shd w:val="clear" w:color="auto" w:fill="CFF0FC"/>
          </w:tcPr>
          <w:p>
            <w:pPr>
              <w:jc w:val="right"/>
              <w:ind w:right="42"/>
              <w:spacing w:after="0" w:line="158" w:lineRule="exact"/>
              <w:rPr>
                <w:sz w:val="20"/>
                <w:szCs w:val="20"/>
                <w:color w:val="auto"/>
              </w:rPr>
            </w:pPr>
            <w:r>
              <w:rPr>
                <w:rFonts w:ascii="Times New Roman" w:cs="Times New Roman" w:eastAsia="Times New Roman" w:hAnsi="Times New Roman"/>
                <w:sz w:val="13"/>
                <w:szCs w:val="13"/>
                <w:color w:val="auto"/>
              </w:rPr>
              <w:t>398,887</w:t>
            </w:r>
            <w:r>
              <w:rPr>
                <w:rFonts w:ascii="Times New Roman" w:cs="Times New Roman" w:eastAsia="Times New Roman" w:hAnsi="Times New Roman"/>
                <w:sz w:val="16"/>
                <w:szCs w:val="16"/>
                <w:color w:val="auto"/>
                <w:vertAlign w:val="superscript"/>
              </w:rPr>
              <w:t>(3)</w:t>
            </w:r>
          </w:p>
        </w:tc>
        <w:tc>
          <w:tcPr>
            <w:tcW w:w="9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3"/>
                <w:szCs w:val="13"/>
                <w:color w:val="auto"/>
              </w:rPr>
              <w:t>512,855</w:t>
            </w:r>
            <w:r>
              <w:rPr>
                <w:rFonts w:ascii="Times New Roman" w:cs="Times New Roman" w:eastAsia="Times New Roman" w:hAnsi="Times New Roman"/>
                <w:sz w:val="16"/>
                <w:szCs w:val="16"/>
                <w:color w:val="auto"/>
                <w:vertAlign w:val="superscript"/>
              </w:rPr>
              <w:t>(3)</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7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3/27/2034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3/28/2024</w:t>
            </w:r>
          </w:p>
        </w:tc>
        <w:tc>
          <w:tcPr>
            <w:tcW w:w="980" w:type="dxa"/>
            <w:vAlign w:val="bottom"/>
            <w:gridSpan w:val="2"/>
            <w:shd w:val="clear" w:color="auto" w:fill="CFF0FC"/>
          </w:tcPr>
          <w:p>
            <w:pPr>
              <w:jc w:val="right"/>
              <w:ind w:right="42"/>
              <w:spacing w:after="0" w:line="168" w:lineRule="exact"/>
              <w:rPr>
                <w:sz w:val="20"/>
                <w:szCs w:val="20"/>
                <w:color w:val="auto"/>
              </w:rPr>
            </w:pPr>
            <w:r>
              <w:rPr>
                <w:rFonts w:ascii="Times New Roman" w:cs="Times New Roman" w:eastAsia="Times New Roman" w:hAnsi="Times New Roman"/>
                <w:sz w:val="13"/>
                <w:szCs w:val="13"/>
                <w:color w:val="auto"/>
              </w:rPr>
              <w:t>397,862</w:t>
            </w:r>
            <w:r>
              <w:rPr>
                <w:rFonts w:ascii="Times New Roman" w:cs="Times New Roman" w:eastAsia="Times New Roman" w:hAnsi="Times New Roman"/>
                <w:sz w:val="16"/>
                <w:szCs w:val="16"/>
                <w:color w:val="auto"/>
                <w:vertAlign w:val="superscript"/>
              </w:rPr>
              <w:t>(4)</w:t>
            </w:r>
          </w:p>
        </w:tc>
        <w:tc>
          <w:tcPr>
            <w:tcW w:w="980" w:type="dxa"/>
            <w:vAlign w:val="bottom"/>
            <w:gridSpan w:val="2"/>
            <w:shd w:val="clear" w:color="auto" w:fill="CFF0FC"/>
          </w:tcPr>
          <w:p>
            <w:pPr>
              <w:jc w:val="right"/>
              <w:spacing w:after="0" w:line="168" w:lineRule="exact"/>
              <w:rPr>
                <w:sz w:val="20"/>
                <w:szCs w:val="20"/>
                <w:color w:val="auto"/>
              </w:rPr>
            </w:pPr>
            <w:r>
              <w:rPr>
                <w:rFonts w:ascii="Times New Roman" w:cs="Times New Roman" w:eastAsia="Times New Roman" w:hAnsi="Times New Roman"/>
                <w:sz w:val="13"/>
                <w:szCs w:val="13"/>
                <w:color w:val="auto"/>
              </w:rPr>
              <w:t>511,536</w:t>
            </w:r>
            <w:r>
              <w:rPr>
                <w:rFonts w:ascii="Times New Roman" w:cs="Times New Roman" w:eastAsia="Times New Roman" w:hAnsi="Times New Roman"/>
                <w:sz w:val="16"/>
                <w:szCs w:val="16"/>
                <w:color w:val="auto"/>
                <w:vertAlign w:val="superscript"/>
              </w:rPr>
              <w:t>(4)</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7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3/27/2034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Fawzi Benzaghou, M.D.</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9/2/2025</w:t>
            </w:r>
          </w:p>
        </w:tc>
        <w:tc>
          <w:tcPr>
            <w:tcW w:w="980" w:type="dxa"/>
            <w:vAlign w:val="bottom"/>
            <w:gridSpan w:val="2"/>
          </w:tcPr>
          <w:p>
            <w:pPr>
              <w:jc w:val="right"/>
              <w:ind w:right="702"/>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3"/>
                <w:szCs w:val="13"/>
                <w:color w:val="auto"/>
              </w:rPr>
              <w:t>550,000</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9/10/2035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Teresa Jurgensen, J.D.</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9/5/2024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8/1/2024</w:t>
            </w:r>
          </w:p>
        </w:tc>
        <w:tc>
          <w:tcPr>
            <w:tcW w:w="980" w:type="dxa"/>
            <w:vAlign w:val="bottom"/>
            <w:gridSpan w:val="2"/>
            <w:shd w:val="clear" w:color="auto" w:fill="CFF0FC"/>
          </w:tcPr>
          <w:p>
            <w:pPr>
              <w:jc w:val="right"/>
              <w:ind w:right="42"/>
              <w:spacing w:after="0" w:line="158" w:lineRule="exact"/>
              <w:rPr>
                <w:sz w:val="20"/>
                <w:szCs w:val="20"/>
                <w:color w:val="auto"/>
              </w:rPr>
            </w:pPr>
            <w:r>
              <w:rPr>
                <w:rFonts w:ascii="Times New Roman" w:cs="Times New Roman" w:eastAsia="Times New Roman" w:hAnsi="Times New Roman"/>
                <w:sz w:val="13"/>
                <w:szCs w:val="13"/>
                <w:color w:val="auto"/>
              </w:rPr>
              <w:t>110,000</w:t>
            </w:r>
            <w:r>
              <w:rPr>
                <w:rFonts w:ascii="Times New Roman" w:cs="Times New Roman" w:eastAsia="Times New Roman" w:hAnsi="Times New Roman"/>
                <w:sz w:val="16"/>
                <w:szCs w:val="16"/>
                <w:color w:val="auto"/>
                <w:vertAlign w:val="superscript"/>
              </w:rPr>
              <w:t>(2)</w:t>
            </w:r>
          </w:p>
        </w:tc>
        <w:tc>
          <w:tcPr>
            <w:tcW w:w="980" w:type="dxa"/>
            <w:vAlign w:val="bottom"/>
            <w:gridSpan w:val="2"/>
            <w:shd w:val="clear" w:color="auto" w:fill="CFF0FC"/>
          </w:tcPr>
          <w:p>
            <w:pPr>
              <w:jc w:val="right"/>
              <w:spacing w:after="0" w:line="158" w:lineRule="exact"/>
              <w:rPr>
                <w:sz w:val="20"/>
                <w:szCs w:val="20"/>
                <w:color w:val="auto"/>
              </w:rPr>
            </w:pPr>
            <w:r>
              <w:rPr>
                <w:rFonts w:ascii="Times New Roman" w:cs="Times New Roman" w:eastAsia="Times New Roman" w:hAnsi="Times New Roman"/>
                <w:sz w:val="13"/>
                <w:szCs w:val="13"/>
                <w:color w:val="auto"/>
              </w:rPr>
              <w:t>220,000</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7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3"/>
                <w:szCs w:val="13"/>
                <w:color w:val="auto"/>
              </w:rPr>
              <w:t>9/4/2034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Keith Orford, M.D., Ph.D. </w:t>
            </w:r>
            <w:r>
              <w:rPr>
                <w:rFonts w:ascii="Times New Roman" w:cs="Times New Roman" w:eastAsia="Times New Roman" w:hAnsi="Times New Roman"/>
                <w:sz w:val="16"/>
                <w:szCs w:val="16"/>
                <w:color w:val="auto"/>
                <w:vertAlign w:val="superscript"/>
              </w:rPr>
              <w:t>(5)</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80" w:type="dxa"/>
            <w:vAlign w:val="bottom"/>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060" w:right="779" w:hanging="340"/>
        <w:spacing w:after="0" w:line="254"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vests on the effective date of the sale and issuance of the Company’s capital stock in one or more related financings primarily for equity financing purposes in which an aggregate of at least $100,000,000 worth of capital stock is issued and sold by the Company at a price per share of at least $21.5262 per share or other financial transaction that generates equivalent value for the Company as determined by our board of directors, or other sufficient value for which vesting is deemed appropriate by our board of directors (a “Qualified Financing”), provided that Dr. Mammen remains employed by the Company as the Chief Executive Officer on the effective date of a such Qualified Financing; provided further that, in the event that a change in control (as defined in Dr. Mammen’s offer letter, further described below) occurs while he is employed by the Company as the Chief Executive Officer, all unvested shares shall vest in full on the date of consummation of such change in control. Dr. Mammen’s award is also subject to certain acceleration of vesting rights as set forth in his Amended Employment Agreement (as defined below) and the Severance Plan (as defined below), as described below.</w:t>
      </w:r>
    </w:p>
    <w:p>
      <w:pPr>
        <w:spacing w:after="0" w:line="62" w:lineRule="exact"/>
        <w:rPr>
          <w:rFonts w:ascii="Times New Roman" w:cs="Times New Roman" w:eastAsia="Times New Roman" w:hAnsi="Times New Roman"/>
          <w:sz w:val="14"/>
          <w:szCs w:val="14"/>
          <w:color w:val="auto"/>
        </w:rPr>
      </w:pPr>
    </w:p>
    <w:p>
      <w:pPr>
        <w:ind w:left="1060" w:right="859" w:hanging="340"/>
        <w:spacing w:after="0" w:line="261"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award vest as follows: 25% on the first anniversary of the Vesting Commencement Date, with the remainder vesting in 36 equal monthly installments over the following three years, subject to the applicable NEO’s continued service through the applicable vesting date. The award is also subject to certain acceleration of vesting rights as set forth in the applicable NEO’s Amended Employment Agreement and the Severance Plan, as described below.</w:t>
      </w:r>
    </w:p>
    <w:p>
      <w:pPr>
        <w:spacing w:after="0" w:line="56" w:lineRule="exact"/>
        <w:rPr>
          <w:rFonts w:ascii="Times New Roman" w:cs="Times New Roman" w:eastAsia="Times New Roman" w:hAnsi="Times New Roman"/>
          <w:sz w:val="14"/>
          <w:szCs w:val="14"/>
          <w:color w:val="auto"/>
        </w:rPr>
      </w:pPr>
    </w:p>
    <w:p>
      <w:pPr>
        <w:ind w:left="1060" w:right="779" w:hanging="340"/>
        <w:spacing w:after="0" w:line="261"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award vest in equal monthly installments over four years from the Vesting Commencement Date, subject to the applicable NEO’s continued service through the applicable vesting date. The award is also subject to certain acceleration of vesting rights as set forth in the applicable NEO’s Amended Employment Agreement and the Severance Plan, as described below.</w:t>
      </w:r>
    </w:p>
    <w:p>
      <w:pPr>
        <w:spacing w:after="0" w:line="56" w:lineRule="exact"/>
        <w:rPr>
          <w:rFonts w:ascii="Times New Roman" w:cs="Times New Roman" w:eastAsia="Times New Roman" w:hAnsi="Times New Roman"/>
          <w:sz w:val="14"/>
          <w:szCs w:val="14"/>
          <w:color w:val="auto"/>
        </w:rPr>
      </w:pPr>
    </w:p>
    <w:p>
      <w:pPr>
        <w:ind w:left="1060" w:right="739" w:hanging="340"/>
        <w:spacing w:after="0" w:line="257"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award are subject to both performance- and time-vesting conditions. The performance-vesting condition, which was met on January 22, 2025, required the Company to close the second tranche of its Series E preferred stock financing. After satisfaction of this condition, the award vests in equal monthly installments over four years from the Vesting Commencement Date, subject to Dr. Mammen’s continued service through the applicable vesting date. The award is also subject to certain acceleration of vesting rights as set forth in Dr. Mammen’s Amended Employment Agreement and the Severance Plan, as described below.</w:t>
      </w:r>
    </w:p>
    <w:p>
      <w:pPr>
        <w:spacing w:after="0" w:line="58" w:lineRule="exact"/>
        <w:rPr>
          <w:rFonts w:ascii="Times New Roman" w:cs="Times New Roman" w:eastAsia="Times New Roman" w:hAnsi="Times New Roman"/>
          <w:sz w:val="14"/>
          <w:szCs w:val="14"/>
          <w:color w:val="auto"/>
        </w:rPr>
      </w:pPr>
    </w:p>
    <w:p>
      <w:pPr>
        <w:ind w:left="1060" w:right="859" w:hanging="340"/>
        <w:spacing w:after="0" w:line="314"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unvested options held by Dr. Orford upon his termination of employment on April 11, 2025 were forfeited at such time for no consideration. All of Dr. Orford’s vested options subsequently expired on July 10, 2025 without being exercised.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3" w:name="page184"/>
    <w:bookmarkEnd w:id="18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Employment Arrangements in Place Prior to the Offering with our NEOs</w:t>
      </w:r>
    </w:p>
    <w:p>
      <w:pPr>
        <w:spacing w:after="0" w:line="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Mathai Mammen, M.D., Ph.D.</w:t>
      </w:r>
    </w:p>
    <w:p>
      <w:pPr>
        <w:spacing w:after="0" w:line="93"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On March 12, 2023, we entered into an employment agreement with Dr. Mammen (the “Mammen Offer Letter”), for the position of our President and Chief Executive Officer. The Mammen Offer Letter provides for Dr. Mammen’s at-will employment and sets forth his initial annual base salary, an initial target annual bonus opportunity, and an initial equity incentive award in the form of stock options.</w:t>
      </w:r>
    </w:p>
    <w:p>
      <w:pPr>
        <w:spacing w:after="0" w:line="141"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The Mammen Offer Letter provides for severance benefits upon a termination of Dr. Mammen’s employment by us without cause or his resignation for good reason (each, a “Qualifying Termination”), subject to Dr. Mammen’s execution and delivery of an irrevocable separation agreement, including a general release of claims in the Company’s favor, consisting of: (i) continuation of base salary for 12 months, payable in substantially equal installments over 12 months (or, in the event of a Qualifying Termination occurring on or within 12 months following a change in control (as defined in the Mammen Offer Letter), a lump sum payment equal to 1.5 times the sum of Dr. Mammen’s annual base salary plus target bonus); (ii) payment of COBRA premiums for up to 18 months following such termination, and if Dr. Mammen remains eligible for COBRA at the end of such 18-month period and he is still not eligible for health benefits under another employer’s group medical plan, he is entitled to an additional lump sum payment equal to six months of employer health insurance contributions the Company would have made if he had remained employed by the Company;</w:t>
      </w:r>
    </w:p>
    <w:p>
      <w:pPr>
        <w:spacing w:after="0" w:line="1" w:lineRule="exact"/>
        <w:rPr>
          <w:sz w:val="20"/>
          <w:szCs w:val="20"/>
          <w:color w:val="auto"/>
        </w:rPr>
      </w:pPr>
    </w:p>
    <w:p>
      <w:pPr>
        <w:ind w:left="720" w:right="759"/>
        <w:spacing w:after="0" w:line="251" w:lineRule="auto"/>
        <w:tabs>
          <w:tab w:leader="none" w:pos="96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months of accelerated vesting of outstanding time-based equity awards; and (iv) any earned but unpaid prior-year bonus and a pro rata bonus for the year of termination based on actual Company performance. In addition, the Mammen Offer Letter provides that, upon any termination of employment other than for cause, the post-termination exercise period for Dr. Mammen’s vested stock options will continue until the earlier of 24 months following termination or the original 10-year expiration date. The Mammen Offer Letter also provides that (i) all unvested shares subject to Dr. Mammen’s initial option grant and the option that would vest upon a Qualified Financing (as defined in the Mammen Offer Letter) will fully vest upon a change in control occurring within three months following a termination of Dr. Mammen’s employment without cause, and (ii) the options which would vest upon a Qualified Financing will fully vest in the event such Qualified Financing occurs within three months following a termination of Dr. Mammen’s employment without cause. Finally, in the event Dr. Mammen’s employment by the Company is terminated due to death or disability, he will be entitled to any unpaid bonus earned for the previous performance year and a prorated bonus for the year in which such termination occurs based on the Company’s actual performance with any individual performance goals deemed fully satisfied.</w:t>
      </w:r>
    </w:p>
    <w:p>
      <w:pPr>
        <w:spacing w:after="0" w:line="152"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 payments and benefits provided to Dr. Mammen in connection with a change in control may not be eligible for a federal income tax deduction for the company pursuant to Section 280G of the Code, and may subject Dr. Mammen to an excise tax under Section 4999 of the Code. If the payments or benefits payable to Dr. Mammen in connection with a change in control would be subject to the excise tax on golden parachutes imposed under Section 4999 of the Code, then those payments or benefits will be reduced if such reduction would result in a higher net after-tax benefit to Dr. Mammen.</w:t>
      </w: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Fawzi Benzaghou, M.D.</w:t>
      </w:r>
    </w:p>
    <w:p>
      <w:pPr>
        <w:spacing w:after="0" w:line="9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On July 7, 2025, we entered into an employment agreement with Dr. Benzaghou (the “Benzaghou Offer Letter”), for our position of our Chief Medical Officer. The Benzaghou Offer Letter provides for Dr. Benzaghou’s at will employment and sets forth his initial annual base salary, an initial target annual bonus opportunity, and an initial equity incentive award in the form of stock options. In addition, we entered into a sign-on bonus agreement in connection with Dr. Benzaghou’s commencement of employment, dated as of July 7, 2025, that provides a one-time sign-on bonus equal to $100,000, multiplied by our 2025 corporate bonus multiplier and payable in a lump-sum at the same time that 2025 annual discretionary cash bonuses are paid to other executives. Dr. Benzaghou received his sign-on bonus payment of $115,000 on March 6, 2026. The sign-on bonus is subject to full repayment if Dr. Benzaghou voluntarily terminates employment for any reason within 12 months following his start date. If Dr. Benzaghou voluntarily terminates his employment for any reason within months 13 to 24 following his start date, he is required to repay a monthly pro-rated portion of this sign-on bonus.</w:t>
      </w:r>
    </w:p>
    <w:p>
      <w:pPr>
        <w:spacing w:after="0" w:line="146"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The Benzaghou Offer Letter provides for severance benefits upon a termination of Dr. Benzaghou’s employment by us without cause or his resignation for good reason, subject to his execution of a separation agreement and general release of claims in a form satisfactory to the Company, consisting of: (i) continuation of base salary for 12 months, paid in accordance with the Company’s customary payroll practices and (ii) payment of the portion of COBRA premiums equal to the employer portion of premiums the Company pays for coverage of active and similarly situated employees who receive the same type of coverage for up to 12 months, subject to earlier cessation upon his eligibility for other substantially equivalent health coverage in connection with new employment or self-employment. In addition, the Benzaghou Offer Letter provides for full acceleration of vesting of the unvested portion of his initial equity incentive award in the event of a termination by the Company without cause or by Dr. Benzaghou for good reason, in each case occurring on or within 12 months following a change in control.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4" w:name="page185"/>
    <w:bookmarkEnd w:id="18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Teresa Jurgensen, J.D.</w:t>
      </w:r>
    </w:p>
    <w:p>
      <w:pPr>
        <w:spacing w:after="0" w:line="93"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On June 11, 2024, we entered into an employment agreement with Ms. Jurgensen (the “Jurgensen Offer Letter”). The Jurgensen Offer Letter provides for Ms. Jurgensen’s at-will employment and sets forth her initial annual base salary, an initial target annual bonus opportunity, and an initial equity incentive award in the form of stock options.</w:t>
      </w:r>
    </w:p>
    <w:p>
      <w:pPr>
        <w:spacing w:after="0" w:line="136"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The Jurgensen Offer Letter provides for severance benefits upon a termination of Ms. Jurgensen’s employment by us without cause or her resignation for good reason, subject to her execution of a separation agreement and general release of claims in a form satisfactory to the Company, consisting of: (i) continuation of base salary for 12 months, paid in accordance with the Company’s customary payroll practices; (ii) payment of the portion of COBRA premiums equal to the employer portion of premiums the Company pays for coverage of active and similarly situated employees who receive the same type of coverage for up to 12 months, subject to earlier cessation upon her eligibility for other substantially equivalent health coverage in connection with new employment or self-employment; and (iii) any earned but unpaid prior-year bonus and the target bonus for the year of termination prorated to the period of full-time service provide to the Company in the year of termination, with such bonus payments to be paid on the first date of payment of the severance base salary described in (i) of this sentence. In addition, the Jurgensen Offer Letter provides for full acceleration of vesting of the unvested portion of time-vesting options held by Ms. Jurgensen in the event of a termination by the Company without cause or by Ms. Jurgensen for good reason, in each case occurring on or within 12 months following a change in control.</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Keith Orford, M.D., Ph.D.</w:t>
      </w:r>
    </w:p>
    <w:p>
      <w:pPr>
        <w:spacing w:after="0" w:line="93"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On June 2, 2021, we entered into an offer letter with Dr. Orford, which was superseded by a new offer letter entered into on March 28, 2024 (the “2024 Orford Offer Letter”). The 2024 Orford Offer Letter provides for Dr. Orford’s at will employment and sets forth his then-current annual base salary, then-current target annual bonus opportunity, and eligibility for equity incentive awards in the form of stock options.</w:t>
      </w:r>
    </w:p>
    <w:p>
      <w:pPr>
        <w:spacing w:after="0" w:line="141"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The 2024 Orford Offer Letter provides for severance benefits upon a termination of Dr. Orford’s employment by us without cause or his resignation for good reason, subject to his execution of a separation agreement and general release of claims in a form satisfactory to the Company, consisting of: (i) continuation of base salary for 12 months, paid in accordance with the Company’s customary payroll practices; (ii) payment of the portion of COBRA premiums equal to the employer portion of premiums the Company pays for coverage of active and similarly situated employees who receive the same type of coverage for up to 12 months, subject to earlier cessation upon his eligibility for other substantially equivalent health coverage in connection with new employment or self-employment; and (iii) any earned but unpaid prior-year bonus and the target bonus for the year of termination prorated to the period of full-time service provide to the Company in the year of termination, with such bonus payments to be paid on the first date of payment of the severance base salary described in (i) of this sentence. In addition, the 2024 Orford Offer Letter provides for full acceleration of vesting of the unvested portion of time-vesting options held by Dr. Orford in the event of a termination by the Company without cause or by Dr. Orford for good reason, in each case occurring on or within 12 months following a change in control.</w:t>
      </w:r>
    </w:p>
    <w:p>
      <w:pPr>
        <w:spacing w:after="0" w:line="150" w:lineRule="exact"/>
        <w:rPr>
          <w:sz w:val="20"/>
          <w:szCs w:val="20"/>
          <w:color w:val="auto"/>
        </w:rPr>
      </w:pPr>
    </w:p>
    <w:p>
      <w:pPr>
        <w:ind w:left="720" w:right="739" w:firstLine="343"/>
        <w:spacing w:after="0" w:line="272" w:lineRule="auto"/>
        <w:rPr>
          <w:sz w:val="20"/>
          <w:szCs w:val="20"/>
          <w:color w:val="auto"/>
        </w:rPr>
      </w:pPr>
      <w:r>
        <w:rPr>
          <w:rFonts w:ascii="Times New Roman" w:cs="Times New Roman" w:eastAsia="Times New Roman" w:hAnsi="Times New Roman"/>
          <w:sz w:val="13"/>
          <w:szCs w:val="13"/>
          <w:color w:val="auto"/>
        </w:rPr>
        <w:t>On February 26, 2025, we entered into a separation and release agreement with Dr. Orford in connection with his departure from the Company in his role as Chief Medical Officer (the “Orford Separation Agreement”). Pursuant to the Orford Separation Agreement, Dr. Orford received (i) 12 months of his base salary to be paid in substantially equal installments in accordance with our payroll practice over 12 months, (ii) subject to Dr. Orford’s copayment of premium amounts at the applicable active employees’ rate and proper election to continue COBRA health coverage, payment of the portion of the premium equal to the amount that the Company would have paid to provide health insurance to Dr. Orford had he remained employed with the Company until the earliest of: (x) the first anniversary of the date of termination; (y) Dr. Orford’s eligibility for group medical plan benefits under any other employer’s group medical plan or otherwise through other employment; or (z) the cessation of Dr. Orford’s continuation coverage rights under COBRA; and (iii) a payment in an amount equal to Dr. Orford’s target bonus for 2025, prorated based upon his date of termination and his earned, but not yet paid, 2024 target bonus, which will be payable on the date the of the first severance payment described above. In addition, the Orford Separation Agreement provides that Dr. Orford’s unvested equity awards granted on December 19,</w:t>
      </w:r>
    </w:p>
    <w:p>
      <w:pPr>
        <w:spacing w:after="0" w:line="1" w:lineRule="exact"/>
        <w:rPr>
          <w:sz w:val="20"/>
          <w:szCs w:val="20"/>
          <w:color w:val="auto"/>
        </w:rPr>
      </w:pPr>
    </w:p>
    <w:p>
      <w:pPr>
        <w:jc w:val="both"/>
        <w:ind w:left="720" w:right="879"/>
        <w:spacing w:after="0" w:line="256" w:lineRule="auto"/>
        <w:rPr>
          <w:sz w:val="20"/>
          <w:szCs w:val="20"/>
          <w:color w:val="auto"/>
        </w:rPr>
      </w:pPr>
      <w:r>
        <w:rPr>
          <w:rFonts w:ascii="Times New Roman" w:cs="Times New Roman" w:eastAsia="Times New Roman" w:hAnsi="Times New Roman"/>
          <w:sz w:val="14"/>
          <w:szCs w:val="14"/>
          <w:color w:val="auto"/>
        </w:rPr>
        <w:t>2021 shall accelerate in vesting and become vested as of the later of (x) of Dr. Orford’s date of termination and (y) the effective date of the Orford Separation Agreement. The Orford Separation Agreement also contains a reaffirmation of Dr. Orford’s confidentiality and nonsolicitation obligations to the Company and a general release of claims by Dr. Orford.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5" w:name="page186"/>
    <w:bookmarkEnd w:id="18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Amended and Restated Employment Agreements</w:t>
      </w:r>
    </w:p>
    <w:p>
      <w:pPr>
        <w:spacing w:after="0" w:line="93"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We will enter into new employment agreements with Dr. Mammen, Dr. Benzaghou, and Ms. Jurgensen, effective as of and subject to the closing of this offering, (each, an “Amended Employment Agreement,” and collectively, the “Amended Employment Agreements”). The Amended Employment Agreements will supersede, in all respects, all prior employment arrangements and offer letters between each of Dr. Mammen, Dr. Benzaghou, and Ms. Jurgensen and the Company.</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Under the Amended Employment Agreements, each of Dr. Mammen, Dr. Benzaghou, and Ms. Jurgensen will continue to serve in their respective roles on an at-will basis. The Amended Employment Agreements will provide for each of Dr. Mammen, Dr. Benzaghou, and Ms. Jurgensen’s base salary, target annual bonus eligibility, and continued compliance with their applicable restrictive covenants agreements. In addition, though each such NEO will be eligible to participate in our Executive Severance Plan, as further described below, such NEO’s existing severance benefits, as described above in the applicable prior offer letters, will also continue to apply.</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Plan</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has adopted an Executive Severance Plan (the “Severance Plan”), subject to the effectiveness of this offering, in which our NEOs, and certain other executives, will participate. The benefits provided in the Severance Plan will not replace any severance arrangements for which our NEOs may be eligible under their Amended Employment Agreements or prior offer letters.</w:t>
      </w:r>
    </w:p>
    <w:p>
      <w:pPr>
        <w:spacing w:after="0" w:line="141" w:lineRule="exact"/>
        <w:rPr>
          <w:sz w:val="20"/>
          <w:szCs w:val="20"/>
          <w:color w:val="auto"/>
        </w:rPr>
      </w:pPr>
    </w:p>
    <w:p>
      <w:pPr>
        <w:ind w:left="720" w:right="739" w:firstLine="343"/>
        <w:spacing w:after="0" w:line="252" w:lineRule="auto"/>
        <w:rPr>
          <w:sz w:val="20"/>
          <w:szCs w:val="20"/>
          <w:color w:val="auto"/>
        </w:rPr>
      </w:pPr>
      <w:r>
        <w:rPr>
          <w:rFonts w:ascii="Times New Roman" w:cs="Times New Roman" w:eastAsia="Times New Roman" w:hAnsi="Times New Roman"/>
          <w:sz w:val="14"/>
          <w:szCs w:val="14"/>
          <w:color w:val="auto"/>
        </w:rPr>
        <w:t>The Severance Plan will provide that upon a termination by us for any reason other than for “cause,” as defined in the Severance Plan, death or “disability,” as defined in the Severance Plan, or resignation for “good reason”, as defined in the Severance Plan, in each case outside of the change in control period (i.e., the period beginning three months before and ending one year after a “change in control,” as defined in the Severance Plan), an eligible participant will be entitled to receive, subject to the execution and delivery of an effective release of claims in favor of the Company and continued compliance with all applicable restrictive covenants, (i) 12 months of “base salary” (i.e., the annual base salary in effect immediately prior to the date of termination unless the eligible participant has resigned for good reason following a material diminution of the eligible participant’s annual base salary, in which case the “base salary” shall mean the annual base salary immediately prior to such diminution) for our Chief Executive Officer, nine months for Tier 2 executives (which is determined by the plan administrator and includes the NEOs other than the Chief Executive Officer) and six months for Tier 3 executives (which is determined by the plan administrator) and (ii) an amount equal to the monthly employer contribution, based on the premiums as of the date of termination, that we would have made to provide health insurance for the eligible participant if he or she had remained employed by us until the earlier of (x) 12 months for our Chief Executive Officer, nine months for Tier 2 executives and six months for Tier 3 executives, (y) the date that the eligible participant becomes eligible for group medical plan benefits under any other employer’s group medical plan, or (z) the cessation of the eligible participant’s health continuation rights under COBRA. The payments under (i) and (ii) will be paid in substantially equal installments in accordance with our payroll practice over 12 months for our Chief Executive Officer, nine months for Tier 2 executives and six months for Tier 3 executives.</w:t>
      </w:r>
    </w:p>
    <w:p>
      <w:pPr>
        <w:spacing w:after="0" w:line="154"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The Severance Plan will also provide that upon a (A) termination by us other than for cause, death or disability or (B) resignation for good reason, in each case within the change in control period, an eligible participant will be entitled to receive, in lieu of the payments and benefits above and subject to the execution and delivery of an effective release of claims in favor of the Company and continued compliance with all applicable restrictive covenants, (I) a lump sum amount equal to 18 months of the base salary and 1.5x of the “target bonus” (i.e., the higher of the target annual bonus in effect immediately prior to the date of termination or the target annual bonus in effect immediately prior to the change in control) for our Chief Executive Officer, 12 months of the base salary and 1.0x of the target bonus for our Tier 2 executives and nine months of the base salary and 0.75x target bonus for our Tier 3 executives,</w:t>
      </w:r>
    </w:p>
    <w:p>
      <w:pPr>
        <w:spacing w:after="0" w:line="4" w:lineRule="exact"/>
        <w:rPr>
          <w:sz w:val="20"/>
          <w:szCs w:val="20"/>
          <w:color w:val="auto"/>
        </w:rPr>
      </w:pPr>
    </w:p>
    <w:p>
      <w:pPr>
        <w:ind w:left="720" w:right="739"/>
        <w:spacing w:after="0" w:line="250" w:lineRule="auto"/>
        <w:tabs>
          <w:tab w:leader="none" w:pos="94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monthly cash payment in an amount equal to the monthly employer contribution, based on the premiums as of the date of termination, that we would have made to provide health insurance for the eligible participant if he or she had remained employed by us until (x) 18 months for our Chief Executive Officer, 12 months for our Tier 2 executives and 9 months for our Tier 3 executives, (y) the date that the eligible participant becomes eligible for group medical plan benefits under any other employer’s group medical plan, or (z) the cessation of the eligible participant’s health continuation rights under the Consolidated Omnibus Budget</w:t>
      </w:r>
    </w:p>
    <w:p>
      <w:pPr>
        <w:spacing w:after="0" w:line="2" w:lineRule="exact"/>
        <w:rPr>
          <w:rFonts w:ascii="Times New Roman" w:cs="Times New Roman" w:eastAsia="Times New Roman" w:hAnsi="Times New Roman"/>
          <w:sz w:val="14"/>
          <w:szCs w:val="14"/>
          <w:color w:val="auto"/>
        </w:rPr>
      </w:pPr>
    </w:p>
    <w:p>
      <w:pPr>
        <w:ind w:left="720" w:right="8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Act of 1985 (“COBRA”), and (III) for all outstanding and unvested equity awards of the Company that are subject to time-based vesting held by the participant, full accelerated vesting of such awards; provided, that the performance conditions applicable to any outstanding and unvested equity awards subject to performance-based vesting will be subject to the terms of the applicable award agreement.</w:t>
      </w:r>
    </w:p>
    <w:p>
      <w:pPr>
        <w:spacing w:after="0" w:line="145" w:lineRule="exact"/>
        <w:rPr>
          <w:sz w:val="20"/>
          <w:szCs w:val="20"/>
          <w:color w:val="auto"/>
        </w:rPr>
      </w:pPr>
    </w:p>
    <w:p>
      <w:pPr>
        <w:jc w:val="both"/>
        <w:ind w:left="720" w:right="879" w:firstLine="343"/>
        <w:spacing w:after="0" w:line="296" w:lineRule="auto"/>
        <w:rPr>
          <w:sz w:val="20"/>
          <w:szCs w:val="20"/>
          <w:color w:val="auto"/>
        </w:rPr>
      </w:pPr>
      <w:r>
        <w:rPr>
          <w:rFonts w:ascii="Times New Roman" w:cs="Times New Roman" w:eastAsia="Times New Roman" w:hAnsi="Times New Roman"/>
          <w:sz w:val="13"/>
          <w:szCs w:val="13"/>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the NEOs, to an excise tax under Section 4999 of the Code. If the payments or benefits payable in connection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6" w:name="page187"/>
    <w:bookmarkEnd w:id="18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59"/>
        <w:spacing w:after="0" w:line="283" w:lineRule="auto"/>
        <w:rPr>
          <w:sz w:val="20"/>
          <w:szCs w:val="20"/>
          <w:color w:val="auto"/>
        </w:rPr>
      </w:pPr>
      <w:r>
        <w:rPr>
          <w:rFonts w:ascii="Times New Roman" w:cs="Times New Roman" w:eastAsia="Times New Roman" w:hAnsi="Times New Roman"/>
          <w:sz w:val="14"/>
          <w:szCs w:val="14"/>
          <w:color w:val="auto"/>
        </w:rPr>
        <w:t>with a change in control would be subject to the excise tax imposed under Section 4999 of the Code, then those payments or benefits will be reduced if such reduction would result in a higher net after-tax benefit to the participant.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Equity Incentive Plans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2016 Employee, Director and Consultant Incentive Plan</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Our 2016 Plan, as amended, was originally adopted by our board of directors and approved by our stockholders on May 25,</w:t>
      </w:r>
    </w:p>
    <w:p>
      <w:pPr>
        <w:spacing w:after="0" w:line="22" w:lineRule="exact"/>
        <w:rPr>
          <w:sz w:val="20"/>
          <w:szCs w:val="20"/>
          <w:color w:val="auto"/>
        </w:rPr>
      </w:pPr>
    </w:p>
    <w:p>
      <w:pPr>
        <w:ind w:left="720" w:right="759"/>
        <w:spacing w:after="0" w:line="253" w:lineRule="auto"/>
        <w:rPr>
          <w:sz w:val="20"/>
          <w:szCs w:val="20"/>
          <w:color w:val="auto"/>
        </w:rPr>
      </w:pPr>
      <w:r>
        <w:rPr>
          <w:rFonts w:ascii="Times New Roman" w:cs="Times New Roman" w:eastAsia="Times New Roman" w:hAnsi="Times New Roman"/>
          <w:sz w:val="14"/>
          <w:szCs w:val="14"/>
          <w:color w:val="auto"/>
        </w:rPr>
        <w:t>2016 to enable the issuance of stock options, stock grants, and other stock-based awards to our employees, directors, and consultants. As of March 31, 2026, options to purchase 13,578,012 shares of our common stock were outstanding under the 2016 Plan. Our board of directors determined not to make any further awards under the 2016 Plan following the adoption of the January 2026 Plan (as described below), but all outstanding awards under the 2016 Plan will continue to be governed by the 2016 Plan. The following summary describes the material terms of the 2016 Plan. This summary is not a complete description of all provisions of the 2016 Plan.</w:t>
      </w:r>
    </w:p>
    <w:p>
      <w:pPr>
        <w:spacing w:after="0" w:line="146"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Under the terms of the January 2026 Plan, if an award under the 2016 Plan is forfeited, canceled, reacquired by the Company prior to vesting, satisfied without the issuance of stock or otherwise terminated (other than by exercise), the unissued or reacquired shares that were subject to such award and any shares that were withheld upon exercise of an option or settlement of an award to cover the exercise price or tax withholding will become available for issuance under the January 2026 Plan.</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The 2016 Plan provided for the grant of both incentive stock options (“ISOs”) and non-qualified stock options to purchase shares of our common stock at a stated exercise price. The 2016 Plan required the exercise price of non-qualified stock options granted under the 2016 Plan to be at least equal to the fair market value of our common stock on the date of grant. For ISOs, the exercise price was required to be at least 100% of fair market value (or 110% for participants owning more than 10% of the total combined voting power of all classes of our stock) on the date of grant. The maximum term of options granted under the 2016 Plan is ten years (or five years for ISOs granted to participants owning more than 10% of the total combined voting power of all classes of our stock).</w:t>
      </w:r>
    </w:p>
    <w:p>
      <w:pPr>
        <w:spacing w:after="0" w:line="143" w:lineRule="exact"/>
        <w:rPr>
          <w:sz w:val="20"/>
          <w:szCs w:val="20"/>
          <w:color w:val="auto"/>
        </w:rPr>
      </w:pPr>
    </w:p>
    <w:p>
      <w:pPr>
        <w:ind w:left="720" w:right="999" w:firstLine="343"/>
        <w:spacing w:after="0" w:line="258" w:lineRule="auto"/>
        <w:rPr>
          <w:sz w:val="20"/>
          <w:szCs w:val="20"/>
          <w:color w:val="auto"/>
        </w:rPr>
      </w:pPr>
      <w:r>
        <w:rPr>
          <w:rFonts w:ascii="Times New Roman" w:cs="Times New Roman" w:eastAsia="Times New Roman" w:hAnsi="Times New Roman"/>
          <w:sz w:val="14"/>
          <w:szCs w:val="14"/>
          <w:color w:val="auto"/>
        </w:rPr>
        <w:t>The 2016 Plan provided for the grant of stock-based grants and stock awards. The purchase price per share, if any, of shares covered by a stock grant was required to be determined by the plan administrator but could not be less than the minimum consideration required by the DGCL. The plan administrator also had the right to grant other stock-based awards based upon our common stock, including the grant of shares based upon certain conditions, securities convertible into shares, stock appreciation rights, phantom stock awards or stock units, on such terms and conditions as the plan administrator determined.</w:t>
      </w:r>
    </w:p>
    <w:p>
      <w:pPr>
        <w:spacing w:after="0" w:line="144"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If we are to be consolidated with or acquired by another entity in a merger, consolidation, or sale of all or substantially all of our assets (a “Corporate Transaction”), the plan administrator or the board of directors of any successor entity may, with respect to outstanding options, either (i) make appropriate provision for the continuation of such options by substituting equivalent consideration, (ii) upon written notice to participants, provide that such options must be exercised within a specified period, at the end of which period such options will terminate, or (iii) terminate such options in exchange for a cash payment equal to the consideration payable in the Corporate Transaction less the aggregate exercise price. With respect to outstanding stock grants, the plan administrator or the successor board will make appropriate provision for the continuation of such stock grants or, in lieu thereof, may terminate each outstanding stock grant in exchange for a cash payment equal to the consideration payable in the Corporate Transaction.</w:t>
      </w:r>
    </w:p>
    <w:p>
      <w:pPr>
        <w:spacing w:after="0" w:line="145"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In the event that shares of our common stock are subdivided or combined into a greater or smaller number of shares, or if we issue any shares of common stock as a stock dividend on our outstanding common stock, or if additional shares or new or different shares or other securities or other non-cash assets are distributed with respect to such shares, each stock right and the number of shares deliverable thereunder will be appropriately increased or decreased proportionately, and appropriate adjustments will be made to the exercise or purchase price per share, to reflect such events.</w:t>
      </w:r>
    </w:p>
    <w:p>
      <w:pPr>
        <w:spacing w:after="0" w:line="144"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Unless otherwise approved by the plan administrator and set forth in the applicable agreement, 2016 Plan stock rights generally may not be transferred by a participant other than by will or by the laws of descent and distribution, and no stock right may be transferred by a participant for value. During a participant’s lifetime, a stock right may only be exercised by or issued to such participant (or his or her legal representative) and may not be assigned, pledged or hypothecated in any way or be subject to execution, attachment or similar process.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2026 Stock Option and Grant Plan</w:t>
      </w:r>
    </w:p>
    <w:p>
      <w:pPr>
        <w:spacing w:after="0" w:line="93" w:lineRule="exact"/>
        <w:rPr>
          <w:sz w:val="20"/>
          <w:szCs w:val="20"/>
          <w:color w:val="auto"/>
        </w:rPr>
      </w:pPr>
    </w:p>
    <w:p>
      <w:pPr>
        <w:ind w:left="720" w:right="799" w:firstLine="343"/>
        <w:spacing w:after="0" w:line="296" w:lineRule="auto"/>
        <w:rPr>
          <w:sz w:val="20"/>
          <w:szCs w:val="20"/>
          <w:color w:val="auto"/>
        </w:rPr>
      </w:pPr>
      <w:r>
        <w:rPr>
          <w:rFonts w:ascii="Times New Roman" w:cs="Times New Roman" w:eastAsia="Times New Roman" w:hAnsi="Times New Roman"/>
          <w:sz w:val="13"/>
          <w:szCs w:val="13"/>
          <w:color w:val="auto"/>
        </w:rPr>
        <w:t>Our 2026 Stock Option and Grant Plan (the “January 2026 Plan”) was adopted by our board of directors and approved by our stockholders on January 6, 2026 to enable the issuance of stock options, restricted stock awards, stock grants, and restricted stock unit awards to our officers, employees, directors, consultants, and other key persons. As of March 31, 2026, options to purchase 9,212,497</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7" w:name="page188"/>
    <w:bookmarkEnd w:id="18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39"/>
        <w:spacing w:after="0" w:line="283" w:lineRule="auto"/>
        <w:rPr>
          <w:sz w:val="20"/>
          <w:szCs w:val="20"/>
          <w:color w:val="auto"/>
        </w:rPr>
      </w:pPr>
      <w:r>
        <w:rPr>
          <w:rFonts w:ascii="Times New Roman" w:cs="Times New Roman" w:eastAsia="Times New Roman" w:hAnsi="Times New Roman"/>
          <w:sz w:val="14"/>
          <w:szCs w:val="14"/>
          <w:color w:val="auto"/>
        </w:rPr>
        <w:t>shares of our common stock were outstanding under the January 2026 Plan. A summary of the material terms of the January 2026 Plan follows below.</w:t>
      </w:r>
    </w:p>
    <w:p>
      <w:pPr>
        <w:spacing w:after="0" w:line="125"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January 2026 Plan authorizes the award of equity-based awards, including: (i) stock options (both ISOs and nonqualified stock options), (ii) restricted stock awards (“RSAs”), (iii) unrestricted stock grants, and (iv) restricted stock units (“RSUs”). ISOs may be granted only to employees. All other types of awards may be issued to employees, directors, consultants and other service providers. No awards may be granted under the January 2026 Plan after the date that is ten years from the effective date of the January 2026 Plan.</w:t>
      </w:r>
    </w:p>
    <w:p>
      <w:pPr>
        <w:spacing w:after="0" w:line="144" w:lineRule="exact"/>
        <w:rPr>
          <w:sz w:val="20"/>
          <w:szCs w:val="20"/>
          <w:color w:val="auto"/>
        </w:rPr>
      </w:pPr>
    </w:p>
    <w:p>
      <w:pPr>
        <w:ind w:left="720" w:right="939" w:firstLine="343"/>
        <w:spacing w:after="0" w:line="261" w:lineRule="auto"/>
        <w:rPr>
          <w:sz w:val="20"/>
          <w:szCs w:val="20"/>
          <w:color w:val="auto"/>
        </w:rPr>
      </w:pPr>
      <w:r>
        <w:rPr>
          <w:rFonts w:ascii="Times New Roman" w:cs="Times New Roman" w:eastAsia="Times New Roman" w:hAnsi="Times New Roman"/>
          <w:sz w:val="14"/>
          <w:szCs w:val="14"/>
          <w:color w:val="auto"/>
        </w:rPr>
        <w:t>We reserved 13,655,004 shares of our common stock for issuance under our January 2026 Plan. No more than 136,550,040 shares of our common stock may be issued under the January 2026 Plan through ISOs. Shares of our common stock issued by us through the assumption or substitution of awards in connection with a future acquisition of another entity will not reduce the shares available for issuance under the January 2026 Plan.</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Our board of directors has acted as administrator of the January 2026 Plan. The administrator has full power to, among other things, select, from among the individuals eligible for awards, the individuals to whom awards will be granted, to make any combination of awards to participants, to accelerate at any time the exercisability or vesting of any award and to determine the specific terms and conditions of each award, subject to the provisions of the January 2026 Plan. Persons eligible to participate in the January 2026 Plan are those full or part-time officers, employees, non-employee directors, consultants and key persons as selected from time to time by the administrator in its discretion.</w:t>
      </w:r>
    </w:p>
    <w:p>
      <w:pPr>
        <w:spacing w:after="0" w:line="14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The January 2026 Plan permits the granting of both options to purchase common stock intended to qualify as ISOs under Section 422 of the Code and options that do not so qualify. The option exercise price of each option will be determined by the administrator but may not be less than 100% of the fair market value of our common stock on the date of grant, or in the case of an ISO granted to an employee who holds more than 10% of the combined voting power of all classes of our stock (a “10% owner”), the exercise price shall not be less than 110% of the fair market value of our common stock on the date of grant. The term of each option will be fixed by the January 2026 Plan administrator and may not exceed ten years from the date of grant, or five years from the date of grant in the case of an ISO granted to a 10% owner. The January 2026 Plan administrator will determine at what time or times each option may be exercised.</w:t>
      </w:r>
    </w:p>
    <w:p>
      <w:pPr>
        <w:spacing w:after="0" w:line="145"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An RSA is an issuance of shares of our common stock subject to forfeiture restrictions that lapse based on the satisfaction of service and/or performance conditions. The price, if any, of each share subject to an RSA will be determined by the January 2026 Plan administrator. During the vesting period, a participant will have the right to vote and receive any dividends with respect to restricted stock. RSUs represent the right to receive shares of our common stock (or cash equal to the value of such shares) at a specified time in the future, following the satisfaction of specified service and/or performance conditions.</w:t>
      </w:r>
    </w:p>
    <w:p>
      <w:pPr>
        <w:spacing w:after="0" w:line="144"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Other stock-based awards (including awards to receive unrestricted shares of our common stock) may be granted to participants. The January 2026 Plan administrator will determine the terms and conditions of each such award, including, as applicable, the term, any exercise or purchase price, performance goals, vesting conditions and other terms and conditions. Payment in respect of other stock-based award may be made in cash, shares of our common stock, or a combination of both, at the discretion of the January 2026 Plan administrator.</w:t>
      </w:r>
    </w:p>
    <w:p>
      <w:pPr>
        <w:spacing w:after="0" w:line="144"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Upon the effective time of a “sale event” (as defined in the January 2026 Plan), all outstanding option awards granted under the January 2026 Plan shall terminate unless assumed or continued by a successor entity. In the event of such termination, individuals holding options will be permitted to exercise such options within a specified period of time prior to the sale event. In the event of a sale event, all unvested restricted stock awards and restricted stock units (other than those that become vested as a result of the sale event) will be forfeited unless assumed or continued by a successor entity. With respect to individuals holding restricted stock that is forfeited upon a sale event, such restricted stock shall be repurchased by the Company at a price per share equal to the original per share purchase price paid by the holder for such shares of our restricted stock. In addition, in connection with a sale event, we may make or provide for a cash payment to participants in exchange for the cancellation of their options (to the extent then vested and exercisable, including by reason of acceleration in connection with such sale event) or outstanding restricted stock or restricted stock units, in an amount equal to the difference between (a) the per share consideration in the sale event times the number of shares subject to such awards being cancelled and (b) the aggregate exercise price of such outstanding vested and exercisable stock options. We may also make or provide for a cash payment to participants in exchange for the cancellation of their restricted stock or restricted stock units, in an amount equal to the per share consideration in the sales event times the number of shares subject to such awards being cancelled, with any such cash payments in respect of restricted stock or restricted stock units to be paid at the time of the sale event or upon the later vesting of such awards.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8" w:name="page189"/>
    <w:bookmarkEnd w:id="18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Except for certain estate planning transfers authorized by the January 2026 Plan administrator, awards granted under the January 2026 Plan are generally nontransferable except by will or by the laws of descent and distribution.</w:t>
      </w:r>
    </w:p>
    <w:p>
      <w:pPr>
        <w:spacing w:after="0" w:line="125" w:lineRule="exact"/>
        <w:rPr>
          <w:sz w:val="20"/>
          <w:szCs w:val="20"/>
          <w:color w:val="auto"/>
        </w:rPr>
      </w:pPr>
    </w:p>
    <w:p>
      <w:pPr>
        <w:ind w:left="720" w:right="779" w:firstLine="343"/>
        <w:spacing w:after="0" w:line="283" w:lineRule="auto"/>
        <w:rPr>
          <w:sz w:val="20"/>
          <w:szCs w:val="20"/>
          <w:color w:val="auto"/>
        </w:rPr>
      </w:pPr>
      <w:r>
        <w:rPr>
          <w:rFonts w:ascii="Times New Roman" w:cs="Times New Roman" w:eastAsia="Times New Roman" w:hAnsi="Times New Roman"/>
          <w:sz w:val="13"/>
          <w:szCs w:val="13"/>
          <w:color w:val="auto"/>
        </w:rPr>
        <w:t>Our board of directors may amend or discontinue the January 2026 Plan and the January 2026 Plan administrator may amend or cancel outstanding awards for purposes of satisfying changes in law or any other lawful purpose, but no such action may adversely affect rights under any outstanding award without the holder’s consent. Certain amendments to the January 2026 Plan require the approval of our stockholders. The January 2026 Plan administrator may exercise its discretion to reduce the exercise price of outstanding stock options or to effect repricing through the cancellation of outstanding stock options and grant of replacement awards.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2026 Stock Option and Incentive Plan</w:t>
      </w:r>
    </w:p>
    <w:p>
      <w:pPr>
        <w:spacing w:after="0" w:line="93" w:lineRule="exact"/>
        <w:rPr>
          <w:sz w:val="20"/>
          <w:szCs w:val="20"/>
          <w:color w:val="auto"/>
        </w:rPr>
      </w:pPr>
    </w:p>
    <w:p>
      <w:pPr>
        <w:ind w:left="720" w:right="899" w:firstLine="343"/>
        <w:spacing w:after="0" w:line="254" w:lineRule="auto"/>
        <w:rPr>
          <w:sz w:val="20"/>
          <w:szCs w:val="20"/>
          <w:color w:val="auto"/>
        </w:rPr>
      </w:pPr>
      <w:r>
        <w:rPr>
          <w:rFonts w:ascii="Times New Roman" w:cs="Times New Roman" w:eastAsia="Times New Roman" w:hAnsi="Times New Roman"/>
          <w:sz w:val="14"/>
          <w:szCs w:val="14"/>
          <w:color w:val="auto"/>
        </w:rPr>
        <w:t>Our 2026 Stock Option and Incentive Plan (the “2026 Plan”) was adopted by our board of directors on          , 2026, approved by our stockholders on        , 2026, and will become effective upon the date immediately preceding the date on which the registration statement of which this prospectus is part is declared effective by the SEC. The 2026 Plan will replace the January 2026 Plan as our board of directors has determined not to make additional awards under the January 2026 Plan following the completion of this offering. However, the January 2026 Plan and the 2016 Plan will continue to govern outstanding equity awards granted thereunder. The 2026 Plan allows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to which this prospectus is a part.</w:t>
      </w:r>
    </w:p>
    <w:p>
      <w:pPr>
        <w:spacing w:after="0" w:line="149"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We have initially reserved   shares of our common stock for the issuance of awards under the 2026 Plan (the “Initial Limit”). The 2026 Plan provides that the number of shares reserved and available for issuance under the 2026 Plan will automatically increase on January 1, 2027 and each January 1 thereafter through January 1, 2036, by (i) 5% of the sum of (A) the number of shares of our common stock issued and outstanding on the immediately preceding December 31, (B) the number of shares underlying the Company’s preferred stock (determined on an as-converted basis without regard to any limitations on such conversion) on the immediately preceding December 31, and (C) the number of shares of common stock issuable pursuant to the exercise of any outstanding pre-funded warrants to acquire such common stock for a nominal exercise price on the immediately preceding December 31 or (ii) such lesser number of shares as determined by our compensation committee (the “Annual Increase”). The number of shares reserved under the 2026 Plan is subject to adjustment in the event of a stock split, stock dividend, or other change in our capitalization.</w:t>
      </w:r>
    </w:p>
    <w:p>
      <w:pPr>
        <w:spacing w:after="0" w:line="149" w:lineRule="exact"/>
        <w:rPr>
          <w:sz w:val="20"/>
          <w:szCs w:val="20"/>
          <w:color w:val="auto"/>
        </w:rPr>
      </w:pPr>
    </w:p>
    <w:p>
      <w:pPr>
        <w:ind w:left="720" w:right="859" w:firstLine="343"/>
        <w:spacing w:after="0" w:line="258" w:lineRule="auto"/>
        <w:rPr>
          <w:sz w:val="20"/>
          <w:szCs w:val="20"/>
          <w:color w:val="auto"/>
        </w:rPr>
      </w:pPr>
      <w:r>
        <w:rPr>
          <w:rFonts w:ascii="Times New Roman" w:cs="Times New Roman" w:eastAsia="Times New Roman" w:hAnsi="Times New Roman"/>
          <w:sz w:val="14"/>
          <w:szCs w:val="14"/>
          <w:color w:val="auto"/>
        </w:rPr>
        <w:t>The shares we issue under the 2026 Plan will be authorized but unissued shares or shares that we reacquire. The shares of our common stock underlying any awards under the 2026 Plan and the January 2026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our common stock available for issuance under the 2026 Plan.</w:t>
      </w:r>
    </w:p>
    <w:p>
      <w:pPr>
        <w:spacing w:after="0" w:line="144"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maximum number of shares of our common stock that may be issued in the form of ISOs shall not exceed the Initial Limit, cumulatively increased on January 1, 2027 and on each January 1 thereafter by the lesser of the Annual Increase for such year or   shares of our common stock.</w:t>
      </w:r>
    </w:p>
    <w:p>
      <w:pPr>
        <w:spacing w:after="0" w:line="136"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The grant date fair value of all awards made under our 2026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our board of directors.</w:t>
      </w:r>
    </w:p>
    <w:p>
      <w:pPr>
        <w:spacing w:after="0" w:line="141"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The 2026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Persons eligible to participate in the 2026 Plan will be those full or part-time officers, employees, non-employee directors and consultants as selected from time to time by our compensation committee in its discretion.</w:t>
      </w:r>
    </w:p>
    <w:p>
      <w:pPr>
        <w:spacing w:after="0" w:line="143"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The 2026 Plan permits the granting of both options to purchase common stock intended to qualify as ISOs under Section 422 of the Code and options that do not so qualify. The option exercise price of each option will be determined by our compensation committee but may not be less than 100% of the fair market value of our common stock on the date of grant (110% in the case of certain ISOs) unless the option (i) is granted pursuant to a transaction described in, and in a manner consistent with Section 424(a) of the Code, (ii) is granted to an individual who is not subject to U.S. income tax, or (iii) complies with or is exempt from Section 409A of the Code. The term of each option will be fixed by our compensation committee and may not exceed ten years from the date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9" w:name="page190"/>
    <w:bookmarkEnd w:id="18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spacing w:after="0" w:line="283" w:lineRule="auto"/>
        <w:rPr>
          <w:sz w:val="20"/>
          <w:szCs w:val="20"/>
          <w:color w:val="auto"/>
        </w:rPr>
      </w:pPr>
      <w:r>
        <w:rPr>
          <w:rFonts w:ascii="Times New Roman" w:cs="Times New Roman" w:eastAsia="Times New Roman" w:hAnsi="Times New Roman"/>
          <w:sz w:val="14"/>
          <w:szCs w:val="14"/>
          <w:color w:val="auto"/>
        </w:rPr>
        <w:t>grant (or five years in the case of certain ISOs). Our compensation committee will determine at what time or times each option may be exercised.</w:t>
      </w:r>
    </w:p>
    <w:p>
      <w:pPr>
        <w:spacing w:after="0" w:line="125"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Our compensation committee may award stock appreciation rights under the 2026 Plan subject to such conditions and restrictions as it may determine. Stock appreciation rights entitle the recipient to shares of our common stock, or cash, equal to the value of the appreciation in our stock price over the exercise price. The exercise price of each stock appreciation right generally may not be less than 100% of the fair market value of our common stock on the date of grant unless the share appreciation right (i) is granted pursuant to a transaction described in, and in a manner consistent with Section 424(a) of the Code, (ii) is granted to an individual who is not subject to U.S. income tax, or (iii) complies with or is exempt from Section 409A of the Code.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45"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Our compensation committee may award restricted shares of our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our common stock that are free from any restrictions under the 2026 Plan. Unrestricted stock may be granted to participants in recognition of past services or for other valid consideration and may be issued in lieu of cash compensation due to such participant.</w:t>
      </w:r>
    </w:p>
    <w:p>
      <w:pPr>
        <w:spacing w:after="0" w:line="14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Our compensation committee may grant dividend equivalent rights to participants that entitle the recipient to receive credits for dividends that would be paid if the recipient had held a specified number of shares of our common stock.</w:t>
      </w:r>
    </w:p>
    <w:p>
      <w:pPr>
        <w:spacing w:after="0" w:line="125"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Our compensation committee may grant cash bonuses under the 2026 Plan to participants, subject to the achievement of certain performance goals.</w:t>
      </w:r>
    </w:p>
    <w:p>
      <w:pPr>
        <w:spacing w:after="0" w:line="125"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The 2026 Plan provides that upon the effectiveness of a “sale event,” as defined in the 2026 Plan, an acquirer or successor entity may assume, continue or substitute outstanding awards under the 2026 Plan. To the extent that awards granted under the 2026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our stockholders in the sale event and the exercise price of the options or stock appreciation rights and we may make or provide for a payment, in cash or in kind, to participants holding other vested awards.</w:t>
      </w:r>
    </w:p>
    <w:p>
      <w:pPr>
        <w:spacing w:after="0" w:line="150"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Our board of directors may amend or discontinue the 2026 Plan, and our compensation committee may amend or cancel outstanding awards for purposes of satisfying changes in law or any other lawful purpose, but no such action may adversely affect rights under an award without the holder’s consent. Certain amendments to the 2026 Plan require the approval of our stockholders. The administrator of the 2026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2026 Plan after the date that is 10 years from the effective date of the 2026 Plan. No awards under the 2026 Plan have been made prior to the date of this prospectus.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3" w:lineRule="exact"/>
        <w:rPr>
          <w:sz w:val="20"/>
          <w:szCs w:val="20"/>
          <w:color w:val="auto"/>
        </w:rPr>
      </w:pPr>
    </w:p>
    <w:p>
      <w:pPr>
        <w:ind w:left="720" w:right="879" w:firstLine="343"/>
        <w:spacing w:after="0" w:line="254" w:lineRule="auto"/>
        <w:rPr>
          <w:sz w:val="20"/>
          <w:szCs w:val="20"/>
          <w:color w:val="auto"/>
        </w:rPr>
      </w:pPr>
      <w:r>
        <w:rPr>
          <w:rFonts w:ascii="Times New Roman" w:cs="Times New Roman" w:eastAsia="Times New Roman" w:hAnsi="Times New Roman"/>
          <w:sz w:val="14"/>
          <w:szCs w:val="14"/>
          <w:color w:val="auto"/>
        </w:rPr>
        <w:t>Our 2026 Employee Stock Purchase Plan (the “ESPP”), was adopted by our board of directors on       , 2026, approved by our stockholders on       , 2026, and will become effective on the date immediately preceding the date on which the registration statement of which this prospectus forms a part is declared effective by the SEC. The ESPP is intended to have two components: a component intended to qualify as an “employee stock purchase plan” within the meaning of Section 423 of the Code (the “423 Component”) and a component that is not intended to qualify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to which this prospectus is a part.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0" w:name="page191"/>
    <w:bookmarkEnd w:id="19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ESPP initially reserves and authorizes the issuance of up to a total of   shares of our common stock to participating employees. The ESPP provides that the number of shares reserved and available for issuance will automatically increase on January 1, 2027 and each January 1 thereafter through January 1, 2036, by the least of (i)        shares of common stock, (ii) 1% of the sum of</w:t>
      </w:r>
    </w:p>
    <w:p>
      <w:pPr>
        <w:ind w:left="720" w:right="799"/>
        <w:spacing w:after="0" w:line="252" w:lineRule="auto"/>
        <w:tabs>
          <w:tab w:leader="none" w:pos="949"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common stock issued and outstanding on the immediately preceding December 31, (B) the number of shares underlying the Company’s preferred stock (determined on an as-converted basis without regard to any limitations on such conversion) on the immediately preceding December 31, and (C) the number of shares of common stock issuable pursuant to the exercise of any outstanding, pre-funded warrants to acquire such common stock for a nominal exercise price immediately preceding December 31, or (iii) such lesser number of shares of our common stock as determined by the administrator of the ESPP. The number of shares reserved under the ESPP is subject to adjustment in the event of a stock split, stock dividend or other change in our capitalization.</w:t>
      </w:r>
    </w:p>
    <w:p>
      <w:pPr>
        <w:spacing w:after="0" w:line="148"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All employees who are customarily employed by us or one of our designated subsidiaries for more than 20 hours per week and who have been employed for a number of days as determined by the administrator prior to each offering period are eligible to participate in the ESPP. However, any employee who owns 5% or more of the total combined voting power or value of all classes of our stock will not be eligible to purchase shares of our common stock under the ESPP.</w:t>
      </w:r>
    </w:p>
    <w:p>
      <w:pPr>
        <w:spacing w:after="0" w:line="14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We may make one or more offerings, consisting of one or more purchase periods, each year to our employees to purchase shares under the ESPP. The administrator may, in its discretion, determine when each offering will occur, including the duration of any offering; provided, that no offering will exceed 27 months in duration. Each eligible employee may elect to participate in any offering by submitting an enrollment form at least 15 business days before the applicable offering date.</w:t>
      </w:r>
    </w:p>
    <w:p>
      <w:pPr>
        <w:spacing w:after="0" w:line="141"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Each employee who is a participant in the ESPP may purchase shares of our common stock by authorizing payroll deductions of up to 15% 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of the closing price of the shares of our common stock on the first business day or the last business day of the offering period, whichever is lower, provided that no more than a number of shares of common stock determined by dividing $25,000 by the fair market value of our common stock on the offering date of such offering (or such other lesser maximum number of shares as may be established by the administrator) may be purchased by any one employee during any offering period. Under applicable tax rules, an employee may purchase no more than $25,000 worth of shares of our common stock, valued at the start of the offering period, under the ESPP for each calendar year during which any option granted to the employee is outstanding at any time.</w:t>
      </w:r>
    </w:p>
    <w:p>
      <w:pPr>
        <w:spacing w:after="0" w:line="146"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49" w:lineRule="exact"/>
        <w:rPr>
          <w:sz w:val="20"/>
          <w:szCs w:val="20"/>
          <w:color w:val="auto"/>
        </w:rPr>
      </w:pPr>
    </w:p>
    <w:p>
      <w:pPr>
        <w:ind w:left="720" w:right="1039" w:firstLine="343"/>
        <w:spacing w:after="0" w:line="267" w:lineRule="auto"/>
        <w:rPr>
          <w:sz w:val="20"/>
          <w:szCs w:val="20"/>
          <w:color w:val="auto"/>
        </w:rPr>
      </w:pPr>
      <w:r>
        <w:rPr>
          <w:rFonts w:ascii="Times New Roman" w:cs="Times New Roman" w:eastAsia="Times New Roman" w:hAnsi="Times New Roman"/>
          <w:sz w:val="14"/>
          <w:szCs w:val="14"/>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36" w:lineRule="exact"/>
        <w:rPr>
          <w:sz w:val="20"/>
          <w:szCs w:val="20"/>
          <w:color w:val="auto"/>
        </w:rPr>
      </w:pPr>
    </w:p>
    <w:p>
      <w:pPr>
        <w:ind w:left="720" w:right="979" w:firstLine="343"/>
        <w:spacing w:after="0" w:line="283" w:lineRule="auto"/>
        <w:rPr>
          <w:sz w:val="20"/>
          <w:szCs w:val="20"/>
          <w:color w:val="auto"/>
        </w:rPr>
      </w:pPr>
      <w:r>
        <w:rPr>
          <w:rFonts w:ascii="Times New Roman" w:cs="Times New Roman" w:eastAsia="Times New Roman" w:hAnsi="Times New Roman"/>
          <w:sz w:val="14"/>
          <w:szCs w:val="14"/>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Senior Executive Cash Incentive Bonus Plan</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has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(“corporate performance goals”), as well as individual performance objectives. The following summary describes the material terms of</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1" w:name="page192"/>
    <w:bookmarkEnd w:id="19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1099"/>
        <w:spacing w:after="0" w:line="283" w:lineRule="auto"/>
        <w:rPr>
          <w:sz w:val="20"/>
          <w:szCs w:val="20"/>
          <w:color w:val="auto"/>
        </w:rPr>
      </w:pPr>
      <w:r>
        <w:rPr>
          <w:rFonts w:ascii="Times New Roman" w:cs="Times New Roman" w:eastAsia="Times New Roman" w:hAnsi="Times New Roman"/>
          <w:sz w:val="14"/>
          <w:szCs w:val="14"/>
          <w:color w:val="auto"/>
        </w:rPr>
        <w:t>the Bonus Plan. This summary is not a complete description of all provisions of the Bonus Plan and is qualified in its entirety by reference to the Bonus Plan, which is filed as an exhibit to the registration statement of which this prospectus is a part.</w:t>
      </w:r>
    </w:p>
    <w:p>
      <w:pPr>
        <w:spacing w:after="0" w:line="125"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collaborations or strategic transactions; financing or other capital raising transactions; operating income (loss); return on capital, assets, equity, or investment; stockholder returns; return on sales; total stockholder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our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49"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Each executive officer who is selected to participate in the Bonus Plan will have a target bonus opportunity set for each performance period. The bonus formulas will be adopted in each performance period by our compensation committee and communicated to each executive. The corporate performance goals will be measured at the end of each performance period after our financial reports have been published or such other appropriate time as our compensation committee determines. If the corporate performance goals and individual performance objectives are met, payments will be made as soon as practicable following the end of each performance period, but not later than 2.5 months after the end of the year in which such performance period ends. Subject to the rights contained in any agreement between the executive officer and us, an executive officer shall be required to be employed by us on the bonus payment date to be eligible to receive a bonus payment under the Bonus Plan. The Bonus Plan also permits our compensation committee to approve additional bonuses to executive officers in its sole discretion.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2" w:name="page193"/>
    <w:bookmarkEnd w:id="19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7"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The following table presents the compensation awarded to, earned by, or paid to each person who served as a non-employee member of our board of directors during the fiscal year ended December 31, 2025. Other than as set forth in the table and described more fully below, we did not pay any compensation, make any equity awards or non-equity awards to, or pay any other compensation to any of the non-employee members of our board of directors in 2025. During the year ended December 31, 2025, Mathai Mammen, M.D., Ph.D., who is our Chief Executive Officer, did not receive any additional compensation for his service as a director. The compensation received by Dr. Mammen, as an NEO, is presented in “</w:t>
      </w:r>
      <w:r>
        <w:rPr>
          <w:rFonts w:ascii="Times New Roman" w:cs="Times New Roman" w:eastAsia="Times New Roman" w:hAnsi="Times New Roman"/>
          <w:sz w:val="14"/>
          <w:szCs w:val="14"/>
          <w:i w:val="1"/>
          <w:iCs w:val="1"/>
          <w:color w:val="auto"/>
        </w:rPr>
        <w:t>2025 Summary Compensation Table</w:t>
      </w:r>
      <w:r>
        <w:rPr>
          <w:rFonts w:ascii="Times New Roman" w:cs="Times New Roman" w:eastAsia="Times New Roman" w:hAnsi="Times New Roman"/>
          <w:sz w:val="14"/>
          <w:szCs w:val="14"/>
          <w:color w:val="auto"/>
        </w:rPr>
        <w:t>” above.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60" w:type="dxa"/>
            <w:vAlign w:val="bottom"/>
          </w:tcPr>
          <w:p>
            <w:pPr>
              <w:spacing w:after="0"/>
              <w:rPr>
                <w:sz w:val="11"/>
                <w:szCs w:val="11"/>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80" w:type="dxa"/>
            <w:vAlign w:val="bottom"/>
          </w:tcPr>
          <w:p>
            <w:pPr>
              <w:spacing w:after="0"/>
              <w:rPr>
                <w:sz w:val="11"/>
                <w:szCs w:val="11"/>
                <w:color w:val="auto"/>
              </w:rPr>
            </w:pPr>
          </w:p>
        </w:tc>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Name(1)</w:t>
            </w:r>
          </w:p>
        </w:tc>
        <w:tc>
          <w:tcPr>
            <w:tcW w:w="80" w:type="dxa"/>
            <w:vAlign w:val="bottom"/>
          </w:tcPr>
          <w:p>
            <w:pPr>
              <w:spacing w:after="0"/>
              <w:rPr>
                <w:sz w:val="10"/>
                <w:szCs w:val="10"/>
                <w:color w:val="auto"/>
              </w:rPr>
            </w:pP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Paid in</w:t>
            </w:r>
          </w:p>
        </w:tc>
        <w:tc>
          <w:tcPr>
            <w:tcW w:w="60" w:type="dxa"/>
            <w:vAlign w:val="bottom"/>
          </w:tcPr>
          <w:p>
            <w:pPr>
              <w:spacing w:after="0"/>
              <w:rPr>
                <w:sz w:val="10"/>
                <w:szCs w:val="10"/>
                <w:color w:val="auto"/>
              </w:rPr>
            </w:pPr>
          </w:p>
        </w:tc>
        <w:tc>
          <w:tcPr>
            <w:tcW w:w="1080" w:type="dxa"/>
            <w:vAlign w:val="bottom"/>
          </w:tcPr>
          <w:p>
            <w:pPr>
              <w:jc w:val="center"/>
              <w:ind w:right="93"/>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Cash($)(2)</w:t>
            </w:r>
          </w:p>
        </w:tc>
        <w:tc>
          <w:tcPr>
            <w:tcW w:w="1140" w:type="dxa"/>
            <w:vAlign w:val="bottom"/>
            <w:gridSpan w:val="2"/>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0" w:type="dxa"/>
            <w:vAlign w:val="bottom"/>
            <w:gridSpan w:val="2"/>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tcBorders>
              <w:top w:val="single" w:sz="8" w:color="auto"/>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Alexis Borisy</w:t>
            </w:r>
          </w:p>
        </w:tc>
        <w:tc>
          <w:tcPr>
            <w:tcW w:w="8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ind w:right="93"/>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Edward Fitzgerald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6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Corey Goodman, Ph.D.</w:t>
            </w:r>
            <w:r>
              <w:rPr>
                <w:rFonts w:ascii="Times New Roman" w:cs="Times New Roman" w:eastAsia="Times New Roman" w:hAnsi="Times New Roman"/>
                <w:sz w:val="18"/>
                <w:szCs w:val="18"/>
                <w:color w:val="auto"/>
                <w:vertAlign w:val="superscript"/>
              </w:rPr>
              <w:t>(4)</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Rick Klausner, M.D.</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Jeffrey Leerink</w:t>
            </w:r>
            <w:r>
              <w:rPr>
                <w:rFonts w:ascii="Times New Roman" w:cs="Times New Roman" w:eastAsia="Times New Roman" w:hAnsi="Times New Roman"/>
                <w:sz w:val="18"/>
                <w:szCs w:val="18"/>
                <w:color w:val="auto"/>
                <w:vertAlign w:val="superscript"/>
              </w:rPr>
              <w:t>(5)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Jake Simson</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Barbara Weber, M.D.</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Krishna Yeshwant, M.D.</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1060" w:right="1179" w:hanging="340"/>
        <w:spacing w:after="0" w:line="267" w:lineRule="auto"/>
        <w:tabs>
          <w:tab w:leader="none" w:pos="10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Borisy, Dr. Goodman, Mr. Simson and Dr. Yeshwant did not hold any outstanding equity awards. As of December 31, 2025, Mr. Fitzgerald, Dr. Klausner, Mr. Leerink, and Dr. Weber held outstanding options to purchase an aggregate of 50,000; 107,738; 50,000; and 50,000 shares of our common stock, respectively.</w:t>
      </w:r>
    </w:p>
    <w:p>
      <w:pPr>
        <w:spacing w:after="0" w:line="51" w:lineRule="exact"/>
        <w:rPr>
          <w:rFonts w:ascii="Times New Roman" w:cs="Times New Roman" w:eastAsia="Times New Roman" w:hAnsi="Times New Roman"/>
          <w:sz w:val="14"/>
          <w:szCs w:val="14"/>
          <w:color w:val="auto"/>
        </w:rPr>
      </w:pPr>
    </w:p>
    <w:p>
      <w:pPr>
        <w:ind w:left="1060" w:right="899" w:hanging="340"/>
        <w:spacing w:after="0" w:line="283" w:lineRule="auto"/>
        <w:tabs>
          <w:tab w:leader="none" w:pos="10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cash fees each director received for their services to our board of directors during the year ended December 31, 2025.</w:t>
      </w:r>
    </w:p>
    <w:p>
      <w:pPr>
        <w:spacing w:after="0" w:line="40"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fees for scientific advisory board services.</w:t>
      </w:r>
    </w:p>
    <w:p>
      <w:pPr>
        <w:spacing w:after="0" w:line="9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Corey Goodman resigned from our board of directors on May 12, 2026.</w:t>
      </w:r>
    </w:p>
    <w:p>
      <w:pPr>
        <w:spacing w:after="0" w:line="9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Jeffrey Leerink resigned from our board of directors on May 14, 2026.</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93"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this offering, our board of directors intends to adopt a non-employee director compensation policy, to be effective as of the date on which the registration statement of which this prospectus forms a part is declared effective. The policy will be designed to enable us to attract and retain, on a long-term basis, highly qualified non-employee directors. Under the policy, our non-employee directors will be eligible to receive cash retainers (which will be payable quarterly in arrears and prorated for partial years of service) and equity awards as set forth below:</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Annual Retainer for Board Membership:</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Members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Additional retainer for non-executive chair/lead independent director</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$30,000/$25,000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Additional Annual Retainer for Committee Membership:</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vMerge w:val="restart"/>
          </w:tcPr>
          <w:p>
            <w:pPr>
              <w:spacing w:after="0"/>
              <w:rPr>
                <w:sz w:val="14"/>
                <w:szCs w:val="14"/>
                <w:color w:val="auto"/>
              </w:rPr>
            </w:pPr>
          </w:p>
        </w:tc>
        <w:tc>
          <w:tcPr>
            <w:tcW w:w="43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Chair</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Chair</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15,000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Chair</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Science and Technology Committee</w:t>
            </w:r>
          </w:p>
        </w:tc>
        <w:tc>
          <w:tcPr>
            <w:tcW w:w="6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Chair</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15,000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5"/>
        </w:trPr>
        <w:tc>
          <w:tcPr>
            <w:tcW w:w="5600" w:type="dxa"/>
            <w:vAlign w:val="bottom"/>
            <w:gridSpan w:val="2"/>
          </w:tcPr>
          <w:p>
            <w:pPr>
              <w:jc w:val="right"/>
              <w:ind w:right="1130"/>
              <w:spacing w:after="0"/>
              <w:rPr>
                <w:sz w:val="20"/>
                <w:szCs w:val="20"/>
                <w:color w:val="auto"/>
              </w:rPr>
            </w:pPr>
            <w:r>
              <w:rPr>
                <w:rFonts w:ascii="Times New Roman" w:cs="Times New Roman" w:eastAsia="Times New Roman" w:hAnsi="Times New Roman"/>
                <w:sz w:val="14"/>
                <w:szCs w:val="14"/>
                <w:color w:val="auto"/>
              </w:rPr>
              <w:t>191</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2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3" w:name="page194"/>
    <w:bookmarkEnd w:id="19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839" w:firstLine="343"/>
        <w:spacing w:after="0" w:line="257" w:lineRule="auto"/>
        <w:rPr>
          <w:sz w:val="20"/>
          <w:szCs w:val="20"/>
          <w:color w:val="auto"/>
        </w:rPr>
      </w:pPr>
      <w:r>
        <w:rPr>
          <w:rFonts w:ascii="Times New Roman" w:cs="Times New Roman" w:eastAsia="Times New Roman" w:hAnsi="Times New Roman"/>
          <w:sz w:val="14"/>
          <w:szCs w:val="14"/>
          <w:color w:val="auto"/>
        </w:rPr>
        <w:t>In addition, the non-employee director compensation policy will provide that, upon initial election or appointment to our board of directors, each non-employee director will be granted a one-time stock option award to purchase 110,000 shares of our common stock, up to a maximum Value (as defined in the non-employee director compensation policy) of $600,000 (the “Director Initial Grant”). The Director Initial Grant will vest in equal monthly installments over three years following the grant date, subject to continued service through the applicable vesting date. The Director Initial Grant will expire ten years from the date of grant and have an exercise price per share equal to the fair market value of our common stock on the date of grant.</w:t>
      </w:r>
    </w:p>
    <w:p>
      <w:pPr>
        <w:spacing w:after="0" w:line="143" w:lineRule="exact"/>
        <w:rPr>
          <w:sz w:val="20"/>
          <w:szCs w:val="20"/>
          <w:color w:val="auto"/>
        </w:rPr>
      </w:pPr>
    </w:p>
    <w:p>
      <w:pPr>
        <w:ind w:left="720" w:right="819" w:firstLine="343"/>
        <w:spacing w:after="0" w:line="253" w:lineRule="auto"/>
        <w:rPr>
          <w:sz w:val="20"/>
          <w:szCs w:val="20"/>
          <w:color w:val="auto"/>
        </w:rPr>
      </w:pPr>
      <w:r>
        <w:rPr>
          <w:rFonts w:ascii="Times New Roman" w:cs="Times New Roman" w:eastAsia="Times New Roman" w:hAnsi="Times New Roman"/>
          <w:sz w:val="14"/>
          <w:szCs w:val="14"/>
          <w:color w:val="auto"/>
        </w:rPr>
        <w:t>Furthermore, on the date of each annual meeting of stockholders following the completion of this offering, each non-employee director who continues as a non-employee director following such meeting (other than a non-employee director receiving a Director Initial Grant) will be granted an annual stock option award to purchase 55,000 shares of our common stock, up to a maximum Value of $300,000 (the “Director Annual Grant”). The Director Annual Grant will vest in full upon the earlier of (i) the first anniversary of the date of grant or (ii) the date of the next annual meeting of our stockholders, subject to continued service through the applicable vesting date. If a non-employee director joins our board of directors on a date other than the date of the annual meeting of our stockholders, then in lieu of the Director Annual Grant, such non-employee director will be granted a prorated portion of the Director Annual Grant corresponding to such partial year of service at the next annual meeting of stockholders. The pro-rated Director Annual Grant will vest in full upon the earlier of (i) the first anniversary of the date of grant or (ii) the date of the next annual meeting of our stockholders, subject to continued service through the applicable vesting date. The Director Annual Grant (including any pro-rata portions thereof) will expire ten years from the date of grant and have an exercise price per share equal to the fair market value of our common stock on the date of grant.</w:t>
      </w:r>
    </w:p>
    <w:p>
      <w:pPr>
        <w:spacing w:after="0" w:line="150"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The Director Initial Grant and the Director Annual Grant (including any pro-rata portions thereof) are subject to full accelerated vesting upon the sale of the company.</w:t>
      </w:r>
    </w:p>
    <w:p>
      <w:pPr>
        <w:spacing w:after="0" w:line="125"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$750,000 in any other calendar year.</w:t>
      </w:r>
    </w:p>
    <w:p>
      <w:pPr>
        <w:spacing w:after="0" w:line="136"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We will reimburse all reasonable out-of-pocket expenses incurred by directors for their attendance at meetings of our board of directors or any committee thereof.</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Employee directors will receive no additional compensation for their service as a director.</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2026 Stock Option Grants to Directors</w:t>
      </w:r>
    </w:p>
    <w:p>
      <w:pPr>
        <w:spacing w:after="0" w:line="93" w:lineRule="exact"/>
        <w:rPr>
          <w:sz w:val="20"/>
          <w:szCs w:val="20"/>
          <w:color w:val="auto"/>
        </w:rPr>
      </w:pPr>
    </w:p>
    <w:p>
      <w:pPr>
        <w:ind w:left="720" w:right="799" w:firstLine="343"/>
        <w:spacing w:after="0" w:line="253" w:lineRule="auto"/>
        <w:rPr>
          <w:sz w:val="20"/>
          <w:szCs w:val="20"/>
          <w:color w:val="auto"/>
        </w:rPr>
      </w:pPr>
      <w:r>
        <w:rPr>
          <w:rFonts w:ascii="Times New Roman" w:cs="Times New Roman" w:eastAsia="Times New Roman" w:hAnsi="Times New Roman"/>
          <w:sz w:val="14"/>
          <w:szCs w:val="14"/>
          <w:color w:val="auto"/>
        </w:rPr>
        <w:t>In connection with this offering, we will grant each of our directors, other than Dr. Mammen and Alan M. Sebulsky, a non-statutory stock option to purchase 55,000 shares of our common stock, contingent on, and effective immediately following, the time the registration statement of which this prospectus is a part is declared effective (the “IPO Effective Date”), subject to each applicable director’s continuous service relationship with us through such date and the IPO Effective Date occurring no later than December 31, 2026. If our initial public offering does not close within five business days after the IPO Effective Date, then the stock options will be forfeited at such time. The stock options will have a per share exercise price equal to the “price to the public” (or equivalent) set forth on the cover page of the final prospectus included in the registration statement, which will be the fair market value of a share of our common stock on the grant date of the stock options. The stock options will vest in full on the earlier of (A) the one-year anniversary of the grant date or (B) the next annual meeting of stockholders, so long as the grantee continues to be a member of our board of directors through each applicable vesting date. The stock options will be subject to the terms and conditions of the 2026 Plan, and the applicable stock option agreements thereunder. Our board of directors has elected to make these stock option grants to recognize the services of our non-employee directors to date.</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Director Appointment Grant</w:t>
      </w:r>
    </w:p>
    <w:p>
      <w:pPr>
        <w:spacing w:after="0" w:line="93"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Mr. Sebulsky was appointed to our board of directors on May 7, 2026 and will be granted a non-statutory stock option to purchase 110,000 shares of our common stock (the “Sebulsky Option”), contingent on, and effective as of the IPO Effective Date, subject to his continuous service relationship with us through such date and the IPO Effective Date occurring no later than December 31, 2026. If our initial public offering does not close within five business days after the IPO Effective Date, then the stock option will be forfeited at such time. The Sebulsky Option will have a per share exercise price equal to the “price to the public” (or equivalent) set forth on the cover page of the final prospectus included in the registration statement, which will be the fair market value of a share of our common stock on the grant date of the stock option, and will vest in equal monthly installments over three years following the grant date, subject to continued service through the applicable vesting date.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4" w:name="page195"/>
    <w:bookmarkEnd w:id="19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7" w:lineRule="exact"/>
        <w:rPr>
          <w:sz w:val="20"/>
          <w:szCs w:val="20"/>
          <w:color w:val="auto"/>
        </w:rPr>
      </w:pPr>
    </w:p>
    <w:p>
      <w:pPr>
        <w:ind w:left="720" w:right="1079" w:firstLine="343"/>
        <w:spacing w:after="0" w:line="261" w:lineRule="auto"/>
        <w:rPr>
          <w:sz w:val="20"/>
          <w:szCs w:val="20"/>
          <w:color w:val="auto"/>
        </w:rPr>
      </w:pPr>
      <w:r>
        <w:rPr>
          <w:rFonts w:ascii="Times New Roman" w:cs="Times New Roman" w:eastAsia="Times New Roman" w:hAnsi="Times New Roman"/>
          <w:sz w:val="14"/>
          <w:szCs w:val="14"/>
          <w:color w:val="auto"/>
        </w:rPr>
        <w:t>In addition to the compensation arrangements, including employment, termination of employment and change in control arrangements, and indemnification arrangements discussed, when required, in the sections titled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Executive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and the registration rights described in the section titled “</w:t>
      </w:r>
      <w:r>
        <w:rPr>
          <w:rFonts w:ascii="Times New Roman" w:cs="Times New Roman" w:eastAsia="Times New Roman" w:hAnsi="Times New Roman"/>
          <w:sz w:val="14"/>
          <w:szCs w:val="14"/>
          <w:i w:val="1"/>
          <w:iCs w:val="1"/>
          <w:color w:val="auto"/>
        </w:rPr>
        <w:t>Description of Capital Stock—Registration Rights</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is a description of all transactions since January 1, 2023 and each currently proposed transaction in which:</w:t>
      </w:r>
    </w:p>
    <w:p>
      <w:pPr>
        <w:spacing w:after="0" w:line="57" w:lineRule="exact"/>
        <w:rPr>
          <w:sz w:val="20"/>
          <w:szCs w:val="20"/>
          <w:color w:val="auto"/>
        </w:rPr>
      </w:pPr>
    </w:p>
    <w:p>
      <w:pPr>
        <w:ind w:left="1480" w:hanging="246"/>
        <w:spacing w:after="0"/>
        <w:tabs>
          <w:tab w:leader="none" w:pos="1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91" w:lineRule="exact"/>
        <w:rPr>
          <w:rFonts w:ascii="Times New Roman" w:cs="Times New Roman" w:eastAsia="Times New Roman" w:hAnsi="Times New Roman"/>
          <w:sz w:val="14"/>
          <w:szCs w:val="14"/>
          <w:color w:val="auto"/>
        </w:rPr>
      </w:pPr>
    </w:p>
    <w:p>
      <w:pPr>
        <w:ind w:left="1480" w:right="779" w:hanging="246"/>
        <w:spacing w:after="0" w:line="283" w:lineRule="auto"/>
        <w:tabs>
          <w:tab w:leader="none" w:pos="1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the lesser of $120,000 or 1% of the average of our total assets at year-end for the last two completed fiscal years; and</w:t>
      </w:r>
    </w:p>
    <w:p>
      <w:pPr>
        <w:spacing w:after="0" w:line="40" w:lineRule="exact"/>
        <w:rPr>
          <w:rFonts w:ascii="Times New Roman" w:cs="Times New Roman" w:eastAsia="Times New Roman" w:hAnsi="Times New Roman"/>
          <w:sz w:val="14"/>
          <w:szCs w:val="14"/>
          <w:color w:val="auto"/>
        </w:rPr>
      </w:pPr>
    </w:p>
    <w:p>
      <w:pPr>
        <w:jc w:val="both"/>
        <w:ind w:left="1480" w:right="1059" w:hanging="246"/>
        <w:spacing w:after="0" w:line="267" w:lineRule="auto"/>
        <w:tabs>
          <w:tab w:leader="none" w:pos="14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Series E Convertible Preferred Stock Financing</w:t>
      </w:r>
    </w:p>
    <w:p>
      <w:pPr>
        <w:spacing w:after="0" w:line="93"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In February 2024, we issued and sold an aggregate of 12,445,024 shares of our Series E convertible preferred stock at a price per share of $6.2281 to certain investors, for an aggregate purchase price of approximately $77.5 million.</w:t>
      </w:r>
    </w:p>
    <w:p>
      <w:pPr>
        <w:spacing w:after="0" w:line="125"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In January 2025, we issued and sold an additional aggregate of 10,836,539 shares of our Series E convertible preferred stock at a price per share of $6.2281 to certain investors in a second closing, for an aggregate purchase price of approximately $67.5 million.</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the shares of our Series E convertible preferred stock issued to our related parties: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3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Purchasers </w:t>
            </w:r>
            <w:r>
              <w:rPr>
                <w:rFonts w:ascii="Times New Roman" w:cs="Times New Roman" w:eastAsia="Times New Roman" w:hAnsi="Times New Roman"/>
                <w:sz w:val="15"/>
                <w:szCs w:val="15"/>
                <w:b w:val="1"/>
                <w:bCs w:val="1"/>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Series E Convertible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Total Purchase</w:t>
            </w: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9"/>
        </w:trPr>
        <w:tc>
          <w:tcPr>
            <w:tcW w:w="31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 xml:space="preserve">Arch Venture Fund XII, L.P. </w:t>
            </w:r>
            <w:r>
              <w:rPr>
                <w:rFonts w:ascii="Times New Roman" w:cs="Times New Roman" w:eastAsia="Times New Roman" w:hAnsi="Times New Roman"/>
                <w:sz w:val="18"/>
                <w:szCs w:val="18"/>
                <w:color w:val="auto"/>
                <w:vertAlign w:val="superscript"/>
              </w:rPr>
              <w:t>(2)</w:t>
            </w:r>
          </w:p>
        </w:tc>
        <w:tc>
          <w:tcPr>
            <w:tcW w:w="1000" w:type="dxa"/>
            <w:vAlign w:val="bottom"/>
            <w:shd w:val="clear" w:color="auto" w:fill="CFF0FC"/>
          </w:tcPr>
          <w:p>
            <w:pPr>
              <w:jc w:val="right"/>
              <w:ind w:right="32"/>
              <w:spacing w:after="0" w:line="159" w:lineRule="exact"/>
              <w:rPr>
                <w:sz w:val="20"/>
                <w:szCs w:val="20"/>
                <w:color w:val="auto"/>
              </w:rPr>
            </w:pPr>
            <w:r>
              <w:rPr>
                <w:rFonts w:ascii="Times New Roman" w:cs="Times New Roman" w:eastAsia="Times New Roman" w:hAnsi="Times New Roman"/>
                <w:sz w:val="14"/>
                <w:szCs w:val="14"/>
                <w:color w:val="auto"/>
              </w:rPr>
              <w:t>1,605,626</w:t>
            </w:r>
          </w:p>
        </w:tc>
        <w:tc>
          <w:tcPr>
            <w:tcW w:w="1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10,000,000</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Cormorant </w:t>
            </w:r>
            <w:r>
              <w:rPr>
                <w:rFonts w:ascii="Times New Roman" w:cs="Times New Roman" w:eastAsia="Times New Roman" w:hAnsi="Times New Roman"/>
                <w:sz w:val="18"/>
                <w:szCs w:val="18"/>
                <w:color w:val="auto"/>
                <w:vertAlign w:val="superscript"/>
              </w:rPr>
              <w:t>(3)</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1,093,259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6,808,926</w:t>
            </w:r>
          </w:p>
        </w:tc>
        <w:tc>
          <w:tcPr>
            <w:tcW w:w="0" w:type="dxa"/>
            <w:vAlign w:val="bottom"/>
          </w:tcPr>
          <w:p>
            <w:pPr>
              <w:spacing w:after="0"/>
              <w:rPr>
                <w:sz w:val="1"/>
                <w:szCs w:val="1"/>
                <w:color w:val="auto"/>
              </w:rPr>
            </w:pPr>
          </w:p>
        </w:tc>
      </w:tr>
      <w:tr>
        <w:trPr>
          <w:trHeight w:val="168"/>
        </w:trPr>
        <w:tc>
          <w:tcPr>
            <w:tcW w:w="31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Fidelity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1,600,441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9,967,707</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GV 2017, L.P. </w:t>
            </w:r>
            <w:r>
              <w:rPr>
                <w:rFonts w:ascii="Times New Roman" w:cs="Times New Roman" w:eastAsia="Times New Roman" w:hAnsi="Times New Roman"/>
                <w:sz w:val="18"/>
                <w:szCs w:val="18"/>
                <w:color w:val="auto"/>
                <w:vertAlign w:val="superscript"/>
              </w:rPr>
              <w:t>(5)</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1,926,751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11,999,998</w:t>
            </w:r>
          </w:p>
        </w:tc>
        <w:tc>
          <w:tcPr>
            <w:tcW w:w="0" w:type="dxa"/>
            <w:vAlign w:val="bottom"/>
          </w:tcPr>
          <w:p>
            <w:pPr>
              <w:spacing w:after="0"/>
              <w:rPr>
                <w:sz w:val="1"/>
                <w:szCs w:val="1"/>
                <w:color w:val="auto"/>
              </w:rPr>
            </w:pPr>
          </w:p>
        </w:tc>
      </w:tr>
      <w:tr>
        <w:trPr>
          <w:trHeight w:val="168"/>
        </w:trPr>
        <w:tc>
          <w:tcPr>
            <w:tcW w:w="31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Jeffrey Leerink </w:t>
            </w:r>
            <w:r>
              <w:rPr>
                <w:rFonts w:ascii="Times New Roman" w:cs="Times New Roman" w:eastAsia="Times New Roman" w:hAnsi="Times New Roman"/>
                <w:sz w:val="18"/>
                <w:szCs w:val="18"/>
                <w:color w:val="auto"/>
                <w:vertAlign w:val="superscript"/>
              </w:rPr>
              <w:t>(6)</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44,154</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274,996</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Milky Way Investments Group Limited </w:t>
            </w:r>
            <w:r>
              <w:rPr>
                <w:rFonts w:ascii="Times New Roman" w:cs="Times New Roman" w:eastAsia="Times New Roman" w:hAnsi="Times New Roman"/>
                <w:sz w:val="18"/>
                <w:szCs w:val="18"/>
                <w:color w:val="auto"/>
                <w:vertAlign w:val="superscript"/>
              </w:rPr>
              <w:t>(7)</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80,281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499,998</w:t>
            </w:r>
          </w:p>
        </w:tc>
        <w:tc>
          <w:tcPr>
            <w:tcW w:w="0" w:type="dxa"/>
            <w:vAlign w:val="bottom"/>
          </w:tcPr>
          <w:p>
            <w:pPr>
              <w:spacing w:after="0"/>
              <w:rPr>
                <w:sz w:val="1"/>
                <w:szCs w:val="1"/>
                <w:color w:val="auto"/>
              </w:rPr>
            </w:pPr>
          </w:p>
        </w:tc>
      </w:tr>
      <w:tr>
        <w:trPr>
          <w:trHeight w:val="168"/>
        </w:trPr>
        <w:tc>
          <w:tcPr>
            <w:tcW w:w="31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Nextech VII Oncology SCSp </w:t>
            </w:r>
            <w:r>
              <w:rPr>
                <w:rFonts w:ascii="Times New Roman" w:cs="Times New Roman" w:eastAsia="Times New Roman" w:hAnsi="Times New Roman"/>
                <w:sz w:val="18"/>
                <w:szCs w:val="18"/>
                <w:color w:val="auto"/>
                <w:vertAlign w:val="superscript"/>
              </w:rPr>
              <w:t>(8)</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4,442,359</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27,667,456</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RA Capital </w:t>
            </w:r>
            <w:r>
              <w:rPr>
                <w:rFonts w:ascii="Times New Roman" w:cs="Times New Roman" w:eastAsia="Times New Roman" w:hAnsi="Times New Roman"/>
                <w:sz w:val="18"/>
                <w:szCs w:val="18"/>
                <w:color w:val="auto"/>
                <w:vertAlign w:val="superscript"/>
              </w:rPr>
              <w:t>(9)</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802,812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4,999,993</w:t>
            </w:r>
          </w:p>
        </w:tc>
        <w:tc>
          <w:tcPr>
            <w:tcW w:w="0" w:type="dxa"/>
            <w:vAlign w:val="bottom"/>
          </w:tcPr>
          <w:p>
            <w:pPr>
              <w:spacing w:after="0"/>
              <w:rPr>
                <w:sz w:val="1"/>
                <w:szCs w:val="1"/>
                <w:color w:val="auto"/>
              </w:rPr>
            </w:pPr>
          </w:p>
        </w:tc>
      </w:tr>
      <w:tr>
        <w:trPr>
          <w:trHeight w:val="168"/>
        </w:trPr>
        <w:tc>
          <w:tcPr>
            <w:tcW w:w="31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venBio Global Strategic Fund III, L.P. </w:t>
            </w:r>
            <w:r>
              <w:rPr>
                <w:rFonts w:ascii="Times New Roman" w:cs="Times New Roman" w:eastAsia="Times New Roman" w:hAnsi="Times New Roman"/>
                <w:sz w:val="18"/>
                <w:szCs w:val="18"/>
                <w:color w:val="auto"/>
                <w:vertAlign w:val="superscript"/>
              </w:rPr>
              <w:t>(10)</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642,250</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3,999,997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66675</wp:posOffset>
            </wp:positionV>
            <wp:extent cx="64071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0" w:lineRule="exact"/>
        <w:rPr>
          <w:sz w:val="20"/>
          <w:szCs w:val="20"/>
          <w:color w:val="auto"/>
        </w:rPr>
      </w:pPr>
    </w:p>
    <w:p>
      <w:pPr>
        <w:ind w:left="1060" w:right="1439" w:hanging="340"/>
        <w:spacing w:after="0" w:line="263"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Stockholders</w:t>
      </w:r>
      <w:r>
        <w:rPr>
          <w:rFonts w:ascii="Times New Roman" w:cs="Times New Roman" w:eastAsia="Times New Roman" w:hAnsi="Times New Roman"/>
          <w:sz w:val="14"/>
          <w:szCs w:val="14"/>
          <w:color w:val="auto"/>
        </w:rPr>
        <w:t>.”</w:t>
      </w:r>
    </w:p>
    <w:p>
      <w:pPr>
        <w:ind w:left="1060" w:hanging="340"/>
        <w:spacing w:after="0"/>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 Venture Fund XII, L.P. beneficially owns more than 5% of our outstanding capital stock.</w:t>
      </w:r>
    </w:p>
    <w:p>
      <w:pPr>
        <w:spacing w:after="0" w:line="7" w:lineRule="exact"/>
        <w:rPr>
          <w:rFonts w:ascii="Times New Roman" w:cs="Times New Roman" w:eastAsia="Times New Roman" w:hAnsi="Times New Roman"/>
          <w:sz w:val="14"/>
          <w:szCs w:val="14"/>
          <w:color w:val="auto"/>
        </w:rPr>
      </w:pPr>
    </w:p>
    <w:p>
      <w:pPr>
        <w:ind w:left="1060" w:right="759" w:hanging="340"/>
        <w:spacing w:after="0" w:line="250"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Cormorant collectively refers to Cormorant Global Healthcare Master Fund, LP, Cormorant Private Healthcare Fund IV, LP and Cormorant Private Healthcare Fund V, LP. Cormorant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collectively refers to Fidelity Growth Company Commingled Pool By: Fidelity Management Trust Company, as</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Fidelity Mount Vernon Street Trust: Fidelity Growth Company Fund; Fidelity Mt. Vernon Street Trust: Fidelity</w:t>
      </w:r>
    </w:p>
    <w:p>
      <w:pPr>
        <w:spacing w:after="0" w:line="7" w:lineRule="exact"/>
        <w:rPr>
          <w:rFonts w:ascii="Times New Roman" w:cs="Times New Roman" w:eastAsia="Times New Roman" w:hAnsi="Times New Roman"/>
          <w:sz w:val="14"/>
          <w:szCs w:val="14"/>
          <w:color w:val="auto"/>
        </w:rPr>
      </w:pPr>
    </w:p>
    <w:p>
      <w:pPr>
        <w:ind w:left="1060" w:right="8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Company K6 Fund; and Fidelity Mt. Vernon Street Trust: Fidelity Series Growth Company Fund. Fidelity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ind w:left="1060" w:right="779" w:hanging="340"/>
        <w:spacing w:after="0" w:line="250"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GV 2017, L.P., together with its affiliates (collectively, “GV”), beneficially own more than 5% of our outstanding capital stock. Dr. Yeshwant, a member of our board of directors, was designated to our board of directors by GV and is a general partner at GV.</w:t>
      </w:r>
    </w:p>
    <w:p>
      <w:pPr>
        <w:spacing w:after="0" w:line="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purchased by Healthcare Innovation Investment Fund LLC (“HIIF”), an investment fund associated</w:t>
      </w:r>
    </w:p>
    <w:p>
      <w:pPr>
        <w:spacing w:after="0" w:line="7" w:lineRule="exact"/>
        <w:rPr>
          <w:rFonts w:ascii="Times New Roman" w:cs="Times New Roman" w:eastAsia="Times New Roman" w:hAnsi="Times New Roman"/>
          <w:sz w:val="14"/>
          <w:szCs w:val="14"/>
          <w:color w:val="auto"/>
        </w:rPr>
      </w:pPr>
    </w:p>
    <w:p>
      <w:pPr>
        <w:ind w:left="1060" w:right="91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Leerink Partners LLC, and a trust for the benefit of Mr. Leerink’s family. Mr. Leerink, a former member of our board of directors, is the Chairman and CEO of Leerink Partners LLC.</w:t>
      </w:r>
    </w:p>
    <w:p>
      <w:pPr>
        <w:spacing w:after="0" w:line="1" w:lineRule="exact"/>
        <w:rPr>
          <w:rFonts w:ascii="Times New Roman" w:cs="Times New Roman" w:eastAsia="Times New Roman" w:hAnsi="Times New Roman"/>
          <w:sz w:val="14"/>
          <w:szCs w:val="14"/>
          <w:color w:val="auto"/>
        </w:rPr>
      </w:pPr>
    </w:p>
    <w:p>
      <w:pPr>
        <w:ind w:left="1060" w:right="759" w:hanging="340"/>
        <w:spacing w:after="0" w:line="250"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Milky Way Investments Group Limited beneficially owns more than 5% of our outstanding capital stock Dr. Klausner, a member of our board of directors, was designated to our board of directors by Milky Way Investments Group Limited and is the founder and managing partner of Milky Way Investments Group Limited.</w:t>
      </w:r>
    </w:p>
    <w:p>
      <w:pPr>
        <w:spacing w:after="0" w:line="1" w:lineRule="exact"/>
        <w:rPr>
          <w:rFonts w:ascii="Times New Roman" w:cs="Times New Roman" w:eastAsia="Times New Roman" w:hAnsi="Times New Roman"/>
          <w:sz w:val="14"/>
          <w:szCs w:val="14"/>
          <w:color w:val="auto"/>
        </w:rPr>
      </w:pPr>
    </w:p>
    <w:p>
      <w:pPr>
        <w:ind w:left="1060" w:right="779" w:hanging="340"/>
        <w:spacing w:after="0" w:line="250"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Nextech VII Oncology SCSp beneficially owns more than 5% of our outstanding capital stock. Mr. Borisy a member of our board of directors, was designated to our board of directors by Nextech VII Oncology SCSp and is Chairman of Nextech Invest.</w:t>
      </w:r>
    </w:p>
    <w:p>
      <w:pPr>
        <w:spacing w:after="0" w:line="1" w:lineRule="exact"/>
        <w:rPr>
          <w:rFonts w:ascii="Times New Roman" w:cs="Times New Roman" w:eastAsia="Times New Roman" w:hAnsi="Times New Roman"/>
          <w:sz w:val="14"/>
          <w:szCs w:val="14"/>
          <w:color w:val="auto"/>
        </w:rPr>
      </w:pPr>
    </w:p>
    <w:p>
      <w:pPr>
        <w:ind w:left="1060" w:right="739" w:hanging="340"/>
        <w:spacing w:after="0" w:line="256"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 Capital collectively refers to RA Capital Healthcare Fund, L.P. and RA Capital Nexus Fund III, L.P. RA Capital beneficially owns more than 5% of our outstanding capital stock. Dr. Simson, a member of our board of directors, was designated to our board of directors by RA Capital and is a partner at RA Capital Management.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5" w:name="page196"/>
    <w:bookmarkEnd w:id="19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60" w:right="779" w:hanging="340"/>
        <w:spacing w:after="0" w:line="267" w:lineRule="auto"/>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venBio Global Strategic Fund III, L.P., together with its affiliate, venBio Fund III SPV I, L.P. (together, “venBio”), beneficially owns more than 5% of our outstanding capital stock. Dr. Goodman, a member of our board of directors, was designated to our board of directors by venBio and is managing partner of venBio Partners.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Series F Convertible Preferred Stock Financing</w:t>
      </w:r>
    </w:p>
    <w:p>
      <w:pPr>
        <w:spacing w:after="0" w:line="93"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In January 2026, we issued and sold an aggregate of 49,518,175 shares of our Series F convertible preferred stock at a price per share of $6.1644 to certain investors, for an aggregate purchase price of approximately $305.2 million.</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the shares of our Series F convertible preferred stock issued to our related parties:</w:t>
      </w:r>
    </w:p>
    <w:p>
      <w:pPr>
        <w:spacing w:after="0" w:line="181" w:lineRule="exact"/>
        <w:rPr>
          <w:sz w:val="20"/>
          <w:szCs w:val="20"/>
          <w:color w:val="auto"/>
        </w:rPr>
      </w:pPr>
    </w:p>
    <w:tbl>
      <w:tblPr>
        <w:tblLayout w:type="fixed"/>
        <w:tblInd w:w="1820" w:type="dxa"/>
        <w:tblCellMar>
          <w:top w:w="0" w:type="dxa"/>
          <w:left w:w="0" w:type="dxa"/>
          <w:bottom w:w="0" w:type="dxa"/>
          <w:right w:w="0" w:type="dxa"/>
        </w:tblCellMar>
      </w:tblPr>
      <w:tr>
        <w:trPr>
          <w:trHeight w:val="126"/>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Purchasers </w:t>
            </w:r>
            <w:r>
              <w:rPr>
                <w:rFonts w:ascii="Times New Roman" w:cs="Times New Roman" w:eastAsia="Times New Roman" w:hAnsi="Times New Roman"/>
                <w:sz w:val="15"/>
                <w:szCs w:val="15"/>
                <w:b w:val="1"/>
                <w:bCs w:val="1"/>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Series F Convertible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Total Purchase</w:t>
            </w:r>
          </w:p>
        </w:tc>
        <w:tc>
          <w:tcPr>
            <w:tcW w:w="0" w:type="dxa"/>
            <w:vAlign w:val="bottom"/>
          </w:tcPr>
          <w:p>
            <w:pPr>
              <w:spacing w:after="0"/>
              <w:rPr>
                <w:sz w:val="1"/>
                <w:szCs w:val="1"/>
                <w:color w:val="auto"/>
              </w:rPr>
            </w:pPr>
          </w:p>
        </w:tc>
      </w:tr>
      <w:tr>
        <w:trPr>
          <w:trHeight w:val="135"/>
        </w:trPr>
        <w:tc>
          <w:tcPr>
            <w:tcW w:w="3240" w:type="dxa"/>
            <w:vAlign w:val="bottom"/>
            <w:vMerge w:val="continue"/>
          </w:tcPr>
          <w:p>
            <w:pPr>
              <w:spacing w:after="0"/>
              <w:rPr>
                <w:sz w:val="11"/>
                <w:szCs w:val="11"/>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9"/>
        </w:trPr>
        <w:tc>
          <w:tcPr>
            <w:tcW w:w="32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 xml:space="preserve">Arch Venture Fund XII, L.P. </w:t>
            </w:r>
            <w:r>
              <w:rPr>
                <w:rFonts w:ascii="Times New Roman" w:cs="Times New Roman" w:eastAsia="Times New Roman" w:hAnsi="Times New Roman"/>
                <w:sz w:val="18"/>
                <w:szCs w:val="18"/>
                <w:color w:val="auto"/>
                <w:vertAlign w:val="superscript"/>
              </w:rPr>
              <w:t>(2)</w:t>
            </w:r>
          </w:p>
        </w:tc>
        <w:tc>
          <w:tcPr>
            <w:tcW w:w="100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3,244,435</w:t>
            </w:r>
          </w:p>
        </w:tc>
        <w:tc>
          <w:tcPr>
            <w:tcW w:w="1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19,999,995</w:t>
            </w:r>
          </w:p>
        </w:tc>
        <w:tc>
          <w:tcPr>
            <w:tcW w:w="0" w:type="dxa"/>
            <w:vAlign w:val="bottom"/>
          </w:tcPr>
          <w:p>
            <w:pPr>
              <w:spacing w:after="0"/>
              <w:rPr>
                <w:sz w:val="1"/>
                <w:szCs w:val="1"/>
                <w:color w:val="auto"/>
              </w:rPr>
            </w:pPr>
          </w:p>
        </w:tc>
      </w:tr>
      <w:tr>
        <w:trPr>
          <w:trHeight w:val="168"/>
        </w:trPr>
        <w:tc>
          <w:tcPr>
            <w:tcW w:w="324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Alexis Borisy </w:t>
            </w:r>
            <w:r>
              <w:rPr>
                <w:rFonts w:ascii="Times New Roman" w:cs="Times New Roman" w:eastAsia="Times New Roman" w:hAnsi="Times New Roman"/>
                <w:sz w:val="18"/>
                <w:szCs w:val="18"/>
                <w:color w:val="auto"/>
                <w:vertAlign w:val="superscript"/>
              </w:rPr>
              <w:t>(3)</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162,221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999,995</w:t>
            </w:r>
          </w:p>
        </w:tc>
        <w:tc>
          <w:tcPr>
            <w:tcW w:w="0" w:type="dxa"/>
            <w:vAlign w:val="bottom"/>
          </w:tcPr>
          <w:p>
            <w:pPr>
              <w:spacing w:after="0"/>
              <w:rPr>
                <w:sz w:val="1"/>
                <w:szCs w:val="1"/>
                <w:color w:val="auto"/>
              </w:rPr>
            </w:pPr>
          </w:p>
        </w:tc>
      </w:tr>
      <w:tr>
        <w:trPr>
          <w:trHeight w:val="168"/>
        </w:trPr>
        <w:tc>
          <w:tcPr>
            <w:tcW w:w="32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Cormorant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2,919,991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17,999,993</w:t>
            </w:r>
          </w:p>
        </w:tc>
        <w:tc>
          <w:tcPr>
            <w:tcW w:w="0" w:type="dxa"/>
            <w:vAlign w:val="bottom"/>
          </w:tcPr>
          <w:p>
            <w:pPr>
              <w:spacing w:after="0"/>
              <w:rPr>
                <w:sz w:val="1"/>
                <w:szCs w:val="1"/>
                <w:color w:val="auto"/>
              </w:rPr>
            </w:pPr>
          </w:p>
        </w:tc>
      </w:tr>
      <w:tr>
        <w:trPr>
          <w:trHeight w:val="168"/>
        </w:trPr>
        <w:tc>
          <w:tcPr>
            <w:tcW w:w="324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Fidelity </w:t>
            </w:r>
            <w:r>
              <w:rPr>
                <w:rFonts w:ascii="Times New Roman" w:cs="Times New Roman" w:eastAsia="Times New Roman" w:hAnsi="Times New Roman"/>
                <w:sz w:val="18"/>
                <w:szCs w:val="18"/>
                <w:color w:val="auto"/>
                <w:vertAlign w:val="superscript"/>
              </w:rPr>
              <w:t>(5)</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8,111,084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49,999,966</w:t>
            </w:r>
          </w:p>
        </w:tc>
        <w:tc>
          <w:tcPr>
            <w:tcW w:w="0" w:type="dxa"/>
            <w:vAlign w:val="bottom"/>
          </w:tcPr>
          <w:p>
            <w:pPr>
              <w:spacing w:after="0"/>
              <w:rPr>
                <w:sz w:val="1"/>
                <w:szCs w:val="1"/>
                <w:color w:val="auto"/>
              </w:rPr>
            </w:pPr>
          </w:p>
        </w:tc>
      </w:tr>
      <w:tr>
        <w:trPr>
          <w:trHeight w:val="168"/>
        </w:trPr>
        <w:tc>
          <w:tcPr>
            <w:tcW w:w="32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GV 2019, L.P. </w:t>
            </w:r>
            <w:r>
              <w:rPr>
                <w:rFonts w:ascii="Times New Roman" w:cs="Times New Roman" w:eastAsia="Times New Roman" w:hAnsi="Times New Roman"/>
                <w:sz w:val="18"/>
                <w:szCs w:val="18"/>
                <w:color w:val="auto"/>
                <w:vertAlign w:val="superscript"/>
              </w:rPr>
              <w:t>(6)</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2,108,883</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12,999,998</w:t>
            </w:r>
          </w:p>
        </w:tc>
        <w:tc>
          <w:tcPr>
            <w:tcW w:w="0" w:type="dxa"/>
            <w:vAlign w:val="bottom"/>
          </w:tcPr>
          <w:p>
            <w:pPr>
              <w:spacing w:after="0"/>
              <w:rPr>
                <w:sz w:val="1"/>
                <w:szCs w:val="1"/>
                <w:color w:val="auto"/>
              </w:rPr>
            </w:pPr>
          </w:p>
        </w:tc>
      </w:tr>
      <w:tr>
        <w:trPr>
          <w:trHeight w:val="168"/>
        </w:trPr>
        <w:tc>
          <w:tcPr>
            <w:tcW w:w="324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Jeffrey Leerink</w:t>
            </w:r>
            <w:r>
              <w:rPr>
                <w:rFonts w:ascii="Times New Roman" w:cs="Times New Roman" w:eastAsia="Times New Roman" w:hAnsi="Times New Roman"/>
                <w:sz w:val="18"/>
                <w:szCs w:val="18"/>
                <w:color w:val="auto"/>
                <w:vertAlign w:val="superscript"/>
              </w:rPr>
              <w:t>(7)</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89,221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549,994</w:t>
            </w:r>
          </w:p>
        </w:tc>
        <w:tc>
          <w:tcPr>
            <w:tcW w:w="0" w:type="dxa"/>
            <w:vAlign w:val="bottom"/>
          </w:tcPr>
          <w:p>
            <w:pPr>
              <w:spacing w:after="0"/>
              <w:rPr>
                <w:sz w:val="1"/>
                <w:szCs w:val="1"/>
                <w:color w:val="auto"/>
              </w:rPr>
            </w:pPr>
          </w:p>
        </w:tc>
      </w:tr>
      <w:tr>
        <w:trPr>
          <w:trHeight w:val="168"/>
        </w:trPr>
        <w:tc>
          <w:tcPr>
            <w:tcW w:w="32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Milky Way Investments Group Limited </w:t>
            </w:r>
            <w:r>
              <w:rPr>
                <w:rFonts w:ascii="Times New Roman" w:cs="Times New Roman" w:eastAsia="Times New Roman" w:hAnsi="Times New Roman"/>
                <w:sz w:val="18"/>
                <w:szCs w:val="18"/>
                <w:color w:val="auto"/>
                <w:vertAlign w:val="superscript"/>
              </w:rPr>
              <w:t>(8)</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1,946,661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11,999,997</w:t>
            </w:r>
          </w:p>
        </w:tc>
        <w:tc>
          <w:tcPr>
            <w:tcW w:w="0" w:type="dxa"/>
            <w:vAlign w:val="bottom"/>
          </w:tcPr>
          <w:p>
            <w:pPr>
              <w:spacing w:after="0"/>
              <w:rPr>
                <w:sz w:val="1"/>
                <w:szCs w:val="1"/>
                <w:color w:val="auto"/>
              </w:rPr>
            </w:pPr>
          </w:p>
        </w:tc>
      </w:tr>
      <w:tr>
        <w:trPr>
          <w:trHeight w:val="168"/>
        </w:trPr>
        <w:tc>
          <w:tcPr>
            <w:tcW w:w="324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 xml:space="preserve">Nextech VII Oncology SCSp </w:t>
            </w:r>
            <w:r>
              <w:rPr>
                <w:rFonts w:ascii="Times New Roman" w:cs="Times New Roman" w:eastAsia="Times New Roman" w:hAnsi="Times New Roman"/>
                <w:sz w:val="18"/>
                <w:szCs w:val="18"/>
                <w:color w:val="auto"/>
                <w:vertAlign w:val="superscript"/>
              </w:rPr>
              <w:t>(9)</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1,946,661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11,999,997</w:t>
            </w:r>
          </w:p>
        </w:tc>
        <w:tc>
          <w:tcPr>
            <w:tcW w:w="0" w:type="dxa"/>
            <w:vAlign w:val="bottom"/>
          </w:tcPr>
          <w:p>
            <w:pPr>
              <w:spacing w:after="0"/>
              <w:rPr>
                <w:sz w:val="1"/>
                <w:szCs w:val="1"/>
                <w:color w:val="auto"/>
              </w:rPr>
            </w:pPr>
          </w:p>
        </w:tc>
      </w:tr>
      <w:tr>
        <w:trPr>
          <w:trHeight w:val="168"/>
        </w:trPr>
        <w:tc>
          <w:tcPr>
            <w:tcW w:w="32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 xml:space="preserve">Entities affiliated with RA Capital </w:t>
            </w:r>
            <w:r>
              <w:rPr>
                <w:rFonts w:ascii="Times New Roman" w:cs="Times New Roman" w:eastAsia="Times New Roman" w:hAnsi="Times New Roman"/>
                <w:sz w:val="18"/>
                <w:szCs w:val="18"/>
                <w:color w:val="auto"/>
                <w:vertAlign w:val="superscript"/>
              </w:rPr>
              <w:t>(10)</w:t>
            </w: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11,112,192</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68,499,996</w:t>
            </w:r>
          </w:p>
        </w:tc>
        <w:tc>
          <w:tcPr>
            <w:tcW w:w="0" w:type="dxa"/>
            <w:vAlign w:val="bottom"/>
          </w:tcPr>
          <w:p>
            <w:pPr>
              <w:spacing w:after="0"/>
              <w:rPr>
                <w:sz w:val="1"/>
                <w:szCs w:val="1"/>
                <w:color w:val="auto"/>
              </w:rPr>
            </w:pPr>
          </w:p>
        </w:tc>
      </w:tr>
      <w:tr>
        <w:trPr>
          <w:trHeight w:val="247"/>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venBio Fund III SPV I, L.P. </w:t>
            </w:r>
            <w:r>
              <w:rPr>
                <w:rFonts w:ascii="Times New Roman" w:cs="Times New Roman" w:eastAsia="Times New Roman" w:hAnsi="Times New Roman"/>
                <w:sz w:val="18"/>
                <w:szCs w:val="18"/>
                <w:color w:val="auto"/>
                <w:vertAlign w:val="superscript"/>
              </w:rPr>
              <w:t>(11)</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3,244,435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16510</wp:posOffset>
            </wp:positionV>
            <wp:extent cx="64071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32" w:lineRule="exact"/>
        <w:rPr>
          <w:sz w:val="20"/>
          <w:szCs w:val="20"/>
          <w:color w:val="auto"/>
        </w:rPr>
      </w:pPr>
    </w:p>
    <w:p>
      <w:pPr>
        <w:ind w:left="1060" w:right="1439" w:hanging="340"/>
        <w:spacing w:after="0" w:line="263"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Stockholders</w:t>
      </w:r>
      <w:r>
        <w:rPr>
          <w:rFonts w:ascii="Times New Roman" w:cs="Times New Roman" w:eastAsia="Times New Roman" w:hAnsi="Times New Roman"/>
          <w:sz w:val="14"/>
          <w:szCs w:val="14"/>
          <w:color w:val="auto"/>
        </w:rPr>
        <w:t>.”</w:t>
      </w:r>
    </w:p>
    <w:p>
      <w:pPr>
        <w:ind w:left="1060" w:hanging="340"/>
        <w:spacing w:after="0"/>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 Venture Fund XII, L.P. beneficially owns more than 5% of our outstanding capital stock.</w:t>
      </w:r>
    </w:p>
    <w:p>
      <w:pPr>
        <w:spacing w:after="0" w:line="7"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Alexis Borisy is a member of our board of directors.</w:t>
      </w:r>
    </w:p>
    <w:p>
      <w:pPr>
        <w:spacing w:after="0" w:line="7" w:lineRule="exact"/>
        <w:rPr>
          <w:rFonts w:ascii="Times New Roman" w:cs="Times New Roman" w:eastAsia="Times New Roman" w:hAnsi="Times New Roman"/>
          <w:sz w:val="14"/>
          <w:szCs w:val="14"/>
          <w:color w:val="auto"/>
        </w:rPr>
      </w:pPr>
    </w:p>
    <w:p>
      <w:pPr>
        <w:ind w:left="1060" w:right="75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Cormorant collectively refers to Cormorant Global Healthcare Master Fund, LP and Cormorant Private Healthcare Fund VI, LP. Cormorant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ind w:left="1060" w:hanging="340"/>
        <w:spacing w:after="0"/>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collectively refers to Fidelity Advisor Series VII: Fidelity Advisor Biotechnology Fund; Fidelity Advisor Series VII:</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Advisor Health Care Fund; Fidelity Growth Company Commingled Pool By: Fidelity Management Trust Company, as</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Fidelity Mount Vernon Street Trust: Fidelity Growth Company Fund; Fidelity Mt. Vernon Street Trust: Fidelity</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Company K6 Fund; Fidelity Mt. Vernon Street Trust: Fidelity Series Growth Company Fund; Fidelity Securities Fund:</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Small Cap Growth Fund Mag &amp; Co.; Fidelity Securities Fund: Fidelity Small Cap Growth K6 Fund; Fidelity Select</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Portfolios: Biotechnology Portfolio Mag &amp; Co.; Fidelity Select Portfolios: Health Care Portfolio Mag &amp; Co.; and Variable</w:t>
      </w:r>
    </w:p>
    <w:p>
      <w:pPr>
        <w:spacing w:after="0" w:line="7" w:lineRule="exact"/>
        <w:rPr>
          <w:rFonts w:ascii="Times New Roman" w:cs="Times New Roman" w:eastAsia="Times New Roman" w:hAnsi="Times New Roman"/>
          <w:sz w:val="14"/>
          <w:szCs w:val="14"/>
          <w:color w:val="auto"/>
        </w:rPr>
      </w:pPr>
    </w:p>
    <w:p>
      <w:pPr>
        <w:ind w:left="1060" w:right="101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Products Fund IV: VIP Health Care Portfolio. Fidelity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ind w:left="1060" w:right="77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GV 2019, L.P., together with its affiliates (collectively, “GV”), beneficially own more than 5% of our outstanding capital stock. Dr. Yeshwant, a member of our board of directors, was designated to our board of directors by GV and is a general partner at GV.</w:t>
      </w:r>
    </w:p>
    <w:p>
      <w:pPr>
        <w:spacing w:after="0" w:line="1" w:lineRule="exact"/>
        <w:rPr>
          <w:rFonts w:ascii="Times New Roman" w:cs="Times New Roman" w:eastAsia="Times New Roman" w:hAnsi="Times New Roman"/>
          <w:sz w:val="14"/>
          <w:szCs w:val="14"/>
          <w:color w:val="auto"/>
        </w:rPr>
      </w:pPr>
    </w:p>
    <w:p>
      <w:pPr>
        <w:ind w:left="1060" w:right="77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purchased by HIIF, Leerink Intermediate Holdings LLC, an affiliate of Leerink Partners LLC, and a trust for the benefit of Mr. Leerink's family. Mr. Leerink, a former member of our board of directors, is the Chairman and CEO of Leerink Partners LLC.</w:t>
      </w:r>
    </w:p>
    <w:p>
      <w:pPr>
        <w:spacing w:after="0" w:line="1" w:lineRule="exact"/>
        <w:rPr>
          <w:rFonts w:ascii="Times New Roman" w:cs="Times New Roman" w:eastAsia="Times New Roman" w:hAnsi="Times New Roman"/>
          <w:sz w:val="14"/>
          <w:szCs w:val="14"/>
          <w:color w:val="auto"/>
        </w:rPr>
      </w:pPr>
    </w:p>
    <w:p>
      <w:pPr>
        <w:ind w:left="1060" w:right="75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Milky Way Investments Group Limited beneficially owns more than 5% of our outstanding capital stock. Dr. Klausner, a member of our board of directors, was designated to our board of directors by Milky Way Investments Group Limited and is the founder and managing partner of Milky Way Investments Group Limited.</w:t>
      </w:r>
    </w:p>
    <w:p>
      <w:pPr>
        <w:spacing w:after="0" w:line="1" w:lineRule="exact"/>
        <w:rPr>
          <w:rFonts w:ascii="Times New Roman" w:cs="Times New Roman" w:eastAsia="Times New Roman" w:hAnsi="Times New Roman"/>
          <w:sz w:val="14"/>
          <w:szCs w:val="14"/>
          <w:color w:val="auto"/>
        </w:rPr>
      </w:pPr>
    </w:p>
    <w:p>
      <w:pPr>
        <w:ind w:left="1060" w:right="77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Nextech VII Oncology SCSp beneficially owns more than 5% of our outstanding capital stock. Mr. Borisy a member of our board of directors, was designated to our board of directors by Nextech VII Oncology SCSp and is Chairman of Nextech Invest.</w:t>
      </w:r>
    </w:p>
    <w:p>
      <w:pPr>
        <w:spacing w:after="0" w:line="1" w:lineRule="exact"/>
        <w:rPr>
          <w:rFonts w:ascii="Times New Roman" w:cs="Times New Roman" w:eastAsia="Times New Roman" w:hAnsi="Times New Roman"/>
          <w:sz w:val="14"/>
          <w:szCs w:val="14"/>
          <w:color w:val="auto"/>
        </w:rPr>
      </w:pPr>
    </w:p>
    <w:p>
      <w:pPr>
        <w:ind w:left="1060" w:right="739" w:hanging="340"/>
        <w:spacing w:after="0" w:line="250"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 Capital collectively refers to RA Capital Healthcare Fund, L.P. and RA Capital Nexus Fund III, L.P. RA Capital beneficially owns more than 5% of our outstanding capital stock. Dr. Simson, a member of our board of directors, was designated to our board of directors by RA Capital and is a partner at RA Capital Management.</w:t>
      </w:r>
    </w:p>
    <w:p>
      <w:pPr>
        <w:spacing w:after="0" w:line="1" w:lineRule="exact"/>
        <w:rPr>
          <w:rFonts w:ascii="Times New Roman" w:cs="Times New Roman" w:eastAsia="Times New Roman" w:hAnsi="Times New Roman"/>
          <w:sz w:val="14"/>
          <w:szCs w:val="14"/>
          <w:color w:val="auto"/>
        </w:rPr>
      </w:pPr>
    </w:p>
    <w:p>
      <w:pPr>
        <w:ind w:left="1060" w:right="819" w:hanging="340"/>
        <w:spacing w:after="0" w:line="256"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venBio Fund III SPV I, L.P., together with its affiliate venBio Global Strategic Fund III, L.P. (together, “venBio”), beneficially owns more than 5% of our outstanding capital stock. Dr. Goodman, a member of our board of directors, was designated to our board of directors by venBio and is managing partner of venBio Partners.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6" w:name="page197"/>
    <w:bookmarkEnd w:id="19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Agreements with Stockholders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Investors’ Rights Agreement</w:t>
      </w:r>
    </w:p>
    <w:p>
      <w:pPr>
        <w:spacing w:after="0" w:line="93" w:lineRule="exact"/>
        <w:rPr>
          <w:sz w:val="20"/>
          <w:szCs w:val="20"/>
          <w:color w:val="auto"/>
        </w:rPr>
      </w:pPr>
    </w:p>
    <w:p>
      <w:pPr>
        <w:jc w:val="both"/>
        <w:ind w:left="720" w:right="1079" w:firstLine="343"/>
        <w:spacing w:after="0" w:line="267" w:lineRule="auto"/>
        <w:rPr>
          <w:sz w:val="20"/>
          <w:szCs w:val="20"/>
          <w:color w:val="auto"/>
        </w:rPr>
      </w:pPr>
      <w:r>
        <w:rPr>
          <w:rFonts w:ascii="Times New Roman" w:cs="Times New Roman" w:eastAsia="Times New Roman" w:hAnsi="Times New Roman"/>
          <w:sz w:val="14"/>
          <w:szCs w:val="14"/>
          <w:color w:val="auto"/>
        </w:rPr>
        <w:t>We are a party to a sixth amended and restated investors’ rights agreement, dated as of January 6, 2026 (“investors’ rights agreement”), with certain holders of our convertible preferred stock, including holders of five percent or more of our outstanding capital stock and entities affiliated with certain of our directors.</w:t>
      </w:r>
    </w:p>
    <w:p>
      <w:pPr>
        <w:spacing w:after="0" w:line="136"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The investors’ rights agreement provides certain holders of our convertible preferred stock with a participation right to purchase their pro rata share of new securities that we may propose to sell and issue, subject to certain exceptions. Such participation right will terminate immediately prior to the closing of this offering. The investors’ rights agreement further provides certain holders of our convertible preferred stock with certain rights, including certain registration rights with respect to the registrable securities held by them. See the section titled “</w:t>
      </w:r>
      <w:r>
        <w:rPr>
          <w:rFonts w:ascii="Times New Roman" w:cs="Times New Roman" w:eastAsia="Times New Roman" w:hAnsi="Times New Roman"/>
          <w:sz w:val="14"/>
          <w:szCs w:val="14"/>
          <w:i w:val="1"/>
          <w:iCs w:val="1"/>
          <w:color w:val="auto"/>
        </w:rPr>
        <w:t>Description of Capital Stock—Registration Rights</w:t>
      </w:r>
      <w:r>
        <w:rPr>
          <w:rFonts w:ascii="Times New Roman" w:cs="Times New Roman" w:eastAsia="Times New Roman" w:hAnsi="Times New Roman"/>
          <w:sz w:val="14"/>
          <w:szCs w:val="14"/>
          <w:color w:val="auto"/>
        </w:rPr>
        <w:t>” for additional information.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Voting Agreement</w:t>
      </w:r>
    </w:p>
    <w:p>
      <w:pPr>
        <w:spacing w:after="0" w:line="9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We are a party to a fifth amended and restated voting agreement, dated as of January 6, 2026 (“voting agreement”), with the holders of our convertible preferred stock and certain holders of our common stock, including holders of five percent or more of our capital stock, and entities affiliated with certain of our directors. Pursuant to the voting agreement, we agreed to appoint to our board of directors: one representative designated by holders of our Series A convertible preferred stock, currently vacant; one representative designated by GV 2017, L.P., Krishna Yeshwant; one representative designated by venBio Global Strategic Fund III, L.P., currently vacant; one representative designated by Milky Way Investments Group Limited, Rick Klausner; one representative designated by Nextech VII Oncology SCSp, Alexis Borisy; one representative designated by RA Capital, Jake Simson; the Company’s Chief Executive Officer, Mathai Mammen, and up to three individuals not otherwise affiliated with the Company or any investor, including Edward Fitzgerald and Barbara Weber. 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the section titled “</w:t>
      </w:r>
      <w:r>
        <w:rPr>
          <w:rFonts w:ascii="Times New Roman" w:cs="Times New Roman" w:eastAsia="Times New Roman" w:hAnsi="Times New Roman"/>
          <w:sz w:val="14"/>
          <w:szCs w:val="14"/>
          <w:i w:val="1"/>
          <w:iCs w:val="1"/>
          <w:color w:val="auto"/>
        </w:rPr>
        <w:t>Management—Board Composition and Filling Vacancies</w:t>
      </w:r>
      <w:r>
        <w:rPr>
          <w:rFonts w:ascii="Times New Roman" w:cs="Times New Roman" w:eastAsia="Times New Roman" w:hAnsi="Times New Roman"/>
          <w:sz w:val="14"/>
          <w:szCs w:val="14"/>
          <w:color w:val="auto"/>
        </w:rPr>
        <w:t>.”</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Right of Refusal and Co-Sale Agreement</w:t>
      </w:r>
    </w:p>
    <w:p>
      <w:pPr>
        <w:spacing w:after="0" w:line="93"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We are a party to a fifth amended and restated right of first refusal and co-sale agreement, dated as of January 6, 2026 (the “ROFR agreement”), with the holders of our convertible preferred stock and certain holders of our common stock, including holders of five percent or more of our capital stock, and entities affiliated with certain of our directors. Pursuant to the ROFR agreement, we have a right of first refusal on certain transfers of our shares by certain key holders of our convertible preferred stock, certain significant holders of our convertible preferred stock have a secondary right of first refusal on such transfers, and such convertible preferred stockholders have a right of co-sale to participate in respect of such transfers on a pro rata basis. The ROFR agreement will terminate immediately prior to the closing of this offering.</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Management Rights and Side Letters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connection with the initial issuance and sale of our convertible preferred stock, we entered into management rights and side letters with certain purchasers of our preferred stock, including holders of five percent or more of our capital stock and entities affiliated with certain of our directors. Pursuant to these agreements, such entities were granted certain management rights, including, among other things, the right to consult with and advise our management on significant business issues, examine our books and records, inspect our facilities and to receive information concerning the general status of our financial condition and operations, all subject to certain exceptions for highly confidential proprietary information and attorney-client privileged materials. Except for certain confidentiality obligations, publicity restrictions, legend removal matters, rights of investors to conduct investment activities, market standoff provisions and provisions related to material non-public information, the rights under these management rights and side letters will terminate upon closing of this offering.</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Sublease</w:t>
      </w:r>
    </w:p>
    <w:p>
      <w:pPr>
        <w:spacing w:after="0" w:line="9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In December 2019, we entered into a sublease with LifeMine Therapeutics, Inc. (“LifeMine”), as subsequently amended, pursuant to which we subleased to LifeMine approximately 56,000 square feet of office and laboratory space at our Cambridge, Massachusetts headquarters. The sublease expired on December 31, 2025. Rick Klausner, M.D., a member of our board of directors, is the Co-Founder and Chairman of LifeMine. Under the terms of the sublease, LifeMine paid us $6.1 million, $6.5 million and $6.2 million for each of the years ended December 31, 2023, 2024 and 2025, respectively.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7" w:name="page198"/>
    <w:bookmarkEnd w:id="19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Employment Arrangements</w:t>
      </w:r>
    </w:p>
    <w:p>
      <w:pPr>
        <w:spacing w:after="0" w:line="93"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We have entered into offer letter agreements with certain of our executive officers, and granted stock options to our executive officers, as more fully described in the section 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Equity Grants</w:t>
      </w:r>
    </w:p>
    <w:p>
      <w:pPr>
        <w:spacing w:after="0" w:line="9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We have granted options to purchase shares of our common stock to certain of our executive officers and directors. For more information regarding the options granted to our executive officers and directors, see the sections 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Director Compensation</w:t>
      </w:r>
      <w:r>
        <w:rPr>
          <w:rFonts w:ascii="Times New Roman" w:cs="Times New Roman" w:eastAsia="Times New Roman" w:hAnsi="Times New Roman"/>
          <w:sz w:val="14"/>
          <w:szCs w:val="14"/>
          <w:color w:val="auto"/>
        </w:rPr>
        <w:t>” included elsewhere in this prospectus.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seventh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w:t>
      </w:r>
      <w:r>
        <w:rPr>
          <w:rFonts w:ascii="Times New Roman" w:cs="Times New Roman" w:eastAsia="Times New Roman" w:hAnsi="Times New Roman"/>
          <w:sz w:val="14"/>
          <w:szCs w:val="14"/>
          <w:i w:val="1"/>
          <w:iCs w:val="1"/>
          <w:color w:val="auto"/>
        </w:rPr>
        <w:t>Management—Limitations on Liability and Indemnification Agreements</w:t>
      </w:r>
      <w:r>
        <w:rPr>
          <w:rFonts w:ascii="Times New Roman" w:cs="Times New Roman" w:eastAsia="Times New Roman" w:hAnsi="Times New Roman"/>
          <w:sz w:val="14"/>
          <w:szCs w:val="14"/>
          <w:color w:val="auto"/>
        </w:rPr>
        <w:t>” included elsewhere in this prospectus.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Jeffrey Leerink</w:t>
      </w:r>
    </w:p>
    <w:p>
      <w:pPr>
        <w:spacing w:after="0" w:line="93"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Jeffrey Leerink, who stepped down as a member of our board of directors in May 2026, is the Chairman and CEO of Leerink Partners, an underwriter of this offering. In connection with the consummation of this offering, Leerink Partners will receive its proportional share of the underwriting fees described in the “Underwriting” section of this prospectus. We expect the proportional fee paid to Leerink Partners will exceed $120,000. Mr. Leerink does not have any direct or indirect interest in the underwriting arrangement other than in his position as Chairman and CEO and as a stockholder of Leerink Partners.</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Following Mr. Leerink’s departure from our board of directors in May 2026, we and Mr. Leerink entered into an advisory agreement pursuant to which Mr. Leerink will provide advisory services to the Company. As consideration for these advisory services, we have agreed to grant Mr. Leerink a non-statutory stock option to purchase 110,000 shares of our common stock, contingent on, and effective immediately following, the IPO Effective Date, subject to continued service to us pursuant to the advisory agreement through such date and the IPO Effective Date occurring no later than December 31, 2026. If this offering does not close within five business days after the IPO Effective Date, then the stock options will be forfeited at such time. The stock options will have a per share exercise price equal to the “price to the public” (or equivalent) set forth on the cover page of the final prospectus included in the registration statement, which will be the fair market value of a share of our common stock on the grant date of the stock options. The stock options will vest monthly over a four-year period, subject to Mr. Leerink’s continued service to us pursuant to the advisory agreement.The stock options will be granted under the 2026 Plan.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Policies and Procedures for Transactions with Related Persons</w:t>
      </w:r>
    </w:p>
    <w:p>
      <w:pPr>
        <w:spacing w:after="0" w:line="93" w:lineRule="exact"/>
        <w:rPr>
          <w:sz w:val="20"/>
          <w:szCs w:val="20"/>
          <w:color w:val="auto"/>
        </w:rPr>
      </w:pPr>
    </w:p>
    <w:p>
      <w:pPr>
        <w:ind w:left="720" w:right="739" w:firstLine="343"/>
        <w:spacing w:after="0" w:line="275" w:lineRule="auto"/>
        <w:rPr>
          <w:sz w:val="20"/>
          <w:szCs w:val="20"/>
          <w:color w:val="auto"/>
        </w:rPr>
      </w:pPr>
      <w:r>
        <w:rPr>
          <w:rFonts w:ascii="Times New Roman" w:cs="Times New Roman" w:eastAsia="Times New Roman" w:hAnsi="Times New Roman"/>
          <w:sz w:val="13"/>
          <w:szCs w:val="13"/>
          <w:color w:val="auto"/>
        </w:rPr>
        <w:t>Prior to completion of this offering, we intend to adopt a written policy that our executive officers, directors, nominees for election as a director, beneficial owners of more than 5%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8" w:name="page199"/>
    <w:bookmarkEnd w:id="19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sets forth information regarding beneficial ownership of our capital stock as of April 30, 2026 by:</w:t>
      </w:r>
    </w:p>
    <w:p>
      <w:pPr>
        <w:spacing w:after="0" w:line="91" w:lineRule="exact"/>
        <w:rPr>
          <w:sz w:val="20"/>
          <w:szCs w:val="20"/>
          <w:color w:val="auto"/>
        </w:rPr>
      </w:pPr>
    </w:p>
    <w:p>
      <w:pPr>
        <w:ind w:left="1480" w:hanging="246"/>
        <w:spacing w:after="0"/>
        <w:tabs>
          <w:tab w:leader="none" w:pos="14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current executive officers and directors as a group.</w:t>
      </w:r>
    </w:p>
    <w:p>
      <w:pPr>
        <w:spacing w:after="0" w:line="17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 subject to community property laws where applicable. We have deemed shares of common stock subject to options that are currently exercisable or exercisable within 60 days of April 30,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44"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Applicable percentage ownership before the offering is based on an aggregate of 119,586,303 shares of common stock and no non-voting common stock deemed to be outstanding as of April 30, 2026, after giving effect to the conversion of all outstanding shares of convertible preferred stock upon the closing of this offering and excludes the shares issuable upon the conversion of our outstanding SAFE.</w:t>
      </w:r>
    </w:p>
    <w:p>
      <w:pPr>
        <w:spacing w:after="0" w:line="1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Applicable percentage ownership after the offering and the concurrent private placement is based on         shares of common</w:t>
      </w:r>
    </w:p>
    <w:p>
      <w:pPr>
        <w:spacing w:after="0" w:line="22" w:lineRule="exact"/>
        <w:rPr>
          <w:sz w:val="20"/>
          <w:szCs w:val="20"/>
          <w:color w:val="auto"/>
        </w:rPr>
      </w:pPr>
    </w:p>
    <w:p>
      <w:pPr>
        <w:ind w:left="720" w:right="779"/>
        <w:spacing w:after="0" w:line="250" w:lineRule="auto"/>
        <w:rPr>
          <w:sz w:val="20"/>
          <w:szCs w:val="20"/>
          <w:color w:val="auto"/>
        </w:rPr>
      </w:pPr>
      <w:r>
        <w:rPr>
          <w:rFonts w:ascii="Times New Roman" w:cs="Times New Roman" w:eastAsia="Times New Roman" w:hAnsi="Times New Roman"/>
          <w:sz w:val="14"/>
          <w:szCs w:val="14"/>
          <w:color w:val="auto"/>
        </w:rPr>
        <w:t>stock (including shares of non-voting common stock) assumed to be outstanding immediately after the closing of this offering (assuming the sale of shares of common stock in this offering and no exercise of the underwriters’ overallotment option) including (1)</w:t>
      </w:r>
    </w:p>
    <w:p>
      <w:pPr>
        <w:spacing w:after="0" w:line="1" w:lineRule="exact"/>
        <w:rPr>
          <w:sz w:val="20"/>
          <w:szCs w:val="20"/>
          <w:color w:val="auto"/>
        </w:rPr>
      </w:pPr>
    </w:p>
    <w:p>
      <w:pPr>
        <w:ind w:left="720" w:right="1019"/>
        <w:spacing w:after="0" w:line="250" w:lineRule="auto"/>
        <w:rPr>
          <w:sz w:val="20"/>
          <w:szCs w:val="20"/>
          <w:color w:val="auto"/>
        </w:rPr>
      </w:pPr>
      <w:r>
        <w:rPr>
          <w:rFonts w:ascii="Times New Roman" w:cs="Times New Roman" w:eastAsia="Times New Roman" w:hAnsi="Times New Roman"/>
          <w:sz w:val="14"/>
          <w:szCs w:val="14"/>
          <w:color w:val="auto"/>
        </w:rPr>
        <w:t>the conversion of all outstanding shares of convertible preferred stock into an aggregate of shares of our common stock and shares of non-voting common stock, and (2) shares issuable upon the conversion of our outstanding SAFE into shares of our</w:t>
      </w:r>
    </w:p>
    <w:p>
      <w:pPr>
        <w:spacing w:after="0" w:line="1" w:lineRule="exact"/>
        <w:rPr>
          <w:sz w:val="20"/>
          <w:szCs w:val="20"/>
          <w:color w:val="auto"/>
        </w:rPr>
      </w:pPr>
    </w:p>
    <w:p>
      <w:pPr>
        <w:ind w:left="720" w:right="979"/>
        <w:spacing w:after="0" w:line="261" w:lineRule="auto"/>
        <w:rPr>
          <w:sz w:val="20"/>
          <w:szCs w:val="20"/>
          <w:color w:val="auto"/>
        </w:rPr>
      </w:pPr>
      <w:r>
        <w:rPr>
          <w:rFonts w:ascii="Times New Roman" w:cs="Times New Roman" w:eastAsia="Times New Roman" w:hAnsi="Times New Roman"/>
          <w:sz w:val="14"/>
          <w:szCs w:val="14"/>
          <w:color w:val="auto"/>
        </w:rPr>
        <w:t>common stock at an assumed initial public offering price of $ per share, which is the midpoint of the price range set forth on the cover page of this prospectus.</w:t>
      </w:r>
    </w:p>
    <w:p>
      <w:pPr>
        <w:spacing w:after="0" w:line="140" w:lineRule="exact"/>
        <w:rPr>
          <w:sz w:val="20"/>
          <w:szCs w:val="20"/>
          <w:color w:val="auto"/>
        </w:rPr>
      </w:pPr>
    </w:p>
    <w:p>
      <w:pPr>
        <w:ind w:left="720" w:right="93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the address for each beneficial owner listed in the table below is c/o Parabilis Medicines, Inc., 30 Acorn Park Drive, Cambridge, MA 02140.</w:t>
      </w:r>
    </w:p>
    <w:p>
      <w:pPr>
        <w:spacing w:after="0" w:line="140" w:lineRule="exact"/>
        <w:rPr>
          <w:sz w:val="20"/>
          <w:szCs w:val="20"/>
          <w:color w:val="auto"/>
        </w:rPr>
      </w:pPr>
    </w:p>
    <w:tbl>
      <w:tblPr>
        <w:tblLayout w:type="fixed"/>
        <w:tblInd w:w="7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Before this Offering</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80" w:type="dxa"/>
            <w:vAlign w:val="bottom"/>
            <w:gridSpan w:val="7"/>
          </w:tcPr>
          <w:p>
            <w:pPr>
              <w:ind w:left="200"/>
              <w:spacing w:after="0"/>
              <w:rPr>
                <w:sz w:val="20"/>
                <w:szCs w:val="20"/>
                <w:color w:val="auto"/>
              </w:rPr>
            </w:pPr>
            <w:r>
              <w:rPr>
                <w:rFonts w:ascii="Times New Roman" w:cs="Times New Roman" w:eastAsia="Times New Roman" w:hAnsi="Times New Roman"/>
                <w:sz w:val="10"/>
                <w:szCs w:val="10"/>
                <w:b w:val="1"/>
                <w:bCs w:val="1"/>
                <w:color w:val="auto"/>
              </w:rPr>
              <w:t>After this Offering and the Concurrent Private</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3"/>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Placement</w:t>
            </w: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40"/>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60" w:type="dxa"/>
            <w:vAlign w:val="bottom"/>
          </w:tcPr>
          <w:p>
            <w:pPr>
              <w:spacing w:after="0"/>
              <w:rPr>
                <w:sz w:val="9"/>
                <w:szCs w:val="9"/>
                <w:color w:val="auto"/>
              </w:rPr>
            </w:pPr>
          </w:p>
        </w:tc>
        <w:tc>
          <w:tcPr>
            <w:tcW w:w="76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7"/>
              </w:rPr>
              <w:t>Shares of Non-</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84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Shares of Non-</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740" w:type="dxa"/>
            <w:vAlign w:val="bottom"/>
            <w:gridSpan w:val="2"/>
          </w:tcPr>
          <w:p>
            <w:pPr>
              <w:jc w:val="center"/>
              <w:ind w:right="11"/>
              <w:spacing w:after="0" w:line="105"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60" w:type="dxa"/>
            <w:vAlign w:val="bottom"/>
          </w:tcPr>
          <w:p>
            <w:pPr>
              <w:spacing w:after="0"/>
              <w:rPr>
                <w:sz w:val="9"/>
                <w:szCs w:val="9"/>
                <w:color w:val="auto"/>
              </w:rPr>
            </w:pPr>
          </w:p>
        </w:tc>
        <w:tc>
          <w:tcPr>
            <w:tcW w:w="76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w w:val="95"/>
              </w:rPr>
              <w:t>Voting Common</w:t>
            </w:r>
          </w:p>
        </w:tc>
        <w:tc>
          <w:tcPr>
            <w:tcW w:w="60" w:type="dxa"/>
            <w:vAlign w:val="bottom"/>
          </w:tcPr>
          <w:p>
            <w:pPr>
              <w:spacing w:after="0"/>
              <w:rPr>
                <w:sz w:val="9"/>
                <w:szCs w:val="9"/>
                <w:color w:val="auto"/>
              </w:rPr>
            </w:pPr>
          </w:p>
        </w:tc>
        <w:tc>
          <w:tcPr>
            <w:tcW w:w="740" w:type="dxa"/>
            <w:vAlign w:val="bottom"/>
          </w:tcPr>
          <w:p>
            <w:pPr>
              <w:jc w:val="center"/>
              <w:ind w:right="51"/>
              <w:spacing w:after="0" w:line="105"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84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8"/>
              </w:rPr>
              <w:t>Voting Common</w:t>
            </w:r>
          </w:p>
        </w:tc>
        <w:tc>
          <w:tcPr>
            <w:tcW w:w="7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Percentage of</w:t>
            </w: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60" w:type="dxa"/>
            <w:vAlign w:val="bottom"/>
          </w:tcPr>
          <w:p>
            <w:pPr>
              <w:spacing w:after="0"/>
              <w:rPr>
                <w:sz w:val="9"/>
                <w:szCs w:val="9"/>
                <w:color w:val="auto"/>
              </w:rPr>
            </w:pPr>
          </w:p>
        </w:tc>
        <w:tc>
          <w:tcPr>
            <w:tcW w:w="76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00" w:type="dxa"/>
            <w:vAlign w:val="bottom"/>
          </w:tcPr>
          <w:p>
            <w:pPr>
              <w:spacing w:after="0"/>
              <w:rPr>
                <w:sz w:val="9"/>
                <w:szCs w:val="9"/>
                <w:color w:val="auto"/>
              </w:rPr>
            </w:pPr>
          </w:p>
        </w:tc>
        <w:tc>
          <w:tcPr>
            <w:tcW w:w="6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7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740" w:type="dxa"/>
            <w:vAlign w:val="bottom"/>
            <w:gridSpan w:val="2"/>
          </w:tcPr>
          <w:p>
            <w:pPr>
              <w:jc w:val="center"/>
              <w:ind w:right="11"/>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0" w:type="dxa"/>
            <w:vAlign w:val="bottom"/>
          </w:tcPr>
          <w:p>
            <w:pPr>
              <w:spacing w:after="0"/>
              <w:rPr>
                <w:sz w:val="9"/>
                <w:szCs w:val="9"/>
                <w:color w:val="auto"/>
              </w:rPr>
            </w:pPr>
          </w:p>
        </w:tc>
        <w:tc>
          <w:tcPr>
            <w:tcW w:w="76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0" w:type="dxa"/>
            <w:vAlign w:val="bottom"/>
          </w:tcPr>
          <w:p>
            <w:pPr>
              <w:spacing w:after="0"/>
              <w:rPr>
                <w:sz w:val="9"/>
                <w:szCs w:val="9"/>
                <w:color w:val="auto"/>
              </w:rPr>
            </w:pPr>
          </w:p>
        </w:tc>
        <w:tc>
          <w:tcPr>
            <w:tcW w:w="740" w:type="dxa"/>
            <w:vAlign w:val="bottom"/>
          </w:tcPr>
          <w:p>
            <w:pPr>
              <w:jc w:val="center"/>
              <w:ind w:right="51"/>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4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7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60" w:type="dxa"/>
            <w:vAlign w:val="bottom"/>
          </w:tcPr>
          <w:p>
            <w:pPr>
              <w:spacing w:after="0"/>
              <w:rPr>
                <w:sz w:val="10"/>
                <w:szCs w:val="10"/>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60" w:type="dxa"/>
            <w:vAlign w:val="bottom"/>
          </w:tcPr>
          <w:p>
            <w:pPr>
              <w:spacing w:after="0"/>
              <w:rPr>
                <w:sz w:val="10"/>
                <w:szCs w:val="10"/>
                <w:color w:val="auto"/>
              </w:rPr>
            </w:pPr>
          </w:p>
        </w:tc>
        <w:tc>
          <w:tcPr>
            <w:tcW w:w="7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200" w:type="dxa"/>
            <w:vAlign w:val="bottom"/>
          </w:tcPr>
          <w:p>
            <w:pPr>
              <w:spacing w:after="0"/>
              <w:rPr>
                <w:sz w:val="10"/>
                <w:szCs w:val="10"/>
                <w:color w:val="auto"/>
              </w:rPr>
            </w:pPr>
          </w:p>
        </w:tc>
        <w:tc>
          <w:tcPr>
            <w:tcW w:w="560" w:type="dxa"/>
            <w:vAlign w:val="bottom"/>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20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5% or Greater Shareholders:</w:t>
            </w:r>
          </w:p>
        </w:tc>
        <w:tc>
          <w:tcPr>
            <w:tcW w:w="7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ARCH Venture Fund XII, L.P. </w:t>
            </w:r>
            <w:r>
              <w:rPr>
                <w:rFonts w:ascii="Times New Roman" w:cs="Times New Roman" w:eastAsia="Times New Roman" w:hAnsi="Times New Roman"/>
                <w:sz w:val="16"/>
                <w:szCs w:val="16"/>
                <w:color w:val="auto"/>
                <w:vertAlign w:val="superscript"/>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9,868,608</w:t>
            </w:r>
          </w:p>
        </w:tc>
        <w:tc>
          <w:tcPr>
            <w:tcW w:w="60" w:type="dxa"/>
            <w:vAlign w:val="bottom"/>
          </w:tcPr>
          <w:p>
            <w:pPr>
              <w:spacing w:after="0"/>
              <w:rPr>
                <w:sz w:val="13"/>
                <w:szCs w:val="13"/>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3"/>
                <w:szCs w:val="13"/>
                <w:color w:val="auto"/>
              </w:rPr>
              <w:t>8.25%</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Entities affiliated with Cormorant</w:t>
            </w:r>
            <w:r>
              <w:rPr>
                <w:rFonts w:ascii="Times New Roman" w:cs="Times New Roman" w:eastAsia="Times New Roman" w:hAnsi="Times New Roman"/>
                <w:sz w:val="16"/>
                <w:szCs w:val="16"/>
                <w:color w:val="auto"/>
                <w:vertAlign w:val="superscript"/>
              </w:rPr>
              <w:t>(2)</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6,718,230</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3"/>
                <w:szCs w:val="13"/>
                <w:color w:val="auto"/>
              </w:rPr>
              <w:t>5.62%</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Entities affiliated with FMR LLC</w:t>
            </w:r>
            <w:r>
              <w:rPr>
                <w:rFonts w:ascii="Times New Roman" w:cs="Times New Roman" w:eastAsia="Times New Roman" w:hAnsi="Times New Roman"/>
                <w:sz w:val="16"/>
                <w:szCs w:val="16"/>
                <w:color w:val="auto"/>
                <w:vertAlign w:val="superscript"/>
              </w:rPr>
              <w:t>(3)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13,477,013</w:t>
            </w:r>
          </w:p>
        </w:tc>
        <w:tc>
          <w:tcPr>
            <w:tcW w:w="60" w:type="dxa"/>
            <w:vAlign w:val="bottom"/>
          </w:tcPr>
          <w:p>
            <w:pPr>
              <w:spacing w:after="0"/>
              <w:rPr>
                <w:sz w:val="13"/>
                <w:szCs w:val="13"/>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3"/>
                <w:szCs w:val="13"/>
                <w:color w:val="auto"/>
              </w:rPr>
              <w:t>11.27%</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Entities affiliated with GV</w:t>
            </w:r>
            <w:r>
              <w:rPr>
                <w:rFonts w:ascii="Times New Roman" w:cs="Times New Roman" w:eastAsia="Times New Roman" w:hAnsi="Times New Roman"/>
                <w:sz w:val="16"/>
                <w:szCs w:val="16"/>
                <w:color w:val="auto"/>
                <w:vertAlign w:val="superscript"/>
              </w:rPr>
              <w:t>(4)</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7,437,876</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3"/>
                <w:szCs w:val="13"/>
                <w:color w:val="auto"/>
              </w:rPr>
              <w:t>6.22%</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Milky Way Investments Group Limited</w:t>
            </w:r>
            <w:r>
              <w:rPr>
                <w:rFonts w:ascii="Times New Roman" w:cs="Times New Roman" w:eastAsia="Times New Roman" w:hAnsi="Times New Roman"/>
                <w:sz w:val="16"/>
                <w:szCs w:val="16"/>
                <w:color w:val="auto"/>
                <w:vertAlign w:val="superscript"/>
              </w:rPr>
              <w:t>(5)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7,039,416</w:t>
            </w:r>
          </w:p>
        </w:tc>
        <w:tc>
          <w:tcPr>
            <w:tcW w:w="60" w:type="dxa"/>
            <w:vAlign w:val="bottom"/>
          </w:tcPr>
          <w:p>
            <w:pPr>
              <w:spacing w:after="0"/>
              <w:rPr>
                <w:sz w:val="13"/>
                <w:szCs w:val="13"/>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3"/>
                <w:szCs w:val="13"/>
                <w:color w:val="auto"/>
              </w:rPr>
              <w:t>5.89%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 xml:space="preserve">Nextech VII Oncology SCSp </w:t>
            </w:r>
            <w:r>
              <w:rPr>
                <w:rFonts w:ascii="Times New Roman" w:cs="Times New Roman" w:eastAsia="Times New Roman" w:hAnsi="Times New Roman"/>
                <w:sz w:val="16"/>
                <w:szCs w:val="16"/>
                <w:color w:val="auto"/>
                <w:vertAlign w:val="superscript"/>
              </w:rPr>
              <w:t>(6)</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6,406,708</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3"/>
                <w:szCs w:val="13"/>
                <w:color w:val="auto"/>
              </w:rPr>
              <w:t>5.36%</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Entities affiliated with RA Capital </w:t>
            </w:r>
            <w:r>
              <w:rPr>
                <w:rFonts w:ascii="Times New Roman" w:cs="Times New Roman" w:eastAsia="Times New Roman" w:hAnsi="Times New Roman"/>
                <w:sz w:val="16"/>
                <w:szCs w:val="16"/>
                <w:color w:val="auto"/>
                <w:vertAlign w:val="superscript"/>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11,918,200</w:t>
            </w:r>
          </w:p>
        </w:tc>
        <w:tc>
          <w:tcPr>
            <w:tcW w:w="60" w:type="dxa"/>
            <w:vAlign w:val="bottom"/>
          </w:tcPr>
          <w:p>
            <w:pPr>
              <w:spacing w:after="0"/>
              <w:rPr>
                <w:sz w:val="13"/>
                <w:szCs w:val="13"/>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3"/>
                <w:szCs w:val="13"/>
                <w:color w:val="auto"/>
              </w:rPr>
              <w:t>9.97%</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Entities affiliated with venBio</w:t>
            </w:r>
            <w:r>
              <w:rPr>
                <w:rFonts w:ascii="Times New Roman" w:cs="Times New Roman" w:eastAsia="Times New Roman" w:hAnsi="Times New Roman"/>
                <w:sz w:val="16"/>
                <w:szCs w:val="16"/>
                <w:color w:val="auto"/>
                <w:vertAlign w:val="superscript"/>
              </w:rPr>
              <w:t>(8)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7,951,016</w:t>
            </w:r>
          </w:p>
        </w:tc>
        <w:tc>
          <w:tcPr>
            <w:tcW w:w="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3"/>
                <w:szCs w:val="13"/>
                <w:color w:val="auto"/>
              </w:rPr>
              <w:t>6.65%</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9" w:name="page200"/>
    <w:bookmarkEnd w:id="19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72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After the Offering and the Concurrent Private</w:t>
            </w:r>
          </w:p>
        </w:tc>
      </w:tr>
      <w:tr>
        <w:trPr>
          <w:trHeight w:val="105"/>
        </w:trPr>
        <w:tc>
          <w:tcPr>
            <w:tcW w:w="2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Before this Offering</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8"/>
              </w:rPr>
              <w:t>Placement</w:t>
            </w:r>
          </w:p>
        </w:tc>
        <w:tc>
          <w:tcPr>
            <w:tcW w:w="780" w:type="dxa"/>
            <w:vAlign w:val="bottom"/>
          </w:tcPr>
          <w:p>
            <w:pPr>
              <w:spacing w:after="0"/>
              <w:rPr>
                <w:sz w:val="9"/>
                <w:szCs w:val="9"/>
                <w:color w:val="auto"/>
              </w:rPr>
            </w:pPr>
          </w:p>
        </w:tc>
      </w:tr>
      <w:tr>
        <w:trPr>
          <w:trHeight w:val="105"/>
        </w:trPr>
        <w:tc>
          <w:tcPr>
            <w:tcW w:w="2820" w:type="dxa"/>
            <w:vAlign w:val="bottom"/>
          </w:tcPr>
          <w:p>
            <w:pPr>
              <w:spacing w:after="0"/>
              <w:rPr>
                <w:sz w:val="9"/>
                <w:szCs w:val="9"/>
                <w:color w:val="auto"/>
              </w:rPr>
            </w:pPr>
          </w:p>
        </w:tc>
        <w:tc>
          <w:tcPr>
            <w:tcW w:w="7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0" w:type="dxa"/>
            <w:vAlign w:val="bottom"/>
          </w:tcPr>
          <w:p>
            <w:pPr>
              <w:spacing w:after="0"/>
              <w:rPr>
                <w:sz w:val="9"/>
                <w:szCs w:val="9"/>
                <w:color w:val="auto"/>
              </w:rPr>
            </w:pP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8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780" w:type="dxa"/>
            <w:vAlign w:val="bottom"/>
          </w:tcPr>
          <w:p>
            <w:pPr>
              <w:spacing w:after="0"/>
              <w:rPr>
                <w:sz w:val="9"/>
                <w:szCs w:val="9"/>
                <w:color w:val="auto"/>
              </w:rPr>
            </w:pPr>
          </w:p>
        </w:tc>
      </w:tr>
      <w:tr>
        <w:trPr>
          <w:trHeight w:val="105"/>
        </w:trPr>
        <w:tc>
          <w:tcPr>
            <w:tcW w:w="2820" w:type="dxa"/>
            <w:vAlign w:val="bottom"/>
          </w:tcPr>
          <w:p>
            <w:pPr>
              <w:spacing w:after="0"/>
              <w:rPr>
                <w:sz w:val="9"/>
                <w:szCs w:val="9"/>
                <w:color w:val="auto"/>
              </w:rPr>
            </w:pPr>
          </w:p>
        </w:tc>
        <w:tc>
          <w:tcPr>
            <w:tcW w:w="7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80" w:type="dxa"/>
            <w:vAlign w:val="bottom"/>
          </w:tcPr>
          <w:p>
            <w:pPr>
              <w:spacing w:after="0"/>
              <w:rPr>
                <w:sz w:val="9"/>
                <w:szCs w:val="9"/>
                <w:color w:val="auto"/>
              </w:rPr>
            </w:pPr>
          </w:p>
        </w:tc>
        <w:tc>
          <w:tcPr>
            <w:tcW w:w="80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Shares of Non-</w:t>
            </w:r>
          </w:p>
        </w:tc>
        <w:tc>
          <w:tcPr>
            <w:tcW w:w="40" w:type="dxa"/>
            <w:vAlign w:val="bottom"/>
          </w:tcPr>
          <w:p>
            <w:pPr>
              <w:spacing w:after="0"/>
              <w:rPr>
                <w:sz w:val="9"/>
                <w:szCs w:val="9"/>
                <w:color w:val="auto"/>
              </w:rPr>
            </w:pPr>
          </w:p>
        </w:tc>
        <w:tc>
          <w:tcPr>
            <w:tcW w:w="720" w:type="dxa"/>
            <w:vAlign w:val="bottom"/>
          </w:tcPr>
          <w:p>
            <w:pPr>
              <w:jc w:val="center"/>
              <w:ind w:right="22"/>
              <w:spacing w:after="0" w:line="105"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8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Shares of Non-</w:t>
            </w:r>
          </w:p>
        </w:tc>
        <w:tc>
          <w:tcPr>
            <w:tcW w:w="7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Percentage of</w:t>
            </w:r>
          </w:p>
        </w:tc>
      </w:tr>
      <w:tr>
        <w:trPr>
          <w:trHeight w:val="105"/>
        </w:trPr>
        <w:tc>
          <w:tcPr>
            <w:tcW w:w="2820" w:type="dxa"/>
            <w:vAlign w:val="bottom"/>
          </w:tcPr>
          <w:p>
            <w:pPr>
              <w:spacing w:after="0"/>
              <w:rPr>
                <w:sz w:val="9"/>
                <w:szCs w:val="9"/>
                <w:color w:val="auto"/>
              </w:rPr>
            </w:pPr>
          </w:p>
        </w:tc>
        <w:tc>
          <w:tcPr>
            <w:tcW w:w="7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80" w:type="dxa"/>
            <w:vAlign w:val="bottom"/>
          </w:tcPr>
          <w:p>
            <w:pPr>
              <w:spacing w:after="0"/>
              <w:rPr>
                <w:sz w:val="9"/>
                <w:szCs w:val="9"/>
                <w:color w:val="auto"/>
              </w:rPr>
            </w:pPr>
          </w:p>
        </w:tc>
        <w:tc>
          <w:tcPr>
            <w:tcW w:w="8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5"/>
              </w:rPr>
              <w:t>Voting Common</w:t>
            </w: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8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8"/>
              </w:rPr>
              <w:t>Voting Common</w:t>
            </w:r>
          </w:p>
        </w:tc>
        <w:tc>
          <w:tcPr>
            <w:tcW w:w="7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Common Stock</w:t>
            </w:r>
          </w:p>
        </w:tc>
      </w:tr>
      <w:tr>
        <w:trPr>
          <w:trHeight w:val="105"/>
        </w:trPr>
        <w:tc>
          <w:tcPr>
            <w:tcW w:w="2820" w:type="dxa"/>
            <w:vAlign w:val="bottom"/>
          </w:tcPr>
          <w:p>
            <w:pPr>
              <w:spacing w:after="0"/>
              <w:rPr>
                <w:sz w:val="9"/>
                <w:szCs w:val="9"/>
                <w:color w:val="auto"/>
              </w:rPr>
            </w:pPr>
          </w:p>
        </w:tc>
        <w:tc>
          <w:tcPr>
            <w:tcW w:w="7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8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40" w:type="dxa"/>
            <w:vAlign w:val="bottom"/>
          </w:tcPr>
          <w:p>
            <w:pPr>
              <w:spacing w:after="0"/>
              <w:rPr>
                <w:sz w:val="9"/>
                <w:szCs w:val="9"/>
                <w:color w:val="auto"/>
              </w:rPr>
            </w:pPr>
          </w:p>
        </w:tc>
        <w:tc>
          <w:tcPr>
            <w:tcW w:w="720" w:type="dxa"/>
            <w:vAlign w:val="bottom"/>
          </w:tcPr>
          <w:p>
            <w:pPr>
              <w:jc w:val="center"/>
              <w:ind w:right="22"/>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c>
          <w:tcPr>
            <w:tcW w:w="8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Stock Beneficially</w:t>
            </w:r>
          </w:p>
        </w:tc>
        <w:tc>
          <w:tcPr>
            <w:tcW w:w="7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r>
      <w:tr>
        <w:trPr>
          <w:trHeight w:val="120"/>
        </w:trPr>
        <w:tc>
          <w:tcPr>
            <w:tcW w:w="2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80" w:type="dxa"/>
            <w:vAlign w:val="bottom"/>
          </w:tcPr>
          <w:p>
            <w:pPr>
              <w:spacing w:after="0"/>
              <w:rPr>
                <w:sz w:val="10"/>
                <w:szCs w:val="10"/>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40" w:type="dxa"/>
            <w:vAlign w:val="bottom"/>
          </w:tcPr>
          <w:p>
            <w:pPr>
              <w:spacing w:after="0"/>
              <w:rPr>
                <w:sz w:val="10"/>
                <w:szCs w:val="10"/>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r>
      <w:tr>
        <w:trPr>
          <w:trHeight w:val="148"/>
        </w:trPr>
        <w:tc>
          <w:tcPr>
            <w:tcW w:w="28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Named Executive Officers and Directors:</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r>
      <w:tr>
        <w:trPr>
          <w:trHeight w:val="127"/>
        </w:trPr>
        <w:tc>
          <w:tcPr>
            <w:tcW w:w="282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 xml:space="preserve">Mathai Mammen, M.D., Ph.D., </w:t>
            </w:r>
            <w:r>
              <w:rPr>
                <w:rFonts w:ascii="Times New Roman" w:cs="Times New Roman" w:eastAsia="Times New Roman" w:hAnsi="Times New Roman"/>
                <w:sz w:val="13"/>
                <w:szCs w:val="13"/>
                <w:i w:val="1"/>
                <w:iCs w:val="1"/>
                <w:color w:val="auto"/>
              </w:rPr>
              <w:t>Chairman, Chief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8"/>
        </w:trPr>
        <w:tc>
          <w:tcPr>
            <w:tcW w:w="28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Executive Officer and President</w:t>
            </w:r>
            <w:r>
              <w:rPr>
                <w:rFonts w:ascii="Times New Roman" w:cs="Times New Roman" w:eastAsia="Times New Roman" w:hAnsi="Times New Roman"/>
                <w:sz w:val="16"/>
                <w:szCs w:val="16"/>
                <w:color w:val="auto"/>
                <w:vertAlign w:val="superscript"/>
              </w:rPr>
              <w:t>(9)</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4,288,405</w:t>
            </w:r>
          </w:p>
        </w:tc>
        <w:tc>
          <w:tcPr>
            <w:tcW w:w="80" w:type="dxa"/>
            <w:vAlign w:val="bottom"/>
          </w:tcPr>
          <w:p>
            <w:pPr>
              <w:spacing w:after="0"/>
              <w:rPr>
                <w:sz w:val="16"/>
                <w:szCs w:val="16"/>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3.46%</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58"/>
        </w:trPr>
        <w:tc>
          <w:tcPr>
            <w:tcW w:w="28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 xml:space="preserve">Fawzi Benzaghou, M.D., </w:t>
            </w:r>
            <w:r>
              <w:rPr>
                <w:rFonts w:ascii="Times New Roman" w:cs="Times New Roman" w:eastAsia="Times New Roman" w:hAnsi="Times New Roman"/>
                <w:sz w:val="13"/>
                <w:szCs w:val="13"/>
                <w:i w:val="1"/>
                <w:iCs w:val="1"/>
                <w:color w:val="auto"/>
              </w:rPr>
              <w:t>Chief Medical Officer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6"/>
                <w:szCs w:val="16"/>
                <w:color w:val="auto"/>
                <w:vertAlign w:val="superscript"/>
              </w:rPr>
              <w:t>(10)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5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Helen Ho, Ph.D., </w:t>
            </w:r>
            <w:r>
              <w:rPr>
                <w:rFonts w:ascii="Times New Roman" w:cs="Times New Roman" w:eastAsia="Times New Roman" w:hAnsi="Times New Roman"/>
                <w:sz w:val="13"/>
                <w:szCs w:val="13"/>
                <w:i w:val="1"/>
                <w:iCs w:val="1"/>
                <w:color w:val="auto"/>
              </w:rPr>
              <w:t>Chief Business and Strategy Officer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8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 xml:space="preserve">Thomas Kotarakos, </w:t>
            </w:r>
            <w:r>
              <w:rPr>
                <w:rFonts w:ascii="Times New Roman" w:cs="Times New Roman" w:eastAsia="Times New Roman" w:hAnsi="Times New Roman"/>
                <w:sz w:val="13"/>
                <w:szCs w:val="13"/>
                <w:i w:val="1"/>
                <w:iCs w:val="1"/>
                <w:color w:val="auto"/>
              </w:rPr>
              <w:t>Chief Financial Officer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6"/>
                <w:szCs w:val="16"/>
                <w:color w:val="auto"/>
                <w:vertAlign w:val="superscript"/>
              </w:rPr>
              <w:t>(11)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266,562</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27"/>
        </w:trPr>
        <w:tc>
          <w:tcPr>
            <w:tcW w:w="282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 xml:space="preserve">Rohin Mhatre, Ph.D., </w:t>
            </w:r>
            <w:r>
              <w:rPr>
                <w:rFonts w:ascii="Times New Roman" w:cs="Times New Roman" w:eastAsia="Times New Roman" w:hAnsi="Times New Roman"/>
                <w:sz w:val="13"/>
                <w:szCs w:val="13"/>
                <w:i w:val="1"/>
                <w:iCs w:val="1"/>
                <w:color w:val="auto"/>
              </w:rPr>
              <w:t>Chief Technical Operations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8"/>
        </w:trPr>
        <w:tc>
          <w:tcPr>
            <w:tcW w:w="28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Officer</w:t>
            </w:r>
            <w:r>
              <w:rPr>
                <w:rFonts w:ascii="Times New Roman" w:cs="Times New Roman" w:eastAsia="Times New Roman" w:hAnsi="Times New Roman"/>
                <w:sz w:val="16"/>
                <w:szCs w:val="16"/>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254,166</w:t>
            </w:r>
          </w:p>
        </w:tc>
        <w:tc>
          <w:tcPr>
            <w:tcW w:w="80" w:type="dxa"/>
            <w:vAlign w:val="bottom"/>
          </w:tcPr>
          <w:p>
            <w:pPr>
              <w:spacing w:after="0"/>
              <w:rPr>
                <w:sz w:val="16"/>
                <w:szCs w:val="16"/>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58"/>
        </w:trPr>
        <w:tc>
          <w:tcPr>
            <w:tcW w:w="28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 xml:space="preserve">Teresa Jurgensen, J.D., </w:t>
            </w:r>
            <w:r>
              <w:rPr>
                <w:rFonts w:ascii="Times New Roman" w:cs="Times New Roman" w:eastAsia="Times New Roman" w:hAnsi="Times New Roman"/>
                <w:sz w:val="13"/>
                <w:szCs w:val="13"/>
                <w:i w:val="1"/>
                <w:iCs w:val="1"/>
                <w:color w:val="auto"/>
              </w:rPr>
              <w:t>General Counsel</w:t>
            </w:r>
            <w:r>
              <w:rPr>
                <w:rFonts w:ascii="Times New Roman" w:cs="Times New Roman" w:eastAsia="Times New Roman" w:hAnsi="Times New Roman"/>
                <w:sz w:val="16"/>
                <w:szCs w:val="16"/>
                <w:color w:val="auto"/>
                <w:vertAlign w:val="superscript"/>
              </w:rPr>
              <w:t>(13)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172,083</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45"/>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 xml:space="preserve">Keith Orford, M.D., Ph.D., </w:t>
            </w:r>
            <w:r>
              <w:rPr>
                <w:rFonts w:ascii="Times New Roman" w:cs="Times New Roman" w:eastAsia="Times New Roman" w:hAnsi="Times New Roman"/>
                <w:sz w:val="13"/>
                <w:szCs w:val="13"/>
                <w:i w:val="1"/>
                <w:iCs w:val="1"/>
                <w:color w:val="auto"/>
              </w:rPr>
              <w:t>former Chief Medical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6"/>
        </w:trPr>
        <w:tc>
          <w:tcPr>
            <w:tcW w:w="28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82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3"/>
                <w:szCs w:val="13"/>
                <w:color w:val="auto"/>
              </w:rPr>
              <w:t>Alexis Borisy</w:t>
            </w:r>
            <w:r>
              <w:rPr>
                <w:rFonts w:ascii="Times New Roman" w:cs="Times New Roman" w:eastAsia="Times New Roman" w:hAnsi="Times New Roman"/>
                <w:sz w:val="16"/>
                <w:szCs w:val="16"/>
                <w:color w:val="auto"/>
                <w:vertAlign w:val="superscript"/>
              </w:rPr>
              <w:t>(14)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162,221</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58"/>
        </w:trPr>
        <w:tc>
          <w:tcPr>
            <w:tcW w:w="282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Edward Fitzgerald</w:t>
            </w:r>
            <w:r>
              <w:rPr>
                <w:rFonts w:ascii="Times New Roman" w:cs="Times New Roman" w:eastAsia="Times New Roman" w:hAnsi="Times New Roman"/>
                <w:sz w:val="16"/>
                <w:szCs w:val="16"/>
                <w:color w:val="auto"/>
                <w:vertAlign w:val="superscript"/>
              </w:rPr>
              <w:t>(15)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80" w:type="dxa"/>
            <w:vAlign w:val="bottom"/>
          </w:tcPr>
          <w:p>
            <w:pPr>
              <w:spacing w:after="0"/>
              <w:rPr>
                <w:sz w:val="13"/>
                <w:szCs w:val="13"/>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8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3"/>
                <w:szCs w:val="13"/>
                <w:color w:val="auto"/>
              </w:rPr>
              <w:t xml:space="preserve">Rick Klausner, M.D. </w:t>
            </w:r>
            <w:r>
              <w:rPr>
                <w:rFonts w:ascii="Times New Roman" w:cs="Times New Roman" w:eastAsia="Times New Roman" w:hAnsi="Times New Roman"/>
                <w:sz w:val="16"/>
                <w:szCs w:val="16"/>
                <w:color w:val="auto"/>
                <w:vertAlign w:val="superscript"/>
              </w:rPr>
              <w:t>(16)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60,863</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58"/>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Alan M. Sebulsky</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Jake Simson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58"/>
        </w:trPr>
        <w:tc>
          <w:tcPr>
            <w:tcW w:w="282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Barbara Weber, M.D. </w:t>
            </w:r>
            <w:r>
              <w:rPr>
                <w:rFonts w:ascii="Times New Roman" w:cs="Times New Roman" w:eastAsia="Times New Roman" w:hAnsi="Times New Roman"/>
                <w:sz w:val="16"/>
                <w:szCs w:val="16"/>
                <w:color w:val="auto"/>
                <w:vertAlign w:val="superscript"/>
              </w:rPr>
              <w:t>(17)</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54,166</w:t>
            </w:r>
          </w:p>
        </w:tc>
        <w:tc>
          <w:tcPr>
            <w:tcW w:w="80" w:type="dxa"/>
            <w:vAlign w:val="bottom"/>
          </w:tcPr>
          <w:p>
            <w:pPr>
              <w:spacing w:after="0"/>
              <w:rPr>
                <w:sz w:val="13"/>
                <w:szCs w:val="13"/>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Krishna Yeshwant, M.D.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27"/>
        </w:trPr>
        <w:tc>
          <w:tcPr>
            <w:tcW w:w="282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All executive officers and directors as a group (13</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persons) </w:t>
            </w:r>
            <w:r>
              <w:rPr>
                <w:rFonts w:ascii="Times New Roman" w:cs="Times New Roman" w:eastAsia="Times New Roman" w:hAnsi="Times New Roman"/>
                <w:sz w:val="16"/>
                <w:szCs w:val="16"/>
                <w:color w:val="auto"/>
                <w:vertAlign w:val="superscript"/>
              </w:rPr>
              <w:t>(18)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5,366,486</w:t>
            </w:r>
          </w:p>
        </w:tc>
        <w:tc>
          <w:tcPr>
            <w:tcW w:w="80" w:type="dxa"/>
            <w:vAlign w:val="bottom"/>
          </w:tcPr>
          <w:p>
            <w:pPr>
              <w:spacing w:after="0"/>
              <w:rPr>
                <w:sz w:val="19"/>
                <w:szCs w:val="19"/>
                <w:color w:val="auto"/>
              </w:rPr>
            </w:pP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4.30%</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46355</wp:posOffset>
            </wp:positionV>
            <wp:extent cx="64071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91" w:lineRule="exact"/>
        <w:rPr>
          <w:sz w:val="20"/>
          <w:szCs w:val="20"/>
          <w:color w:val="auto"/>
        </w:rPr>
      </w:pPr>
    </w:p>
    <w:p>
      <w:pPr>
        <w:ind w:left="1000" w:hanging="280"/>
        <w:spacing w:after="0"/>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91" w:lineRule="exact"/>
        <w:rPr>
          <w:rFonts w:ascii="Times New Roman" w:cs="Times New Roman" w:eastAsia="Times New Roman" w:hAnsi="Times New Roman"/>
          <w:sz w:val="14"/>
          <w:szCs w:val="14"/>
          <w:color w:val="auto"/>
        </w:rPr>
      </w:pPr>
    </w:p>
    <w:p>
      <w:pPr>
        <w:ind w:left="1320" w:right="799" w:hanging="348"/>
        <w:spacing w:after="0" w:line="253" w:lineRule="auto"/>
        <w:tabs>
          <w:tab w:leader="none" w:pos="132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5,012,154 shares of common stock issuable upon conversion of Series D convertible preferred stock held by ARCH Venture Fund XII, L.P. (“ARCH Venture Fund XII”); (ii) 1,612,019 shares of common stock issuable upon conversion of Series E convertible preferred stock held by ARCH Venture Fund XII; and (iii) 3,244,435 shares of common stock issuable upon conversion of Series F convertible preferred stock held by ARCH Venture Fund XII. In aggregate, the total number of shares of common stock upon conversion issuable to ARCH Venture Fund XII is 9,868,608 (“XII Record Shares”). ARCH Venture Partners XII, L.P. (“AVP XII LP”), as the sole general partner of ARCH Venture Fund XII, may be deemed to beneficially own the XII Record Shares. ARCH Venture Partners XII, LLC (“AVP XII LLC”), as the sole general partner of AVP XII LP, may be deemed to beneficially own the XII Record Shares. As members of the investment committee of AVP XII LLC, each of Kristina M. Burow, Keith Crandell, Steven Gillis and Robert Nelsen (the “AVP XII Committee Members”) may also be deemed to share the power to direct the disposition and vote of the XII Record Shares. Each of AVP XII LP, AVP XII LLC, and the AVP XII Committee Members disclaims beneficial ownership except to the extent of their pecuniary interest therein, if any. The address of ARCH Venture Partners and the individuals listed above is c/o ARCH Venture Partners, 8755 West Higgins Road, Suite 1025, Chicago, IL 60631.</w:t>
      </w:r>
    </w:p>
    <w:p>
      <w:pPr>
        <w:spacing w:after="0" w:line="64" w:lineRule="exact"/>
        <w:rPr>
          <w:rFonts w:ascii="Times New Roman" w:cs="Times New Roman" w:eastAsia="Times New Roman" w:hAnsi="Times New Roman"/>
          <w:sz w:val="14"/>
          <w:szCs w:val="14"/>
          <w:color w:val="auto"/>
        </w:rPr>
      </w:pPr>
    </w:p>
    <w:p>
      <w:pPr>
        <w:ind w:left="1320" w:right="759" w:hanging="348"/>
        <w:spacing w:after="0" w:line="252" w:lineRule="auto"/>
        <w:tabs>
          <w:tab w:leader="none" w:pos="132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(A)(i) 383,472 shares of common stock issuable upon conversion of Series C convertible preferred stock held by Cormorant Global Healthcare Master Fund, LP; (ii) 7,780 shares of common stock issuable upon conversion of Series D convertible preferred stock held by Cormorant Global Healthcare Master Fund, LP; (iii) 74,529 shares of common stock issuable upon conversion of Series E convertible preferred stock held by Cormorant Global Healthcare Master Fund, LP; and (iv) 958,633 shares of common stock issuable upon conversion of Series F convertible preferred stock held by Cormorant Global Healthcare Master Fund, LP; (B) 1,189,421 shares of common stock issuable upon conversion of Series C convertible preferred stock held by Cormorant Private Healthcare Fund III, LP; (C) (i) 1,119,953 shares of common stock issuable upon conversion of Series D convertible preferred stock held by Cormorant Private Healthcare Fund IV, LP; and (ii) 275,830 shares of common stock issuable upon conversion of Series E convertible preferred stock held by Cormorant Private Healthcare Fund IV, LP; (D) 747,254 shares of common stock issuable upon conversion of Series E convertible preferred stock held by Cormorant Private Healthcare Fund V, LP; and (E) 1,961,358 shares of common stock issuable upon conversion of Series F convertible preferred stock held by Cormorant Private Healthcare Fund VI, LP (collectively, the “Cormorant Funds”). Cormorant Asset Management, LP is the manager of the Cormorant Funds. Bihua Chen is the founder and managing member of Cormorant Asset Management, LP and has voting and investment discretion with respect to the shares of common stock held by each Cormorant Fund. The principal address for the Cormorant Funds is 200 Clarendon Street 52nd Floor, Boston, MA 02116.</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0" w:name="page201"/>
    <w:bookmarkEnd w:id="20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20" w:right="739" w:hanging="348"/>
        <w:spacing w:after="0" w:line="251" w:lineRule="auto"/>
        <w:tabs>
          <w:tab w:leader="none" w:pos="1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(i) 322,708 shares of common stock issuable upon conversion of Series D convertible preferred stock held by Fidelity Advisor Series VII: Fidelity Advisor Biotechnology Fund; and (ii) 491,600 shares of common stock issuable upon conversion of Series F convertible preferred stock held by Fidelity Advisor Series VII: Fidelity Advisor Biotechnology Fund; (B) 456,500 shares of common stock issuable upon conversion of Series F convertible preferred stock held by Fidelity Advisor Series VII: Fidelity Advisor Health Care Fund; (C) (i) 1,543,302 shares of common stock issuable upon conversion of Series D convertible preferred stock held by Fidelity Growth Company Commingled Pool; (ii) 795,467 shares of common stock issuable upon conversion of Series E convertible preferred stock held by Fidelity Growth Company Commingled Pool; and (iii) 2,283,800 shares of common stock issuable upon conversion of Series F convertible preferred stock held by Fidelity Growth Company Commingled Pool; (D) (i) 1,191,545 shares of common stock issuable upon conversion of Series D convertible preferred stock held by Fidelity Mt. Vernon Street Trust: Fidelity Growth Company Fund; (ii) 493,003 shares of common stock issuable upon conversion of Series E convertible preferred stock held by Fidelity Mt. Vernon Street Trust: Fidelity Growth Company Fund; and (iii) 1,705,600 shares of common stock issuable upon conversion of Series F convertible preferred stock held by Fidelity Mt. Vernon Street Trust: Fidelity Growth Company Fund; (E) (i) 367,640 shares of common stock issuable upon conversion of Series D convertible preferred stock held by Fidelity Mt. Vernon Street Trust: Fidelity Growth Company K6 Fund; (ii) 203,346 shares of common stock issuable upon conversion of Series E convertible preferred stock held by Fidelity Mt. Vernon Street Trust: Fidelity Growth Company K6 Fund; and (iii) 490,784 shares of common stock issuable upon conversion of Series F convertible preferred stock held by Fidelity Mt. Vernon Street Trust: Fidelity Growth Company K6 Fund; (F) (i) 333,921 shares of common stock issuable upon conversion of Series D convertible preferred stock held by Fidelity Mt. Vernon Street Trust: Fidelity Series Growth Company Fund; (ii) 114,997 shares of common stock issuable upon conversion of Series E convertible preferred stock held by Fidelity Mt. Vernon Street Trust: Fidelity Series Growth Company Fund; and (iii) 435,600 shares of common stock issuable upon conversion of Series F convertible preferred stock held by Fidelity Mt. Vernon Street Trust: Fidelity Series Growth Company Fund; (G) 149,200 shares of common stock issuable upon conversion of Series F convertible preferred stock held by Variable Insurance Products Fund IV: VIP Health Care Portfolio; (H) 492,000 shares of common stock issuable upon conversion of Series F convertible preferred stock held by Fidelity Securities Fund: Fidelity Small Cap Growth Fund; (I) 245,400 shares of common stock issuable upon conversion of Series F convertible preferred stock held by Fidelity Securities Fund: Fidelity Small Cap Growth K6 Fund; (J) 491,600 shares of common stock issuable upon conversion of Series F convertible preferred stock held by Fidelity Select Portfolios: Biotechnology Portfolio; and (K) 869,000 shares of common stock issuable upon conversion of Series F convertible preferred stock held by Fidelity Select Portfolios: Health Care Portfolio. The funds and accounts identified in this footnote are advised or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of the funds or accounts identified in this footnote is 245 Summer Street, Boston, Massachusetts 02210.</w:t>
      </w:r>
    </w:p>
    <w:p>
      <w:pPr>
        <w:spacing w:after="0" w:line="77" w:lineRule="exact"/>
        <w:rPr>
          <w:rFonts w:ascii="Times New Roman" w:cs="Times New Roman" w:eastAsia="Times New Roman" w:hAnsi="Times New Roman"/>
          <w:sz w:val="14"/>
          <w:szCs w:val="14"/>
          <w:color w:val="auto"/>
        </w:rPr>
      </w:pPr>
    </w:p>
    <w:p>
      <w:pPr>
        <w:ind w:left="1320" w:right="739" w:hanging="348"/>
        <w:spacing w:after="0" w:line="252" w:lineRule="auto"/>
        <w:tabs>
          <w:tab w:leader="none" w:pos="1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(i) 1,705,088 shares of common stock issuable upon conversion of Series B convertible preferred stock held by GV 2017, L.P. and (ii) 1,934,423 shares of common stock issuable upon conversion of Series E convertible preferred stock held by GV 2017, L.P.; (B) (i) 561,748 shares of common stock issuable upon conversion of Series C convertible preferred stock held by GV 2019, L.P. and (ii) 2,108,883 shares of common stock issuable upon conversion of Series F convertible preferred stock held by GV 2019, L.P.; and (C) 1,127,734 shares of common stock issuable upon conversion of Series D convertible preferred stock held by GV 2021, L.P. Regarding GV 2017, L.P.: GV 2017 GP, L.P. (the general partner of GV 2017, L.P.), GV 2017 GP, L.L.C. (the general partner of GV 2017 GP, L.P.), Alphabet Holdings LLC (the sole member of GV 2017 GP, L.L.C.), XXVI Holdings Inc. (the sole member of Alphabet Holdings LLC), and Alphabet Inc. (the controlling stockholder of XXVI Holdings Inc.) may each be deemed to share power to vote or dispose of the shares held directly by GV 2017, L.P. Regarding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share power to vote or dispose of the shares held directly by GV 2019, L.P. Regarding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share power to vote or dispose of the shares held directly by GV 2021, L.P. The address for each of these entities is 1600 Amphitheatre Parkway, Mountain View, CA 94043.</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1" w:name="page202"/>
    <w:bookmarkEnd w:id="20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20" w:right="759" w:hanging="348"/>
        <w:spacing w:after="0" w:line="257"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5,012,154 shares of common stock issuable upon conversion of Series D convertible preferred stock held by Milky Way Investments Group Limited (“Milky Way”); (ii) 80,601 shares of common stock issuable upon conversion of Series E convertible preferred stock held by Milky Way; and (iii) 1,946,661 shares of common stock issuable upon conversion of Series F convertible preferred stock held by Milky Way. Milky Way is controlled by MWG Caph Limited, its corporate director. The principal business address of Milky Way is c/o Trident Trust Company (B.V.I.) Limited, Trident Chambers, P.O. Box 146, Road Town, Tortola, British Virgin Islands.</w:t>
      </w:r>
    </w:p>
    <w:p>
      <w:pPr>
        <w:spacing w:after="0" w:line="58" w:lineRule="exact"/>
        <w:rPr>
          <w:rFonts w:ascii="Times New Roman" w:cs="Times New Roman" w:eastAsia="Times New Roman" w:hAnsi="Times New Roman"/>
          <w:sz w:val="14"/>
          <w:szCs w:val="14"/>
          <w:color w:val="auto"/>
        </w:rPr>
      </w:pPr>
    </w:p>
    <w:p>
      <w:pPr>
        <w:ind w:left="1320" w:right="759" w:hanging="348"/>
        <w:spacing w:after="0" w:line="255"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4,460,047 shares of common stock issuable upon conversion of Series E convertible preferred stock held by Nextech VII Oncology SCSP; and (ii) 1,946,661 shares of common stock issuable upon conversion of Series F convertible preferred stock held by Nextech VII Oncology SCSP. Nextech VII GP S.à.r.l. is the general partner of Nextech VII Oncology SCSP and may be deemed to beneficially own the shares held by Nextech VII Oncology SCSP. Costas Constantinides, Ian Charoub and Rocco Sgobbo, as managers of Nextech VII GP S.à.r.l., have voting and investment power over the shares held by Nextech VII Oncology SCSP and, accordingly, may be deemed to beneficially own the shares held by Nextech VII Oncology SCSP. The principal address for Nextech VII Oncology SCSP is 8 rue Lou Hemmer, L 1748 Senningerberg, Luxembourg.</w:t>
      </w:r>
    </w:p>
    <w:p>
      <w:pPr>
        <w:spacing w:after="0" w:line="61" w:lineRule="exact"/>
        <w:rPr>
          <w:rFonts w:ascii="Times New Roman" w:cs="Times New Roman" w:eastAsia="Times New Roman" w:hAnsi="Times New Roman"/>
          <w:sz w:val="14"/>
          <w:szCs w:val="14"/>
          <w:color w:val="auto"/>
        </w:rPr>
      </w:pPr>
    </w:p>
    <w:p>
      <w:pPr>
        <w:ind w:left="1320" w:right="759" w:hanging="348"/>
        <w:spacing w:after="0" w:line="253"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(i) 644,807 shares of common stock issuable upon conversion of Series E convertible preferred stock held by RA Capital Healthcare Fund, LP; and (ii) 9,445,363 shares of common stock issuable upon conversion of Series F convertible preferred stock held by RA Capital Healthcare Fund, L.P; and (B) (i) 161,201 shares of common stock issuable upon conversion of Series E convertible preferred stock held by RA Capital Nexus Fund III, L.P.; and (ii) 1,666,829 shares of common stock issuable upon conversion of Series F convertible preferred stock held by RA Capital Nexus Fund III, L.P (the “RA Funds”). RA Capital Management, L.P. is the investment manager for the RA Funds.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w:t>
      </w:r>
    </w:p>
    <w:p>
      <w:pPr>
        <w:spacing w:after="0" w:line="66" w:lineRule="exact"/>
        <w:rPr>
          <w:rFonts w:ascii="Times New Roman" w:cs="Times New Roman" w:eastAsia="Times New Roman" w:hAnsi="Times New Roman"/>
          <w:sz w:val="14"/>
          <w:szCs w:val="14"/>
          <w:color w:val="auto"/>
        </w:rPr>
      </w:pPr>
    </w:p>
    <w:p>
      <w:pPr>
        <w:ind w:left="1320" w:right="779" w:hanging="348"/>
        <w:spacing w:after="0" w:line="254"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3,244,435 shares of common stock issuable upon conversion of Series F convertible preferred stock held by venBio Fund III SPV I, L.P.; and (B) (i) 2,808,736 shares of common stock issuable upon conversion of Series C convertible preferred stock held by venBio Global Strategic Fund III, L.P.; (ii) 1,253,038 shares of common stock issuable upon conversion of Series D convertible preferred stock held by venBio Global Strategic Fund III, L.P.; and (iii) 644,807 shares of common stock issuable upon conversion of Series E convertible preferred stock held by venBio Global Strategic Fund III, L.P. (the ‘‘venBio Funds’’). venBio Partners LLC serves as the investment manager of the venBio Funds. The General Partners of venBio Partners LLC include Aaron Royston, Richard Gaster and Corey Goodman and may share voting and dispositive power over securities held by venBio Fund. The address for venBio Fund is located at 1700 Owens Street, Suite 595, San Francisco, CA 94158.</w:t>
      </w:r>
    </w:p>
    <w:p>
      <w:pPr>
        <w:spacing w:after="0" w:line="64"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4,288,405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31,250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266,562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254,166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172,083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162,221 shares of common stock issuable upon the conversion of Series F convertible preferred stock.</w:t>
      </w:r>
    </w:p>
    <w:p>
      <w:pPr>
        <w:spacing w:after="0" w:line="91" w:lineRule="exact"/>
        <w:rPr>
          <w:rFonts w:ascii="Times New Roman" w:cs="Times New Roman" w:eastAsia="Times New Roman" w:hAnsi="Times New Roman"/>
          <w:sz w:val="14"/>
          <w:szCs w:val="14"/>
          <w:color w:val="auto"/>
        </w:rPr>
      </w:pPr>
    </w:p>
    <w:p>
      <w:pPr>
        <w:ind w:left="1320" w:right="879" w:hanging="348"/>
        <w:spacing w:after="0" w:line="261"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8,525 shares of common stock issuable upon the conversion of Series B convertible preferred stock; (ii) 5,968 shares of common stock issuable upon the conversion of Series C convertible preferred stock; and (iii) 8,111 shares of common stock issuable upon the conversion of Series F convertible preferred stock; and (iv) 54,166 shares of common stock subject to options exercisable within 60 days of April 30, 2026.</w:t>
      </w:r>
    </w:p>
    <w:p>
      <w:pPr>
        <w:spacing w:after="0" w:line="56"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60,863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hanging="348"/>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54,166 shares of common stock subject to options exercisable within 60 days of April 30, 2026.</w:t>
      </w:r>
    </w:p>
    <w:p>
      <w:pPr>
        <w:spacing w:after="0" w:line="91" w:lineRule="exact"/>
        <w:rPr>
          <w:rFonts w:ascii="Times New Roman" w:cs="Times New Roman" w:eastAsia="Times New Roman" w:hAnsi="Times New Roman"/>
          <w:sz w:val="14"/>
          <w:szCs w:val="14"/>
          <w:color w:val="auto"/>
        </w:rPr>
      </w:pPr>
    </w:p>
    <w:p>
      <w:pPr>
        <w:ind w:left="1320" w:right="819" w:hanging="348"/>
        <w:spacing w:after="0" w:line="261" w:lineRule="auto"/>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8,525 shares of common stock issuable upon the conversion of Series B convertible preferred stock, (ii) 5,968 shares of common stock issuable upon the conversion of Series C convertible preferred stock, (iii) 170,332 shares of common stock issuable upon the conversion of Series F convertible preferred stock, and (iv) 5,181,661 shares of common stock subject to options exercisable within 60 days of April 30, 2026.</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2" w:name="page203"/>
    <w:bookmarkEnd w:id="20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following description of our capital stock and certain provisions of our seventh amended and restated certificate of incorporation and amended and restated bylaws are summaries and are qualified by reference to the seventh amended and restated certificate of incorporation, which will become effective immediately prior to the closing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non-voting common stock and preferred stock reflect changes to our capital structure that will be in effect on the completion of this offering.</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Upon filing of our seventh amended and restated certificate of incorporation and the closing of this offering, our authorized</w:t>
      </w:r>
    </w:p>
    <w:p>
      <w:pPr>
        <w:spacing w:after="0" w:line="22" w:lineRule="exact"/>
        <w:rPr>
          <w:sz w:val="20"/>
          <w:szCs w:val="20"/>
          <w:color w:val="auto"/>
        </w:rPr>
      </w:pPr>
    </w:p>
    <w:p>
      <w:pPr>
        <w:ind w:left="720" w:right="819"/>
        <w:spacing w:after="0" w:line="256" w:lineRule="auto"/>
        <w:rPr>
          <w:sz w:val="20"/>
          <w:szCs w:val="20"/>
          <w:color w:val="auto"/>
        </w:rPr>
      </w:pPr>
      <w:r>
        <w:rPr>
          <w:rFonts w:ascii="Times New Roman" w:cs="Times New Roman" w:eastAsia="Times New Roman" w:hAnsi="Times New Roman"/>
          <w:sz w:val="14"/>
          <w:szCs w:val="14"/>
          <w:color w:val="auto"/>
        </w:rPr>
        <w:t>capital stock will consist of         shares of common stock, par value $0.0001 per share, shares of non-voting common stock, par value $0.0001 per share, and        shares of preferred stock, par value $0.0001 per share, all of which shares of preferred stock will be undesignated.</w:t>
      </w:r>
    </w:p>
    <w:p>
      <w:pPr>
        <w:spacing w:after="0" w:line="143" w:lineRule="exact"/>
        <w:rPr>
          <w:sz w:val="20"/>
          <w:szCs w:val="20"/>
          <w:color w:val="auto"/>
        </w:rPr>
      </w:pPr>
    </w:p>
    <w:p>
      <w:pPr>
        <w:ind w:left="720" w:right="959" w:firstLine="343"/>
        <w:spacing w:after="0" w:line="267" w:lineRule="auto"/>
        <w:rPr>
          <w:sz w:val="20"/>
          <w:szCs w:val="20"/>
          <w:color w:val="auto"/>
        </w:rPr>
      </w:pPr>
      <w:r>
        <w:rPr>
          <w:rFonts w:ascii="Times New Roman" w:cs="Times New Roman" w:eastAsia="Times New Roman" w:hAnsi="Times New Roman"/>
          <w:sz w:val="14"/>
          <w:szCs w:val="14"/>
          <w:color w:val="auto"/>
        </w:rPr>
        <w:t>As of March 31, 2026, there were shares of common stock outstanding and held of record by 130 stockholders. This amount assumes the conversion of all outstanding shares of our convertible preferred stock into shares of common stock and shares of non-voting common stock, which will occur upon closing of this offering.</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Voting Common Stock and Non-Voting Common Stock</w:t>
      </w:r>
    </w:p>
    <w:p>
      <w:pPr>
        <w:spacing w:after="0" w:line="93" w:lineRule="exact"/>
        <w:rPr>
          <w:sz w:val="20"/>
          <w:szCs w:val="20"/>
          <w:color w:val="auto"/>
        </w:rPr>
      </w:pPr>
    </w:p>
    <w:p>
      <w:pPr>
        <w:ind w:left="720" w:right="779" w:firstLine="333"/>
        <w:spacing w:after="0" w:line="261" w:lineRule="auto"/>
        <w:rPr>
          <w:sz w:val="20"/>
          <w:szCs w:val="20"/>
          <w:color w:val="auto"/>
        </w:rPr>
      </w:pPr>
      <w:r>
        <w:rPr>
          <w:rFonts w:ascii="Times New Roman" w:cs="Times New Roman" w:eastAsia="Times New Roman" w:hAnsi="Times New Roman"/>
          <w:sz w:val="14"/>
          <w:szCs w:val="14"/>
          <w:color w:val="auto"/>
        </w:rPr>
        <w:t>We will have two series of common stock authorized immediately following this offering: voting common stock and non-voting common stock. We are offering shares of voting common stock in this offering and unless otherwise noted or context otherwise requires, all references in this prospectus to our “common stock” refer to our voting common stock. The non-voting common stock will not be listed for trading on any securities exchange.</w:t>
      </w:r>
    </w:p>
    <w:p>
      <w:pPr>
        <w:spacing w:after="0" w:line="141" w:lineRule="exact"/>
        <w:rPr>
          <w:sz w:val="20"/>
          <w:szCs w:val="20"/>
          <w:color w:val="auto"/>
        </w:rPr>
      </w:pPr>
    </w:p>
    <w:p>
      <w:pPr>
        <w:ind w:left="720" w:right="759" w:firstLine="333"/>
        <w:spacing w:after="0" w:line="254" w:lineRule="auto"/>
        <w:rPr>
          <w:sz w:val="20"/>
          <w:szCs w:val="20"/>
          <w:color w:val="auto"/>
        </w:rPr>
      </w:pPr>
      <w:r>
        <w:rPr>
          <w:rFonts w:ascii="Times New Roman" w:cs="Times New Roman" w:eastAsia="Times New Roman" w:hAnsi="Times New Roman"/>
          <w:sz w:val="14"/>
          <w:szCs w:val="14"/>
          <w:color w:val="auto"/>
        </w:rPr>
        <w:t>The holders of our common stock and non-voting common stock have identical rights, except that, (i) except as otherwise expressly provided in our seventh amended and restated certificate of incorporation or as required by applicable law, on any matter that is submitted to a vote by our stockholders, holders of our voting common stock are entitled to one vote per share of common stock, and holders of our non-voting common stock are not entitled to any votes per share of non-voting common stock, including for the election of directors, and (ii) holders of our voting common stock have no conversion rights, while holders of our non-voting common stock will have the right to convert each share of our non-voting common stock into one share of voting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subject to certain limited exceptions provided for in our seventh amended and restated certificate of incorporation. However, this ownership limitation may be increased or decreased to any other percentage (not to exceed 19.99%) designated by such holder of non-voting common stock upon 61 days’ notice to us.</w:t>
      </w:r>
    </w:p>
    <w:p>
      <w:pPr>
        <w:spacing w:after="0" w:line="144" w:lineRule="exact"/>
        <w:rPr>
          <w:sz w:val="20"/>
          <w:szCs w:val="20"/>
          <w:color w:val="auto"/>
        </w:rPr>
      </w:pPr>
    </w:p>
    <w:p>
      <w:pPr>
        <w:ind w:left="720" w:right="939" w:firstLine="343"/>
        <w:spacing w:after="0" w:line="261" w:lineRule="auto"/>
        <w:rPr>
          <w:sz w:val="20"/>
          <w:szCs w:val="20"/>
          <w:color w:val="auto"/>
        </w:rPr>
      </w:pPr>
      <w:r>
        <w:rPr>
          <w:rFonts w:ascii="Times New Roman" w:cs="Times New Roman" w:eastAsia="Times New Roman" w:hAnsi="Times New Roman"/>
          <w:sz w:val="14"/>
          <w:szCs w:val="14"/>
          <w:color w:val="auto"/>
        </w:rPr>
        <w:t>The holders of our common stock do not have any cumulative voting rights. Holders of our common stock and non-voting common stock are entitled to receive ratably any dividends declared by our board of directors out of funds legally available for that purpose, subject to any preferential dividend rights of any outstanding preferred stock. Our common stock and non-voting common stock have no preemptive rights, conversion rights or other subscription rights or redemption or sinking fund provisions.</w:t>
      </w:r>
    </w:p>
    <w:p>
      <w:pPr>
        <w:spacing w:after="0" w:line="141"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and non-voting common stock will be entitled to share ratably in all assets remaining after payment of all debts and other liabilities and any liquidation preference of any outstanding preferred stock. The shares to be issued by us in this offering and the concurrent private placement will be, when issued and paid for, validly issued, fully paid and non-assessable.</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Upon the closing of this offering, all outstanding shares of our convertible preferred stock will be converted into</w:t>
      </w:r>
    </w:p>
    <w:p>
      <w:pPr>
        <w:spacing w:after="0" w:line="22" w:lineRule="exact"/>
        <w:rPr>
          <w:sz w:val="20"/>
          <w:szCs w:val="20"/>
          <w:color w:val="auto"/>
        </w:rPr>
      </w:pPr>
    </w:p>
    <w:p>
      <w:pPr>
        <w:ind w:left="720" w:right="799"/>
        <w:spacing w:after="0" w:line="252" w:lineRule="auto"/>
        <w:rPr>
          <w:sz w:val="20"/>
          <w:szCs w:val="20"/>
          <w:color w:val="auto"/>
        </w:rPr>
      </w:pPr>
      <w:r>
        <w:rPr>
          <w:rFonts w:ascii="Times New Roman" w:cs="Times New Roman" w:eastAsia="Times New Roman" w:hAnsi="Times New Roman"/>
          <w:sz w:val="14"/>
          <w:szCs w:val="14"/>
          <w:color w:val="auto"/>
        </w:rPr>
        <w:t>shares of our common stock and shares of our non-voting common stock. Upon the closing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3" w:name="page204"/>
    <w:bookmarkEnd w:id="20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right="799"/>
        <w:spacing w:after="0" w:line="261" w:lineRule="auto"/>
        <w:rPr>
          <w:sz w:val="20"/>
          <w:szCs w:val="20"/>
          <w:color w:val="auto"/>
        </w:rPr>
      </w:pPr>
      <w:r>
        <w:rPr>
          <w:rFonts w:ascii="Times New Roman" w:cs="Times New Roman" w:eastAsia="Times New Roman" w:hAnsi="Times New Roman"/>
          <w:sz w:val="14"/>
          <w:szCs w:val="14"/>
          <w:color w:val="auto"/>
        </w:rPr>
        <w:t>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3"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As of March 31, 2026, 13,578,012 shares of common stock were issuable upon the exercise of outstanding stock options under the 2016 Plan, at a weighted-average exercise price of $1.73 per share; 9,212,497 shares of common stock were issuable upon the exercise of outstanding stock options under the January 2026 Plan, at a weighted-average exercise price of $2.04 per share; no shares of common stock were issuable upon exercise of outstanding stock options outside of our 2016 Plan or January 2026 Plan;</w:t>
      </w:r>
    </w:p>
    <w:p>
      <w:pPr>
        <w:spacing w:after="0" w:line="1" w:lineRule="exact"/>
        <w:rPr>
          <w:sz w:val="20"/>
          <w:szCs w:val="20"/>
          <w:color w:val="auto"/>
        </w:rPr>
      </w:pPr>
    </w:p>
    <w:p>
      <w:pPr>
        <w:ind w:left="720" w:right="779"/>
        <w:spacing w:after="0" w:line="252" w:lineRule="auto"/>
        <w:rPr>
          <w:sz w:val="20"/>
          <w:szCs w:val="20"/>
          <w:color w:val="auto"/>
        </w:rPr>
      </w:pPr>
      <w:r>
        <w:rPr>
          <w:rFonts w:ascii="Times New Roman" w:cs="Times New Roman" w:eastAsia="Times New Roman" w:hAnsi="Times New Roman"/>
          <w:sz w:val="14"/>
          <w:szCs w:val="14"/>
          <w:color w:val="auto"/>
        </w:rPr>
        <w:t>and        shares of our common stock reserved for future issuance under the 2026 Plan, which will become effective on the date immediately prior to the date on which the registration statement of which this prospectus forms a part is declared effective, as well as any future automatic annual increases in the number of shares of common stock reserved for issuance under the 2026 Plan and any shares underlying outstanding stock awards granted under the 2016 Plan or January 2026 Plan, that expire or are repurchased, forfeited, cancelled, or withheld. For additional information regarding terms of our equity incentive plans, see the section titled “</w:t>
      </w:r>
      <w:r>
        <w:rPr>
          <w:rFonts w:ascii="Times New Roman" w:cs="Times New Roman" w:eastAsia="Times New Roman" w:hAnsi="Times New Roman"/>
          <w:sz w:val="14"/>
          <w:szCs w:val="14"/>
          <w:i w:val="1"/>
          <w:iCs w:val="1"/>
          <w:color w:val="auto"/>
        </w:rPr>
        <w:t>Executive Compensation—Employee Benefit and Equity Compensation Plans</w:t>
      </w:r>
      <w:r>
        <w:rPr>
          <w:rFonts w:ascii="Times New Roman" w:cs="Times New Roman" w:eastAsia="Times New Roman" w:hAnsi="Times New Roman"/>
          <w:sz w:val="14"/>
          <w:szCs w:val="14"/>
          <w:color w:val="auto"/>
        </w:rPr>
        <w:t>.”</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93"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the Loan Agreement, we issued warrants to purchase up to 37,169 shares of our common stock to Silicon Valley Bank, which are exercisable at an exercise price of $3.13 per share (subject to adjustment) prior to expiration on September 20, 2031.</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Simple Agreement for Future Equity (“SAFE”)</w:t>
      </w:r>
    </w:p>
    <w:p>
      <w:pPr>
        <w:spacing w:after="0" w:line="9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On March 27, 2026, the Company issued a SAFE and received proceeds of $50.0 million. The amount invested by the investor in the SAFE is automatically convertible into the number of shares of our common stock obtained by dividing (i) $50.0 million by (ii) the IPO Discount Price (as defined below) upon the closing of an initial public offering. The “IPO Discount Price” in connection with an initial public offering is the offering price in the initial public offering (the “IPO Price”) multiplied by 90% (such product, the “Initial IPO Discount Price”), provided that (i) if the IPO Price is greater than or equal to $6.1644 per share, and (ii) the Initial IPO Discount Price is equal to or less than $6.1644 per share, then the IPO Discount Price will equal $6.1644 per share; and provided further that if the IPO Price is less than $6.1644, the IPO Discount Price will equal the IPO Price. In connection with the automatic conversion of the SAFE, the investor will enter into a lock-up agreement and agree to be bound by the provisions of our investors’ right agreement as a holder thereunder.</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Upon the closing of this offering and the concurrent private placement and subject to the lock-up agreements entered into in connection with this offering and federal securities laws, holders of 116,299,592 shares of our common stock and non-voting common stock, including those shares of our common stock and non-voting common stock that will be issued upon the conversion of our convertible preferred stock in connection with this offering, will initially be entitled to certain rights with respect to registration of the shares of common stock (including those available upon conversion of the non-voting common stock) under the Securities Act. These shares are referred to as registrable securities. The holders of these registrable securities possess registration rights pursuant to the terms of our investors’ rights agreement and are described in additional detail below. In addition, Regeneron Pharmaceuticals, Inc.</w:t>
      </w:r>
    </w:p>
    <w:p>
      <w:pPr>
        <w:spacing w:after="0" w:line="4" w:lineRule="exact"/>
        <w:rPr>
          <w:sz w:val="20"/>
          <w:szCs w:val="20"/>
          <w:color w:val="auto"/>
        </w:rPr>
      </w:pPr>
    </w:p>
    <w:p>
      <w:pPr>
        <w:ind w:left="720" w:right="799"/>
        <w:spacing w:after="0" w:line="252" w:lineRule="auto"/>
        <w:rPr>
          <w:sz w:val="20"/>
          <w:szCs w:val="20"/>
          <w:color w:val="auto"/>
        </w:rPr>
      </w:pPr>
      <w:r>
        <w:rPr>
          <w:rFonts w:ascii="Times New Roman" w:cs="Times New Roman" w:eastAsia="Times New Roman" w:hAnsi="Times New Roman"/>
          <w:sz w:val="14"/>
          <w:szCs w:val="14"/>
          <w:color w:val="auto"/>
        </w:rPr>
        <w:t>(“Regeneron”) will have piggyback registration rights (as described below) only with respect to the shares of common stock (assuming an initial public offering price of $ , the midpoint of the price range set forth on the cover page of this prospectus) Regeneron is purchasing in the concurrent private placement.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short-form registrations described below.</w:t>
      </w:r>
    </w:p>
    <w:p>
      <w:pPr>
        <w:spacing w:after="0" w:line="148"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Generally, in an underwritten offering, the managing underwriter, if any, has the right, subject to specified conditions and limitations, to limit the number of shares the holders may include. The demand, piggyback and short-form registration rights described below will expire no later than five years after the completion of this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4" w:name="page205"/>
    <w:bookmarkEnd w:id="20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w:t>
      </w:r>
    </w:p>
    <w:p>
      <w:pPr>
        <w:spacing w:after="0" w:line="93" w:lineRule="exact"/>
        <w:rPr>
          <w:sz w:val="20"/>
          <w:szCs w:val="20"/>
          <w:color w:val="auto"/>
        </w:rPr>
      </w:pPr>
    </w:p>
    <w:p>
      <w:pPr>
        <w:ind w:left="720" w:right="839" w:firstLine="343"/>
        <w:spacing w:after="0" w:line="255" w:lineRule="auto"/>
        <w:rPr>
          <w:sz w:val="20"/>
          <w:szCs w:val="20"/>
          <w:color w:val="auto"/>
        </w:rPr>
      </w:pPr>
      <w:r>
        <w:rPr>
          <w:rFonts w:ascii="Times New Roman" w:cs="Times New Roman" w:eastAsia="Times New Roman" w:hAnsi="Times New Roman"/>
          <w:sz w:val="14"/>
          <w:szCs w:val="14"/>
          <w:color w:val="auto"/>
        </w:rPr>
        <w:t>Upon the closing of this offering, certain holders of our common stock, including those issuable upon the conversion of shares of our convertible preferred stock upon the closing of this offering and those issuable upon exchange of non-voting common stock, will be entitled to certain demand registration rights. At any time beginning 12 months after the completion of this offering, the holders of at least 25% of these shares may request that we register all or a portion of their shares. We are not required to effect more than two registration statements which are declared or ordered effective. Such request for registration must cover shares with an anticipated aggregate offering price of at least $10 million, net of selling expenses, within 60 days of such request. With certain 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In connection with this offering, certain holders of our common stock, including those issuable upon the conversion of shares of our convertible preferred stock upon the closing of this offering, were entitled to, their rights to notice of this offering and to include their shares of registrable securities in this offering. However, these rights were effectively waived.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Short Form Registration Rights</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Upon the closing of this offering, certain holders of shares of our common stock, including those issuable upon the conversion of shares of our convertible preferred stock upon completion of this offering and those issuable upon conversion of non-voting common stock, will be entitled to certain short form registration rights. Holders of at least 25% of these shares can make a request that we register their shares on Form S-3 if we are qualified to file a registration statement on Form S-3 and if the reasonably anticipated aggregate net proceeds of the shares offered would equal or exceed $5.0 million, net of selling expenses. We will not be required to effect more than two registrations on Form S-3 within any twelve-month period. The right to have such shares registered on Form S-3 is further subject to other specified conditions and limitations.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Expiration of Registration Rights</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The demand registration rights and short form registration rights granted under the investors’ rights agreement will terminate upon the earliest of (i) the closing of a “Deemed Liquidation Event,” as such term is defined in our sixth amended and restated certificate of incorporation (as currently in effect), (ii) with respect to each stockholder, the date, following the closing of this offering, on which (x) such holder, together with its affiliates, holds less than 1% of our outstanding capital stock and (y) all registrable shares held by such holder may immediately be sold during any three-month period pursuant to Rule 144 under the Securities Act or another similar exemption, and (iii) the fifth anniversary of the completion of this offering.</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Delaware law includes, and our seventh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93" w:lineRule="exact"/>
        <w:rPr>
          <w:sz w:val="20"/>
          <w:szCs w:val="20"/>
          <w:color w:val="auto"/>
        </w:rPr>
      </w:pPr>
    </w:p>
    <w:p>
      <w:pPr>
        <w:ind w:left="720" w:right="859" w:firstLine="343"/>
        <w:spacing w:after="0" w:line="255"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will provide for the division of our board of directors into three classes serving staggered three-year terms, with one class being elected each year. Our seventh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will only be able to be filled by the affirmative vote of a majority of our directors then in office even if less than a quorum. The classification of directors, together with the limitations on removal of directors and treatment of vacancies, will have the effect of making it more difficult for stockholders to change the composition of our board of directors.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5" w:name="page206"/>
    <w:bookmarkEnd w:id="20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93"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will provide that all stockholder actions will be required to be taken by a vote of the stockholders at an annual or special meeting, and that stockholders will not be able to take any action by written consent in lieu of a meeting. This limit may lengthen the amount of time required to take stockholder actions and will prevent the amendment of our amended and restated bylaws or removal of directors by our stockholders without holding a meeting of stockholders.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93" w:lineRule="exact"/>
        <w:rPr>
          <w:sz w:val="20"/>
          <w:szCs w:val="20"/>
          <w:color w:val="auto"/>
        </w:rPr>
      </w:pPr>
    </w:p>
    <w:p>
      <w:pPr>
        <w:ind w:left="720" w:right="859" w:firstLine="343"/>
        <w:spacing w:after="0" w:line="258"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93"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 Generally, to be timely, notice will be required to be received at our principal executive offices not less than 90 days nor more than 120 days prior to the first anniversary date of the annual meeting for the preceding year. Our amended and restated bylaws will specify the requirements as to form and content of all stockholders’ notices. These requirements may preclude stockholders from bringing matters before the stockholders at an annual or special meeting.</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93" w:lineRule="exact"/>
        <w:rPr>
          <w:sz w:val="20"/>
          <w:szCs w:val="20"/>
          <w:color w:val="auto"/>
        </w:rPr>
      </w:pPr>
    </w:p>
    <w:p>
      <w:pPr>
        <w:ind w:left="720" w:right="739" w:firstLine="343"/>
        <w:spacing w:after="0" w:line="274" w:lineRule="auto"/>
        <w:rPr>
          <w:sz w:val="20"/>
          <w:szCs w:val="20"/>
          <w:color w:val="auto"/>
        </w:rPr>
      </w:pPr>
      <w:r>
        <w:rPr>
          <w:rFonts w:ascii="Times New Roman" w:cs="Times New Roman" w:eastAsia="Times New Roman" w:hAnsi="Times New Roman"/>
          <w:sz w:val="13"/>
          <w:szCs w:val="13"/>
          <w:color w:val="auto"/>
        </w:rPr>
        <w:t>Any amendment of our seventh amended and restated certificate of incorporation will first need to be approved by a majority of our board of directors, and if required by law or our seventh amended and restated certificate of incorporation, will thereafter need to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will need to be approved by not less than two-thirds of the outstanding shares entitled to vote on the amendment, and not less than two-thirds of the outstanding shares of each class entitled to vote thereon as a class. Our amended and restated bylaws will be able be amended by the affirmative vote of a majority of the directors then in office, subject to any limitations set forth in the amended and restated bylaws; and will also be able to be amended by the affirmative vote of a majority of the outstanding shares entitled to vote on the amendment, voting together as a single class, except that the amendment of the provisions relating to notice of stockholder business and nominations and special meetings will need to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3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will provide for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seventh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and non-voting common stock. The issuance may also adversely affect the rights and powers, including voting rights, of these holders and may have the effect of delaying, deterring or preventing a change in control of 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6" w:name="page207"/>
    <w:bookmarkEnd w:id="20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93" w:lineRule="exact"/>
        <w:rPr>
          <w:sz w:val="20"/>
          <w:szCs w:val="20"/>
          <w:color w:val="auto"/>
        </w:rPr>
      </w:pPr>
    </w:p>
    <w:p>
      <w:pPr>
        <w:ind w:left="720" w:right="879" w:firstLine="343"/>
        <w:spacing w:after="0" w:line="258" w:lineRule="auto"/>
        <w:rPr>
          <w:sz w:val="20"/>
          <w:szCs w:val="20"/>
          <w:color w:val="auto"/>
        </w:rPr>
      </w:pPr>
      <w:r>
        <w:rPr>
          <w:rFonts w:ascii="Times New Roman" w:cs="Times New Roman" w:eastAsia="Times New Roman" w:hAnsi="Times New Roman"/>
          <w:sz w:val="14"/>
          <w:szCs w:val="14"/>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1480" w:right="1239" w:hanging="246"/>
        <w:spacing w:after="0" w:line="283" w:lineRule="auto"/>
        <w:tabs>
          <w:tab w:leader="none" w:pos="14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our board of directors approved either the business combination or the transaction which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ind w:left="1480" w:right="839" w:hanging="246"/>
        <w:spacing w:after="0" w:line="258" w:lineRule="auto"/>
        <w:tabs>
          <w:tab w:leader="none" w:pos="14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59" w:lineRule="exact"/>
        <w:rPr>
          <w:rFonts w:ascii="Times New Roman" w:cs="Times New Roman" w:eastAsia="Times New Roman" w:hAnsi="Times New Roman"/>
          <w:sz w:val="14"/>
          <w:szCs w:val="14"/>
          <w:color w:val="auto"/>
        </w:rPr>
      </w:pPr>
    </w:p>
    <w:p>
      <w:pPr>
        <w:ind w:left="1480" w:right="839" w:hanging="246"/>
        <w:spacing w:after="0" w:line="267" w:lineRule="auto"/>
        <w:tabs>
          <w:tab w:leader="none" w:pos="14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91" w:lineRule="exact"/>
        <w:rPr>
          <w:sz w:val="20"/>
          <w:szCs w:val="20"/>
          <w:color w:val="auto"/>
        </w:rPr>
      </w:pPr>
    </w:p>
    <w:p>
      <w:pPr>
        <w:ind w:left="1480" w:hanging="246"/>
        <w:spacing w:after="0"/>
        <w:tabs>
          <w:tab w:leader="none" w:pos="14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1"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40" w:lineRule="exact"/>
        <w:rPr>
          <w:rFonts w:ascii="Times New Roman" w:cs="Times New Roman" w:eastAsia="Times New Roman" w:hAnsi="Times New Roman"/>
          <w:sz w:val="14"/>
          <w:szCs w:val="14"/>
          <w:color w:val="auto"/>
        </w:rPr>
      </w:pPr>
    </w:p>
    <w:p>
      <w:pPr>
        <w:ind w:left="1480" w:right="1179" w:hanging="246"/>
        <w:spacing w:after="0" w:line="283" w:lineRule="auto"/>
        <w:tabs>
          <w:tab w:leader="none" w:pos="14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40" w:lineRule="exact"/>
        <w:rPr>
          <w:rFonts w:ascii="Times New Roman" w:cs="Times New Roman" w:eastAsia="Times New Roman" w:hAnsi="Times New Roman"/>
          <w:sz w:val="14"/>
          <w:szCs w:val="14"/>
          <w:color w:val="auto"/>
        </w:rPr>
      </w:pPr>
    </w:p>
    <w:p>
      <w:pPr>
        <w:ind w:left="1480" w:right="999" w:hanging="246"/>
        <w:spacing w:after="0" w:line="283" w:lineRule="auto"/>
        <w:tabs>
          <w:tab w:leader="none" w:pos="14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5" w:lineRule="exact"/>
        <w:rPr>
          <w:sz w:val="20"/>
          <w:szCs w:val="20"/>
          <w:color w:val="auto"/>
        </w:rPr>
      </w:pPr>
    </w:p>
    <w:p>
      <w:pPr>
        <w:ind w:left="720" w:right="779" w:firstLine="343"/>
        <w:spacing w:after="0" w:line="283"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seventh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44"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4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7" w:name="page208"/>
    <w:bookmarkEnd w:id="20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41" w:lineRule="exact"/>
        <w:rPr>
          <w:sz w:val="20"/>
          <w:szCs w:val="20"/>
          <w:color w:val="auto"/>
        </w:rPr>
      </w:pPr>
    </w:p>
    <w:p>
      <w:pPr>
        <w:ind w:left="720" w:right="939" w:firstLine="343"/>
        <w:spacing w:after="0" w:line="283" w:lineRule="auto"/>
        <w:rPr>
          <w:sz w:val="20"/>
          <w:szCs w:val="20"/>
          <w:color w:val="auto"/>
        </w:rPr>
      </w:pPr>
      <w:r>
        <w:rPr>
          <w:rFonts w:ascii="Times New Roman" w:cs="Times New Roman" w:eastAsia="Times New Roman" w:hAnsi="Times New Roman"/>
          <w:sz w:val="14"/>
          <w:szCs w:val="14"/>
          <w:color w:val="auto"/>
        </w:rPr>
        <w:t>Additionally, our amended and restated bylaws will provide that any person or entity holding, owning or otherwise acquiring any interest in any of our securities shall be deemed to have notice of and consented to these provisions.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w:t>
      </w:r>
    </w:p>
    <w:p>
      <w:pPr>
        <w:spacing w:after="0" w:line="91" w:lineRule="exact"/>
        <w:rPr>
          <w:sz w:val="20"/>
          <w:szCs w:val="20"/>
          <w:color w:val="auto"/>
        </w:rPr>
      </w:pPr>
    </w:p>
    <w:p>
      <w:pPr>
        <w:ind w:left="720" w:right="1099" w:firstLine="343"/>
        <w:spacing w:after="0" w:line="286" w:lineRule="auto"/>
        <w:rPr>
          <w:sz w:val="20"/>
          <w:szCs w:val="20"/>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i w:val="1"/>
          <w:iCs w:val="1"/>
          <w:color w:val="auto"/>
        </w:rPr>
        <w:t>Management—Limitations on Liability and Indemnification Agreements</w:t>
      </w:r>
      <w:r>
        <w:rPr>
          <w:rFonts w:ascii="Times New Roman" w:cs="Times New Roman" w:eastAsia="Times New Roman" w:hAnsi="Times New Roman"/>
          <w:sz w:val="14"/>
          <w:szCs w:val="14"/>
          <w:color w:val="auto"/>
        </w:rPr>
        <w:t>” included elsewhere in this prospectus.</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93" w:lineRule="exact"/>
        <w:rPr>
          <w:sz w:val="20"/>
          <w:szCs w:val="20"/>
          <w:color w:val="auto"/>
        </w:rPr>
      </w:pPr>
    </w:p>
    <w:p>
      <w:pPr>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Our common stock is currently not listed on any securities exchange. We have applied to have our common stock approved for listing on The Nasdaq Global Market under the symbol “PBLS”. Our non-voting common stock is not listed for trading on any securities exchange and we do not plan to list our non-voting common stock on any securities exchange.</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720" w:right="1039" w:firstLine="343"/>
        <w:spacing w:after="0" w:line="283" w:lineRule="auto"/>
        <w:rPr>
          <w:sz w:val="20"/>
          <w:szCs w:val="20"/>
          <w:color w:val="auto"/>
        </w:rPr>
      </w:pPr>
      <w:r>
        <w:rPr>
          <w:rFonts w:ascii="Times New Roman" w:cs="Times New Roman" w:eastAsia="Times New Roman" w:hAnsi="Times New Roman"/>
          <w:sz w:val="14"/>
          <w:szCs w:val="14"/>
          <w:color w:val="auto"/>
        </w:rPr>
        <w:t>On the closing of this offering, the transfer agent and registrar for our common stock and non-voting common stock will be Computershare Trust Company, N.A. The transfer agent’s address is 150 Royall Street, Canton, Massachusetts 02021.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8" w:name="page209"/>
    <w:bookmarkEnd w:id="20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7"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Future sales of substantial amounts of our common stock, including shares issued on the exercise of outstanding options, in the public market after this offering and the concurrent private placement,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w:t>
      </w:r>
    </w:p>
    <w:p>
      <w:pPr>
        <w:spacing w:after="0" w:line="144"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Following the completion of this offering and the concurrent private placement, based on our shares outstanding as of March 31, 2026, a total of       shares of common stock and non-voting common stock will be outstanding, after giving effect to the conversion of all outstanding shares of our convertible preferred stock into an aggregate of        shares of our common stock and shares of our non-voting common stock immediately prior to the closing of this offering, assuming no exercise of the underwriters’ overallotment option and no exercise of outstanding options or other securities. Of the outstanding shares, all of the shares sold in this offering will be freely tradable, except that any shares held by our affiliates, as that term is defined in Rule 144 under the Securities Act (“Rule 144”), may only be sold in compliance with the limitations described below.</w:t>
      </w:r>
    </w:p>
    <w:p>
      <w:pPr>
        <w:spacing w:after="0" w:line="144" w:lineRule="exact"/>
        <w:rPr>
          <w:sz w:val="20"/>
          <w:szCs w:val="20"/>
          <w:color w:val="auto"/>
        </w:rPr>
      </w:pPr>
    </w:p>
    <w:p>
      <w:pPr>
        <w:ind w:left="720" w:right="779" w:firstLine="343"/>
        <w:spacing w:after="0" w:line="287" w:lineRule="auto"/>
        <w:rPr>
          <w:sz w:val="20"/>
          <w:szCs w:val="20"/>
          <w:color w:val="auto"/>
        </w:rPr>
      </w:pPr>
      <w:r>
        <w:rPr>
          <w:rFonts w:ascii="Times New Roman" w:cs="Times New Roman" w:eastAsia="Times New Roman" w:hAnsi="Times New Roman"/>
          <w:sz w:val="13"/>
          <w:szCs w:val="13"/>
          <w:color w:val="auto"/>
        </w:rPr>
        <w:t>All remaining shares of common stock held by existing stockholders upon the completion of this offering and the concurrent private placement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3"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49"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In general, under Rule 144 as currently in effect, our affiliates or persons selling shares on behalf of our affiliates are entitled to sell shares subject to the following restrictions and the expiration of the lock-up agreements described below. Beginning 90 days after the date of this prospectus, within any three-month period, such stockholders may sell a number of shares that does not exceed the greater of:</w:t>
      </w:r>
    </w:p>
    <w:p>
      <w:pPr>
        <w:spacing w:after="0" w:line="57" w:lineRule="exact"/>
        <w:rPr>
          <w:sz w:val="20"/>
          <w:szCs w:val="20"/>
          <w:color w:val="auto"/>
        </w:rPr>
      </w:pPr>
    </w:p>
    <w:p>
      <w:pPr>
        <w:jc w:val="both"/>
        <w:ind w:left="1480" w:right="1259" w:hanging="246"/>
        <w:spacing w:after="0" w:line="267" w:lineRule="auto"/>
        <w:tabs>
          <w:tab w:leader="none" w:pos="14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common stock then outstanding, which will equal approximately        shares immediately after this offering and the concurrent private placement, assuming no exercise of the underwriters’ overallotment option; or</w:t>
      </w:r>
    </w:p>
    <w:p>
      <w:pPr>
        <w:spacing w:after="0" w:line="51" w:lineRule="exact"/>
        <w:rPr>
          <w:rFonts w:ascii="Times New Roman" w:cs="Times New Roman" w:eastAsia="Times New Roman" w:hAnsi="Times New Roman"/>
          <w:sz w:val="14"/>
          <w:szCs w:val="14"/>
          <w:color w:val="auto"/>
        </w:rPr>
      </w:pPr>
    </w:p>
    <w:p>
      <w:pPr>
        <w:ind w:left="1480" w:right="799" w:hanging="246"/>
        <w:spacing w:after="0" w:line="283" w:lineRule="auto"/>
        <w:tabs>
          <w:tab w:leader="none" w:pos="14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our common stock on Nasdaq during the four calendar weeks preceding the filing of a notice on Form 144 with respect to such sale.</w:t>
      </w:r>
    </w:p>
    <w:p>
      <w:pPr>
        <w:spacing w:after="0" w:line="125"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3" w:lineRule="exact"/>
        <w:rPr>
          <w:sz w:val="20"/>
          <w:szCs w:val="20"/>
          <w:color w:val="auto"/>
        </w:rPr>
      </w:pPr>
    </w:p>
    <w:p>
      <w:pPr>
        <w:ind w:left="720" w:right="859" w:firstLine="343"/>
        <w:spacing w:after="0" w:line="256" w:lineRule="auto"/>
        <w:rPr>
          <w:sz w:val="20"/>
          <w:szCs w:val="20"/>
          <w:color w:val="auto"/>
        </w:rPr>
      </w:pPr>
      <w:r>
        <w:rPr>
          <w:rFonts w:ascii="Times New Roman" w:cs="Times New Roman" w:eastAsia="Times New Roman" w:hAnsi="Times New Roman"/>
          <w:sz w:val="14"/>
          <w:szCs w:val="14"/>
          <w:color w:val="auto"/>
        </w:rPr>
        <w:t>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9" w:name="page210"/>
    <w:bookmarkEnd w:id="20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Form S-8 Registration Statements</w:t>
      </w:r>
    </w:p>
    <w:p>
      <w:pPr>
        <w:spacing w:after="0" w:line="9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We intend to file one or more registration statements on Form S-8 under the Securities Act with the SEC to register the offer and sale of shares of our common stock that are issuable under the 2016 Plan, the January 2026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Lock-up Arrangements</w:t>
      </w:r>
    </w:p>
    <w:p>
      <w:pPr>
        <w:spacing w:after="0" w:line="93"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We, all of our directors and executive officers, and the holders of substantially all of our capital stock and securities convertible into or exchangeable for our capital stock (including the shares of common stock to be issued in the concurrent private placement) have entered into lock-up agreements with the underwriters and/or are subject to market standoff agreements or other agreements with us, which prevents them from selling any of our common stock or any securities convertible into or exercisable or exchangeable for common stock (including non-voting common stock) for a period of not less than 180 days from the date of this prospectus without the prior written consent of Leerink Partners LLC and BofA Securities, Inc., subject to certain exceptions. See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appearing elsewhere in this prospectus for more information.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Upon completion of this offering and the concurrent private placement,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subject to the expiration of the lock-up agreements described above. See the section titled “</w:t>
      </w:r>
      <w:r>
        <w:rPr>
          <w:rFonts w:ascii="Times New Roman" w:cs="Times New Roman" w:eastAsia="Times New Roman" w:hAnsi="Times New Roman"/>
          <w:sz w:val="14"/>
          <w:szCs w:val="14"/>
          <w:i w:val="1"/>
          <w:iCs w:val="1"/>
          <w:color w:val="auto"/>
        </w:rPr>
        <w:t>Description of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Stock—Registration Rights</w:t>
      </w:r>
      <w:r>
        <w:rPr>
          <w:rFonts w:ascii="Times New Roman" w:cs="Times New Roman" w:eastAsia="Times New Roman" w:hAnsi="Times New Roman"/>
          <w:sz w:val="14"/>
          <w:szCs w:val="14"/>
          <w:color w:val="auto"/>
        </w:rPr>
        <w:t>” appearing elsewhere in this prospectus for more information.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0" w:name="page211"/>
    <w:bookmarkEnd w:id="21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FOR NON-U.S. HOLDERS</w:t>
      </w:r>
    </w:p>
    <w:p>
      <w:pPr>
        <w:spacing w:after="0" w:line="177"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(referred to as the “Code”), Treasury Regulations promulgated or proposed thereunder, published rulings and administrative pronouncements of the U.S. Internal Revenue Service (the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5" w:lineRule="exact"/>
        <w:rPr>
          <w:sz w:val="20"/>
          <w:szCs w:val="20"/>
          <w:color w:val="auto"/>
        </w:rPr>
      </w:pPr>
    </w:p>
    <w:p>
      <w:pPr>
        <w:ind w:left="720" w:right="839" w:firstLine="343"/>
        <w:spacing w:after="0" w:line="254" w:lineRule="auto"/>
        <w:rPr>
          <w:sz w:val="20"/>
          <w:szCs w:val="20"/>
          <w:color w:val="auto"/>
        </w:rPr>
      </w:pPr>
      <w:r>
        <w:rPr>
          <w:rFonts w:ascii="Times New Roman" w:cs="Times New Roman" w:eastAsia="Times New Roman" w:hAnsi="Times New Roman"/>
          <w:sz w:val="14"/>
          <w:szCs w:val="14"/>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64" w:lineRule="exact"/>
        <w:rPr>
          <w:sz w:val="20"/>
          <w:szCs w:val="20"/>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long-term residents of the United States;</w:t>
      </w:r>
    </w:p>
    <w:p>
      <w:pPr>
        <w:spacing w:after="0" w:line="91" w:lineRule="exact"/>
        <w:rPr>
          <w:rFonts w:ascii="Times New Roman" w:cs="Times New Roman" w:eastAsia="Times New Roman" w:hAnsi="Times New Roman"/>
          <w:sz w:val="14"/>
          <w:szCs w:val="14"/>
          <w:color w:val="auto"/>
        </w:rPr>
      </w:pPr>
    </w:p>
    <w:p>
      <w:pPr>
        <w:ind w:left="1480" w:right="819" w:hanging="246"/>
        <w:spacing w:after="0" w:line="283" w:lineRule="auto"/>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pass-through or disregarded entities for U.S. federal income tax purposes (and investors therein);</w:t>
      </w:r>
    </w:p>
    <w:p>
      <w:pPr>
        <w:spacing w:after="0" w:line="40" w:lineRule="exact"/>
        <w:rPr>
          <w:rFonts w:ascii="Times New Roman" w:cs="Times New Roman" w:eastAsia="Times New Roman" w:hAnsi="Times New Roman"/>
          <w:sz w:val="14"/>
          <w:szCs w:val="14"/>
          <w:color w:val="auto"/>
        </w:rPr>
      </w:pPr>
    </w:p>
    <w:p>
      <w:pPr>
        <w:ind w:left="1480" w:right="939" w:hanging="246"/>
        <w:spacing w:after="0" w:line="283" w:lineRule="auto"/>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common stock pursuant to the exercise of any employee stock option or otherwise as compensation;</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91" w:lineRule="exact"/>
        <w:rPr>
          <w:rFonts w:ascii="Times New Roman" w:cs="Times New Roman" w:eastAsia="Times New Roman" w:hAnsi="Times New Roman"/>
          <w:sz w:val="14"/>
          <w:szCs w:val="14"/>
          <w:color w:val="auto"/>
        </w:rPr>
      </w:pPr>
    </w:p>
    <w:p>
      <w:pPr>
        <w:ind w:left="1480" w:right="879" w:hanging="246"/>
        <w:spacing w:after="0" w:line="283" w:lineRule="auto"/>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mutual funds, financial institutions, investment funds, insurance companies, brokers, dealers or traders in stock, securities, commodities or currencies;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and governmental organizations;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91" w:lineRule="exact"/>
        <w:rPr>
          <w:rFonts w:ascii="Times New Roman" w:cs="Times New Roman" w:eastAsia="Times New Roman" w:hAnsi="Times New Roman"/>
          <w:sz w:val="14"/>
          <w:szCs w:val="14"/>
          <w:color w:val="auto"/>
        </w:rPr>
      </w:pPr>
    </w:p>
    <w:p>
      <w:pPr>
        <w:ind w:left="1480" w:right="899" w:hanging="246"/>
        <w:spacing w:after="0" w:line="283" w:lineRule="auto"/>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elect to apply Section 1400Z-2 of the Code to gains recognized with respect to shares of our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actually or constructively, more than 5% of our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have elected to mark securities to market; and</w:t>
      </w:r>
    </w:p>
    <w:p>
      <w:pPr>
        <w:spacing w:after="0" w:line="91" w:lineRule="exact"/>
        <w:rPr>
          <w:rFonts w:ascii="Times New Roman" w:cs="Times New Roman" w:eastAsia="Times New Roman" w:hAnsi="Times New Roman"/>
          <w:sz w:val="14"/>
          <w:szCs w:val="14"/>
          <w:color w:val="auto"/>
        </w:rPr>
      </w:pPr>
    </w:p>
    <w:p>
      <w:pPr>
        <w:ind w:left="1480" w:right="879" w:hanging="246"/>
        <w:spacing w:after="0" w:line="283" w:lineRule="auto"/>
        <w:tabs>
          <w:tab w:leader="none" w:pos="14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hedging or conversion transaction or straddle, or synthetic security or a constructive sale, or other risk reduction strategy or integrated investment.</w:t>
      </w:r>
    </w:p>
    <w:p>
      <w:pPr>
        <w:spacing w:after="0" w:line="125"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owning and disposing of our common stock.</w:t>
      </w:r>
    </w:p>
    <w:p>
      <w:pPr>
        <w:spacing w:after="0" w:line="144" w:lineRule="exact"/>
        <w:rPr>
          <w:sz w:val="20"/>
          <w:szCs w:val="20"/>
          <w:color w:val="auto"/>
        </w:rPr>
      </w:pPr>
    </w:p>
    <w:p>
      <w:pPr>
        <w:ind w:left="720" w:right="799" w:firstLine="343"/>
        <w:spacing w:after="0" w:line="258" w:lineRule="auto"/>
        <w:rPr>
          <w:sz w:val="20"/>
          <w:szCs w:val="20"/>
          <w:color w:val="auto"/>
        </w:rPr>
      </w:pPr>
      <w:r>
        <w:rPr>
          <w:rFonts w:ascii="Times New Roman" w:cs="Times New Roman" w:eastAsia="Times New Roman" w:hAnsi="Times New Roman"/>
          <w:sz w:val="14"/>
          <w:szCs w:val="14"/>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1" w:name="page212"/>
    <w:bookmarkEnd w:id="21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Definition of Non-U.S. Holder</w:t>
      </w:r>
    </w:p>
    <w:p>
      <w:pPr>
        <w:spacing w:after="0" w:line="93"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common stock that is for U.S. federal income tax purposes:</w:t>
      </w:r>
    </w:p>
    <w:p>
      <w:pPr>
        <w:spacing w:after="0" w:line="41" w:lineRule="exact"/>
        <w:rPr>
          <w:sz w:val="20"/>
          <w:szCs w:val="20"/>
          <w:color w:val="auto"/>
        </w:rPr>
      </w:pPr>
    </w:p>
    <w:p>
      <w:pPr>
        <w:ind w:left="1480" w:hanging="246"/>
        <w:spacing w:after="0"/>
        <w:tabs>
          <w:tab w:leader="none" w:pos="14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91" w:lineRule="exact"/>
        <w:rPr>
          <w:rFonts w:ascii="Times New Roman" w:cs="Times New Roman" w:eastAsia="Times New Roman" w:hAnsi="Times New Roman"/>
          <w:sz w:val="14"/>
          <w:szCs w:val="14"/>
          <w:color w:val="auto"/>
        </w:rPr>
      </w:pPr>
    </w:p>
    <w:p>
      <w:pPr>
        <w:ind w:left="1480" w:right="859" w:hanging="246"/>
        <w:spacing w:after="0" w:line="283" w:lineRule="auto"/>
        <w:tabs>
          <w:tab w:leader="none" w:pos="14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organization taxable as a corporation for U.S. federal income taxes that is not created or organized under the laws of the United States, any state thereof, or the District of Columbia;</w:t>
      </w:r>
    </w:p>
    <w:p>
      <w:pPr>
        <w:spacing w:after="0" w:line="40" w:lineRule="exact"/>
        <w:rPr>
          <w:rFonts w:ascii="Times New Roman" w:cs="Times New Roman" w:eastAsia="Times New Roman" w:hAnsi="Times New Roman"/>
          <w:sz w:val="14"/>
          <w:szCs w:val="14"/>
          <w:color w:val="auto"/>
        </w:rPr>
      </w:pPr>
    </w:p>
    <w:p>
      <w:pPr>
        <w:ind w:left="1480" w:right="779" w:hanging="246"/>
        <w:spacing w:after="0" w:line="267" w:lineRule="auto"/>
        <w:tabs>
          <w:tab w:leader="none" w:pos="14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trust (i) whose administration is not subject to the primary supervision of a U.S. court or (ii) which does not have one or more U.S. persons who have the authority to control all substantial decisions of the trust (provided that such trust does not have a valid election in effect under applicable Treasury Regulations to be treated as a U.S. person); or</w:t>
      </w:r>
    </w:p>
    <w:p>
      <w:pPr>
        <w:spacing w:after="0" w:line="5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estate, the income of which is not subject to U.S. federal income tax on a net income basis.</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Distributions on Our Common Stock</w:t>
      </w:r>
    </w:p>
    <w:p>
      <w:pPr>
        <w:spacing w:after="0" w:line="91"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As described under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“—Gain on sale or other taxable disposition of our common stock” below.</w:t>
      </w:r>
    </w:p>
    <w:p>
      <w:pPr>
        <w:spacing w:after="0" w:line="146"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49"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p>
    <w:p>
      <w:pPr>
        <w:spacing w:after="0" w:line="14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p>
    <w:p>
      <w:pPr>
        <w:spacing w:after="0" w:line="141"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Gain on Disposition of Our Common Stock</w:t>
      </w:r>
    </w:p>
    <w:p>
      <w:pPr>
        <w:spacing w:after="0" w:line="93" w:lineRule="exact"/>
        <w:rPr>
          <w:sz w:val="20"/>
          <w:szCs w:val="20"/>
          <w:color w:val="auto"/>
        </w:rPr>
      </w:pPr>
    </w:p>
    <w:p>
      <w:pPr>
        <w:ind w:left="720" w:right="979" w:firstLine="343"/>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regarding backup withholding and FATCA (as defined below), a non-U.S. holder generally will not be subject to U.S. federal income tax on any gain realized on the sale or other taxable disposition of our common stock, unless:</w:t>
      </w:r>
    </w:p>
    <w:p>
      <w:pPr>
        <w:spacing w:after="0" w:line="51" w:lineRule="exact"/>
        <w:rPr>
          <w:sz w:val="20"/>
          <w:szCs w:val="20"/>
          <w:color w:val="auto"/>
        </w:rPr>
      </w:pPr>
    </w:p>
    <w:p>
      <w:pPr>
        <w:ind w:left="1480" w:right="799" w:hanging="246"/>
        <w:spacing w:after="0" w:line="267" w:lineRule="auto"/>
        <w:tabs>
          <w:tab w:leader="none" w:pos="14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2" w:name="page213"/>
    <w:bookmarkEnd w:id="21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right="1119" w:hanging="246"/>
        <w:spacing w:after="0" w:line="283" w:lineRule="auto"/>
        <w:tabs>
          <w:tab w:leader="none" w:pos="14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40" w:lineRule="exact"/>
        <w:rPr>
          <w:rFonts w:ascii="Times New Roman" w:cs="Times New Roman" w:eastAsia="Times New Roman" w:hAnsi="Times New Roman"/>
          <w:sz w:val="14"/>
          <w:szCs w:val="14"/>
          <w:color w:val="auto"/>
        </w:rPr>
      </w:pPr>
    </w:p>
    <w:p>
      <w:pPr>
        <w:ind w:left="1480" w:right="799" w:hanging="246"/>
        <w:spacing w:after="0" w:line="258" w:lineRule="auto"/>
        <w:tabs>
          <w:tab w:leader="none" w:pos="14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p>
    <w:p>
      <w:pPr>
        <w:spacing w:after="0" w:line="144"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(assuming a U.S. tax return is timely filed, otherwise gross)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4"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w:t>
      </w:r>
    </w:p>
    <w:p>
      <w:pPr>
        <w:spacing w:after="0" w:line="141"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rules.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46" w:lineRule="exact"/>
        <w:rPr>
          <w:sz w:val="20"/>
          <w:szCs w:val="20"/>
          <w:color w:val="auto"/>
        </w:rPr>
      </w:pPr>
    </w:p>
    <w:p>
      <w:pPr>
        <w:jc w:val="both"/>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3" w:name="page214"/>
    <w:bookmarkEnd w:id="21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Withholding on Foreign Entities</w:t>
      </w:r>
    </w:p>
    <w:p>
      <w:pPr>
        <w:spacing w:after="0" w:line="93"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withholding does not apply to gross proceeds from sales or other dispositions of our common stock.</w:t>
      </w:r>
    </w:p>
    <w:p>
      <w:pPr>
        <w:spacing w:after="0" w:line="146"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Prospective investors are encouraged to consult with their tax advisors regarding the possible implications of FATCA on their investment in our common stock.</w:t>
      </w:r>
    </w:p>
    <w:p>
      <w:pPr>
        <w:spacing w:after="0" w:line="125"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4" w:name="page215"/>
    <w:bookmarkEnd w:id="21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7"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Leerink Partners LLC, BofA Securities, Inc., Evercore Group L.L.C. and Guggenheim Securities, LLC are acting as representatives of each of the underwriters named below and as active bookrunning managers for this offering. LifeSci Capital LLC is acting as a passive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9" w:lineRule="exact"/>
        <w:rPr>
          <w:sz w:val="20"/>
          <w:szCs w:val="20"/>
          <w:color w:val="auto"/>
        </w:rPr>
      </w:pPr>
    </w:p>
    <w:tbl>
      <w:tblPr>
        <w:tblLayout w:type="fixed"/>
        <w:tblInd w:w="2240" w:type="dxa"/>
        <w:tblCellMar>
          <w:top w:w="0" w:type="dxa"/>
          <w:left w:w="0" w:type="dxa"/>
          <w:bottom w:w="0" w:type="dxa"/>
          <w:right w:w="0" w:type="dxa"/>
        </w:tblCellMar>
      </w:tblPr>
      <w:tr>
        <w:trPr>
          <w:trHeight w:val="126"/>
        </w:trPr>
        <w:tc>
          <w:tcPr>
            <w:tcW w:w="2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2160" w:type="dxa"/>
            <w:vAlign w:val="bottom"/>
          </w:tcPr>
          <w:p>
            <w:pPr>
              <w:jc w:val="center"/>
              <w:ind w:left="1584"/>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7"/>
        </w:trPr>
        <w:tc>
          <w:tcPr>
            <w:tcW w:w="2220" w:type="dxa"/>
            <w:vAlign w:val="bottom"/>
            <w:vMerge w:val="continue"/>
          </w:tcPr>
          <w:p>
            <w:pPr>
              <w:spacing w:after="0"/>
              <w:rPr>
                <w:sz w:val="12"/>
                <w:szCs w:val="12"/>
                <w:color w:val="auto"/>
              </w:rPr>
            </w:pPr>
          </w:p>
        </w:tc>
        <w:tc>
          <w:tcPr>
            <w:tcW w:w="2160" w:type="dxa"/>
            <w:vAlign w:val="bottom"/>
          </w:tcPr>
          <w:p>
            <w:pPr>
              <w:jc w:val="center"/>
              <w:ind w:left="154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-6985</wp:posOffset>
            </wp:positionV>
            <wp:extent cx="2883535" cy="1136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83535" cy="11366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4"/>
          <w:szCs w:val="14"/>
          <w:color w:val="auto"/>
        </w:rPr>
        <w:t>Leerink Partners LLC</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BofA Securities, Inc.</w:t>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-101600</wp:posOffset>
            </wp:positionV>
            <wp:extent cx="2883535" cy="1066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83535" cy="10668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-101600</wp:posOffset>
            </wp:positionV>
            <wp:extent cx="2883535" cy="1136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83535" cy="11366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11430</wp:posOffset>
            </wp:positionV>
            <wp:extent cx="527050" cy="133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7050" cy="13335"/>
                    </a:xfrm>
                    <a:prstGeom prst="rect">
                      <a:avLst/>
                    </a:prstGeom>
                    <a:noFill/>
                  </pic:spPr>
                </pic:pic>
              </a:graphicData>
            </a:graphic>
          </wp:anchor>
        </w:drawing>
      </w:r>
    </w:p>
    <w:p>
      <w:pPr>
        <w:spacing w:after="0" w:line="172"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41" w:lineRule="exact"/>
        <w:rPr>
          <w:sz w:val="20"/>
          <w:szCs w:val="20"/>
          <w:color w:val="auto"/>
        </w:rPr>
      </w:pPr>
    </w:p>
    <w:p>
      <w:pPr>
        <w:ind w:left="720" w:right="1079" w:firstLine="343"/>
        <w:spacing w:after="0" w:line="283"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25"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Discounts and Commissions</w:t>
      </w:r>
    </w:p>
    <w:p>
      <w:pPr>
        <w:spacing w:after="0" w:line="93" w:lineRule="exact"/>
        <w:rPr>
          <w:sz w:val="20"/>
          <w:szCs w:val="20"/>
          <w:color w:val="auto"/>
        </w:rPr>
      </w:pPr>
    </w:p>
    <w:p>
      <w:pPr>
        <w:ind w:left="720" w:right="9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The representatives have advised us that the underwriters propose initially to offer the shares to the public at the initial public offering price set forth on the cover page of this prospectus and to dealers at that price less a concession not in excess of $       </w:t>
      </w:r>
    </w:p>
    <w:p>
      <w:pPr>
        <w:spacing w:after="0" w:line="1" w:lineRule="exact"/>
        <w:rPr>
          <w:sz w:val="20"/>
          <w:szCs w:val="20"/>
          <w:color w:val="auto"/>
        </w:rPr>
      </w:pPr>
    </w:p>
    <w:p>
      <w:pPr>
        <w:ind w:left="720" w:right="1199"/>
        <w:spacing w:after="0" w:line="261" w:lineRule="auto"/>
        <w:rPr>
          <w:sz w:val="20"/>
          <w:szCs w:val="20"/>
          <w:color w:val="auto"/>
        </w:rPr>
      </w:pPr>
      <w:r>
        <w:rPr>
          <w:rFonts w:ascii="Times New Roman" w:cs="Times New Roman" w:eastAsia="Times New Roman" w:hAnsi="Times New Roman"/>
          <w:sz w:val="14"/>
          <w:szCs w:val="14"/>
          <w:color w:val="auto"/>
        </w:rPr>
        <w:t>per share. After the initial offering of the shares, the public offering price, concession or any other term of this offering may be changed by the representatives.</w:t>
      </w:r>
    </w:p>
    <w:p>
      <w:pPr>
        <w:spacing w:after="0" w:line="140" w:lineRule="exact"/>
        <w:rPr>
          <w:sz w:val="20"/>
          <w:szCs w:val="20"/>
          <w:color w:val="auto"/>
        </w:rPr>
      </w:pPr>
    </w:p>
    <w:p>
      <w:pPr>
        <w:ind w:left="720" w:right="1159" w:firstLine="343"/>
        <w:spacing w:after="0" w:line="323" w:lineRule="auto"/>
        <w:rPr>
          <w:sz w:val="20"/>
          <w:szCs w:val="20"/>
          <w:color w:val="auto"/>
        </w:rPr>
      </w:pPr>
      <w:r>
        <w:rPr>
          <w:rFonts w:ascii="Times New Roman" w:cs="Times New Roman" w:eastAsia="Times New Roman" w:hAnsi="Times New Roman"/>
          <w:sz w:val="13"/>
          <w:szCs w:val="13"/>
          <w:color w:val="auto"/>
        </w:rPr>
        <w:t>The following table shows the initial public offering price, underwriting discounts and commissions and proceeds, before expenses, to us. The information assumes either no exercise or full exercise by the underwriters of their over-allotment option.</w:t>
      </w:r>
    </w:p>
    <w:p>
      <w:pPr>
        <w:spacing w:after="0" w:line="98" w:lineRule="exact"/>
        <w:rPr>
          <w:sz w:val="20"/>
          <w:szCs w:val="20"/>
          <w:color w:val="auto"/>
        </w:rPr>
      </w:pPr>
    </w:p>
    <w:tbl>
      <w:tblPr>
        <w:tblLayout w:type="fixed"/>
        <w:tblInd w:w="1480" w:type="dxa"/>
        <w:tblCellMar>
          <w:top w:w="0" w:type="dxa"/>
          <w:left w:w="0" w:type="dxa"/>
          <w:bottom w:w="0" w:type="dxa"/>
          <w:right w:w="0" w:type="dxa"/>
        </w:tblCellMar>
      </w:tblPr>
      <w:tr>
        <w:trPr>
          <w:trHeight w:val="135"/>
        </w:trPr>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87"/>
        </w:trPr>
        <w:tc>
          <w:tcPr>
            <w:tcW w:w="2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80" w:type="dxa"/>
            <w:vAlign w:val="bottom"/>
          </w:tcPr>
          <w:p>
            <w:pPr>
              <w:spacing w:after="0"/>
              <w:rPr>
                <w:sz w:val="7"/>
                <w:szCs w:val="7"/>
                <w:color w:val="auto"/>
              </w:rPr>
            </w:pPr>
          </w:p>
        </w:tc>
        <w:tc>
          <w:tcPr>
            <w:tcW w:w="580" w:type="dxa"/>
            <w:vAlign w:val="bottom"/>
          </w:tcPr>
          <w:p>
            <w:pPr>
              <w:jc w:val="center"/>
              <w:ind w:left="47"/>
              <w:spacing w:after="0" w:line="87" w:lineRule="exact"/>
              <w:rPr>
                <w:sz w:val="20"/>
                <w:szCs w:val="20"/>
                <w:color w:val="auto"/>
              </w:rPr>
            </w:pPr>
            <w:r>
              <w:rPr>
                <w:rFonts w:ascii="Times New Roman" w:cs="Times New Roman" w:eastAsia="Times New Roman" w:hAnsi="Times New Roman"/>
                <w:sz w:val="10"/>
                <w:szCs w:val="10"/>
                <w:b w:val="1"/>
                <w:bCs w:val="1"/>
                <w:color w:val="auto"/>
              </w:rPr>
              <w:t>Without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With</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Initial public offering price</w:t>
            </w:r>
          </w:p>
        </w:tc>
        <w:tc>
          <w:tcPr>
            <w:tcW w:w="14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14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20" w:right="1019" w:firstLine="343"/>
        <w:spacing w:after="0" w:line="261" w:lineRule="auto"/>
        <w:rPr>
          <w:sz w:val="20"/>
          <w:szCs w:val="20"/>
          <w:color w:val="auto"/>
        </w:rPr>
      </w:pPr>
      <w:r>
        <w:rPr>
          <w:rFonts w:ascii="Times New Roman" w:cs="Times New Roman" w:eastAsia="Times New Roman" w:hAnsi="Times New Roman"/>
          <w:sz w:val="14"/>
          <w:szCs w:val="14"/>
          <w:color w:val="auto"/>
        </w:rPr>
        <w:t>We estimate expenses payable by us in connection with this offering and the concurrent private placement, other than the underwriting discounts and commissions referred to above, will be approximately $    . We also have agreed to reimburse the underwriters for up to $      for their FINRA counsel fee. In accordance with FINRA Rule 5110, this reimbursed fee is deemed underwriting compensation for this offering.</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Over-Allotment Option</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We have granted an option to the underwriters, exercisable for 30 days after the date of this prospectus, to purchase up to 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The underwriters may exercise this option solely for the purpose of covering over-allotments, if any, made in connection with the offering of the shares of common stock offered by this prospectus.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5" w:name="page216"/>
    <w:bookmarkEnd w:id="21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We, our executive officers and directors and substantially all of our other existing security holders have agreed not to sell or transfer any common stock or securities convertible into or exchangeable or exercisable for common stock, for 180 days after the date of this prospectus without first obtaining the written consent of Leerink Partners LLC and BofA Securities, Inc. on behalf of the underwriters. Specifically, we and these other persons have agreed, with certain limited exceptions, not to directly or indirectly:</w:t>
      </w:r>
    </w:p>
    <w:p>
      <w:pPr>
        <w:spacing w:after="0" w:line="57" w:lineRule="exact"/>
        <w:rPr>
          <w:sz w:val="20"/>
          <w:szCs w:val="20"/>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or contract to sell any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any option or contract to purchase any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any option or contract to sell any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option, right or warrant for the sale of any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dispose of or transfer any common stock;</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or demand that we file a registration statement related to the common stock; or</w:t>
      </w:r>
    </w:p>
    <w:p>
      <w:pPr>
        <w:spacing w:after="0" w:line="91" w:lineRule="exact"/>
        <w:rPr>
          <w:rFonts w:ascii="Times New Roman" w:cs="Times New Roman" w:eastAsia="Times New Roman" w:hAnsi="Times New Roman"/>
          <w:sz w:val="14"/>
          <w:szCs w:val="14"/>
          <w:color w:val="auto"/>
        </w:rPr>
      </w:pPr>
    </w:p>
    <w:p>
      <w:pPr>
        <w:ind w:left="1480" w:right="859" w:hanging="246"/>
        <w:spacing w:after="0" w:line="267" w:lineRule="auto"/>
        <w:tabs>
          <w:tab w:leader="none" w:pos="14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The lock-up provisions apply to common stock and to securities convertible into or exchangeable or exercisable for common</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stock.</w:t>
      </w:r>
    </w:p>
    <w:p>
      <w:pPr>
        <w:spacing w:after="0" w:line="161" w:lineRule="exact"/>
        <w:rPr>
          <w:sz w:val="20"/>
          <w:szCs w:val="20"/>
          <w:color w:val="auto"/>
        </w:rPr>
      </w:pPr>
    </w:p>
    <w:p>
      <w:pPr>
        <w:ind w:left="720" w:right="839" w:firstLine="378"/>
        <w:spacing w:after="0" w:line="256" w:lineRule="auto"/>
        <w:rPr>
          <w:sz w:val="20"/>
          <w:szCs w:val="20"/>
          <w:color w:val="auto"/>
        </w:rPr>
      </w:pPr>
      <w:r>
        <w:rPr>
          <w:rFonts w:ascii="Times New Roman" w:cs="Times New Roman" w:eastAsia="Times New Roman" w:hAnsi="Times New Roman"/>
          <w:sz w:val="14"/>
          <w:szCs w:val="14"/>
          <w:color w:val="auto"/>
        </w:rPr>
        <w:t>The restrictions on our actions, as described above, do not apply to certain transactions, including: (i) the issuance of shares of common stock in this offering or in the concurrent private placement; (ii) the issuance of shares of common stock upon the exercise of an option or warrant or the conversion of a convertible security outstanding on the date of the Underwriting Agreement and referred to in this prospectus; (iii) the issuance of any shares of common stock or grant of any options to purchase common stock granted pursuant to existing employee benefit plans referred to in this prospectus; (iv) the issuance of shares of common stock pursuant to any existing non-employee director stock plan or dividend reinvestment plan referred to in this prospectus; or (v) the filing by the Company of any registration statement on Form S-8 or a successor form thereto.</w:t>
      </w:r>
    </w:p>
    <w:p>
      <w:pPr>
        <w:spacing w:after="0" w:line="144" w:lineRule="exact"/>
        <w:rPr>
          <w:sz w:val="20"/>
          <w:szCs w:val="20"/>
          <w:color w:val="auto"/>
        </w:rPr>
      </w:pPr>
    </w:p>
    <w:p>
      <w:pPr>
        <w:ind w:left="720" w:right="799" w:firstLine="343"/>
        <w:spacing w:after="0" w:line="252" w:lineRule="auto"/>
        <w:rPr>
          <w:sz w:val="20"/>
          <w:szCs w:val="20"/>
          <w:color w:val="auto"/>
        </w:rPr>
      </w:pPr>
      <w:r>
        <w:rPr>
          <w:rFonts w:ascii="Times New Roman" w:cs="Times New Roman" w:eastAsia="Times New Roman" w:hAnsi="Times New Roman"/>
          <w:sz w:val="14"/>
          <w:szCs w:val="14"/>
          <w:color w:val="auto"/>
        </w:rPr>
        <w:t>The restrictions on the actions of our executive officers, directors and other stockholders described above do not apply, subject in certain cases to various conditions, to certain transactions, including transfers (i) as a bona fide gift or gifts, including, without limitation, to a charitable organization or educational institution, or for bona fide estate planning purposes; (ii) to any trust, partnership, limited liability company or any other entities for the direct or indirect benefit of the locked-up party or the immediate family of the locked-up party; (iii) pursuant to distributions by a trust to its beneficiaries; (iv) to any corporation, partnership, limited liability company or other entity, all of the ownership interests of which are held by the locked-up party; (v) as a distribution or other transfer by a partnership to its partners or former partners or by a limited liability company to its members or retired members or by a corporation to its stockholders or former stockholders or to any wholly-owned subsidiary of such corporation; (vi) to the locked-up party’s affiliates or to any investment fund or other entity controlled or managed by the locked-up party; (vii) pursuant to a qualified domestic relations order or in connection with a divorce settlement, divorce decree or separation agreement; (viii) by will, testamentary document or intestate succession upon the death of the locked-up party; or (ix) to the Company in satisfaction of any tax withholding obligation. Furthermore, the lock-up agreements do not restrict or prohibit, subject in certain cases to various conditions,</w:t>
      </w:r>
    </w:p>
    <w:p>
      <w:pPr>
        <w:spacing w:after="0" w:line="5" w:lineRule="exact"/>
        <w:rPr>
          <w:sz w:val="20"/>
          <w:szCs w:val="20"/>
          <w:color w:val="auto"/>
        </w:rPr>
      </w:pPr>
    </w:p>
    <w:p>
      <w:pPr>
        <w:ind w:left="720" w:right="779"/>
        <w:spacing w:after="0" w:line="252" w:lineRule="auto"/>
        <w:tabs>
          <w:tab w:leader="none" w:pos="91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the Company in connection with the termination of the locked-up party’s services to the Company; (b) the exercise, vesting, settlement or exchange by the locked-up party of any option or warrant to acquire any shares of common stock or options to purchase shares of common stock, in each case for cash or on a “cashless” or “net exercise” basis, pursuant to any warrant, stock option, stock bonus or other stock plan or arrangement; (c) transfers upon the completion of a bona fide third-party tender offer, merger, consolidation or other similar transaction made to all holders of the Company’s securities involving a change of control of the Company; (d) the conversion of outstanding preferred stock and simple agreements for future equity (SAFEs) of the Company; (e) the transfer or disposition of shares of common stock purchased by the locked-up party in this offering or on the open market following this offering; or (f) the establishment of a 10b5-1 trading plan that complies with Rule 10b5-1 under the Exchange Act or from amending any existing such plan so long as, among other things, there are no sales thereunder for the duration of the lock-up.</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Nasdaq Global Market Listing</w:t>
      </w:r>
    </w:p>
    <w:p>
      <w:pPr>
        <w:spacing w:after="0" w:line="93" w:lineRule="exact"/>
        <w:rPr>
          <w:sz w:val="20"/>
          <w:szCs w:val="20"/>
          <w:color w:val="auto"/>
        </w:rPr>
      </w:pPr>
    </w:p>
    <w:p>
      <w:pPr>
        <w:ind w:left="720" w:right="1159" w:firstLine="343"/>
        <w:spacing w:after="0" w:line="283" w:lineRule="auto"/>
        <w:rPr>
          <w:sz w:val="20"/>
          <w:szCs w:val="20"/>
          <w:color w:val="auto"/>
        </w:rPr>
      </w:pPr>
      <w:r>
        <w:rPr>
          <w:rFonts w:ascii="Times New Roman" w:cs="Times New Roman" w:eastAsia="Times New Roman" w:hAnsi="Times New Roman"/>
          <w:sz w:val="14"/>
          <w:szCs w:val="14"/>
          <w:color w:val="auto"/>
        </w:rPr>
        <w:t>We have applied to list our common stock on The Nasdaq Global Market, subject to notice of issuance, under the symbol “PBLS”.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6" w:name="page217"/>
    <w:bookmarkEnd w:id="21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93" w:lineRule="exact"/>
        <w:rPr>
          <w:sz w:val="20"/>
          <w:szCs w:val="20"/>
          <w:color w:val="auto"/>
        </w:rPr>
      </w:pPr>
    </w:p>
    <w:p>
      <w:pPr>
        <w:ind w:left="720" w:right="899" w:firstLine="343"/>
        <w:spacing w:after="0" w:line="267"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The initial public offering price for our common stock will be determined through negotiations between us and the representatives. In addition to prevailing market conditions, the factors to be considered in determining the initial public offering price are:</w:t>
      </w:r>
    </w:p>
    <w:p>
      <w:pPr>
        <w:spacing w:after="0" w:line="51" w:lineRule="exact"/>
        <w:rPr>
          <w:sz w:val="20"/>
          <w:szCs w:val="20"/>
          <w:color w:val="auto"/>
        </w:rPr>
      </w:pPr>
    </w:p>
    <w:p>
      <w:pPr>
        <w:ind w:left="1480" w:hanging="246"/>
        <w:spacing w:after="0"/>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multiples of publicly traded companies that the representatives believe to be comparable to us;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information;</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history of, and the prospects for, our company and the industry in which we compete;</w:t>
      </w:r>
    </w:p>
    <w:p>
      <w:pPr>
        <w:spacing w:after="0" w:line="91" w:lineRule="exact"/>
        <w:rPr>
          <w:rFonts w:ascii="Times New Roman" w:cs="Times New Roman" w:eastAsia="Times New Roman" w:hAnsi="Times New Roman"/>
          <w:sz w:val="14"/>
          <w:szCs w:val="14"/>
          <w:color w:val="auto"/>
        </w:rPr>
      </w:pPr>
    </w:p>
    <w:p>
      <w:pPr>
        <w:ind w:left="1480" w:right="1159" w:hanging="246"/>
        <w:spacing w:after="0" w:line="283" w:lineRule="auto"/>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assessment of our management, its past and present operations, and the prospects for, and timing of, our future revenues;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state of our development; and</w:t>
      </w:r>
    </w:p>
    <w:p>
      <w:pPr>
        <w:spacing w:after="0" w:line="91" w:lineRule="exact"/>
        <w:rPr>
          <w:rFonts w:ascii="Times New Roman" w:cs="Times New Roman" w:eastAsia="Times New Roman" w:hAnsi="Times New Roman"/>
          <w:sz w:val="14"/>
          <w:szCs w:val="14"/>
          <w:color w:val="auto"/>
        </w:rPr>
      </w:pPr>
    </w:p>
    <w:p>
      <w:pPr>
        <w:ind w:left="1480" w:right="919" w:hanging="246"/>
        <w:spacing w:after="0" w:line="283" w:lineRule="auto"/>
        <w:tabs>
          <w:tab w:leader="none" w:pos="14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factors in relation to market values and various valuation measures of other companies engaged in activities similar to ours.</w:t>
      </w:r>
    </w:p>
    <w:p>
      <w:pPr>
        <w:spacing w:after="0" w:line="125" w:lineRule="exact"/>
        <w:rPr>
          <w:sz w:val="20"/>
          <w:szCs w:val="20"/>
          <w:color w:val="auto"/>
        </w:rPr>
      </w:pPr>
    </w:p>
    <w:p>
      <w:pPr>
        <w:ind w:left="720" w:right="919" w:firstLine="343"/>
        <w:spacing w:after="0" w:line="283" w:lineRule="auto"/>
        <w:rPr>
          <w:sz w:val="20"/>
          <w:szCs w:val="20"/>
          <w:color w:val="auto"/>
        </w:rPr>
      </w:pPr>
      <w:r>
        <w:rPr>
          <w:rFonts w:ascii="Times New Roman" w:cs="Times New Roman" w:eastAsia="Times New Roman" w:hAnsi="Times New Roman"/>
          <w:sz w:val="14"/>
          <w:szCs w:val="14"/>
          <w:color w:val="auto"/>
        </w:rPr>
        <w:t>An active trading market for the shares may not develop. It is also possible that after this offering, our common stock will not trade in the public market at or above the initial public offering price.</w:t>
      </w:r>
    </w:p>
    <w:p>
      <w:pPr>
        <w:spacing w:after="0" w:line="125" w:lineRule="exact"/>
        <w:rPr>
          <w:sz w:val="20"/>
          <w:szCs w:val="20"/>
          <w:color w:val="auto"/>
        </w:rPr>
      </w:pPr>
    </w:p>
    <w:p>
      <w:pPr>
        <w:ind w:left="720" w:right="1239" w:firstLine="343"/>
        <w:spacing w:after="0" w:line="283" w:lineRule="auto"/>
        <w:rPr>
          <w:sz w:val="20"/>
          <w:szCs w:val="20"/>
          <w:color w:val="auto"/>
        </w:rPr>
      </w:pPr>
      <w:r>
        <w:rPr>
          <w:rFonts w:ascii="Times New Roman" w:cs="Times New Roman" w:eastAsia="Times New Roman" w:hAnsi="Times New Roman"/>
          <w:sz w:val="14"/>
          <w:szCs w:val="14"/>
          <w:color w:val="auto"/>
        </w:rPr>
        <w:t>The underwriters do not expect to sell more than 5% of the shares in the aggregate to accounts over which they exercise discretionary authority.</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Price Stabilization, Short Positions and Penalty Bids</w:t>
      </w:r>
    </w:p>
    <w:p>
      <w:pPr>
        <w:spacing w:after="0" w:line="93"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36"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granted to them under the underwriting agreement described above. “Naked” short sales are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49"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6"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41"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7" w:name="page218"/>
    <w:bookmarkEnd w:id="21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Electronic Distribution</w:t>
      </w:r>
    </w:p>
    <w:p>
      <w:pPr>
        <w:spacing w:after="0" w:line="93" w:lineRule="exact"/>
        <w:rPr>
          <w:sz w:val="20"/>
          <w:szCs w:val="20"/>
          <w:color w:val="auto"/>
        </w:rPr>
      </w:pPr>
    </w:p>
    <w:p>
      <w:pPr>
        <w:ind w:left="720" w:right="111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this offering, certain of the underwriters or securities dealers may distribute prospectuses by electronic means, such as e-mail.</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3"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44"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60" w:lineRule="exact"/>
        <w:rPr>
          <w:sz w:val="20"/>
          <w:szCs w:val="20"/>
          <w:color w:val="auto"/>
        </w:rPr>
      </w:pPr>
    </w:p>
    <w:p>
      <w:pPr>
        <w:ind w:left="1480" w:hanging="246"/>
        <w:spacing w:after="0"/>
        <w:tabs>
          <w:tab w:leader="none" w:pos="14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91" w:lineRule="exact"/>
        <w:rPr>
          <w:rFonts w:ascii="Times New Roman" w:cs="Times New Roman" w:eastAsia="Times New Roman" w:hAnsi="Times New Roman"/>
          <w:sz w:val="14"/>
          <w:szCs w:val="14"/>
          <w:color w:val="auto"/>
        </w:rPr>
      </w:pPr>
    </w:p>
    <w:p>
      <w:pPr>
        <w:ind w:left="1480" w:right="999" w:hanging="246"/>
        <w:spacing w:after="0" w:line="283" w:lineRule="auto"/>
        <w:tabs>
          <w:tab w:leader="none" w:pos="14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3" w:lineRule="exact"/>
        <w:rPr>
          <w:sz w:val="20"/>
          <w:szCs w:val="20"/>
          <w:color w:val="auto"/>
        </w:rPr>
      </w:pPr>
    </w:p>
    <w:p>
      <w:pPr>
        <w:ind w:left="720" w:right="87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shares shall require us or any of the representatives to publish a prospectus pursuant to Article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Prospectus Regulation or supplement a prospectus pursuant to Article 23 of the Prospectus Regulation.</w:t>
      </w:r>
    </w:p>
    <w:p>
      <w:pPr>
        <w:spacing w:after="0" w:line="123"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3" w:lineRule="exact"/>
        <w:rPr>
          <w:sz w:val="20"/>
          <w:szCs w:val="20"/>
          <w:color w:val="auto"/>
        </w:rPr>
      </w:pPr>
    </w:p>
    <w:p>
      <w:pPr>
        <w:ind w:left="720" w:right="1059" w:firstLine="343"/>
        <w:spacing w:after="0" w:line="267"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51" w:lineRule="exact"/>
        <w:rPr>
          <w:sz w:val="20"/>
          <w:szCs w:val="20"/>
          <w:color w:val="auto"/>
        </w:rPr>
      </w:pPr>
    </w:p>
    <w:p>
      <w:pPr>
        <w:ind w:left="1480" w:hanging="246"/>
        <w:spacing w:after="0"/>
        <w:tabs>
          <w:tab w:leader="none" w:pos="14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91" w:lineRule="exact"/>
        <w:rPr>
          <w:rFonts w:ascii="Times New Roman" w:cs="Times New Roman" w:eastAsia="Times New Roman" w:hAnsi="Times New Roman"/>
          <w:sz w:val="14"/>
          <w:szCs w:val="14"/>
          <w:color w:val="auto"/>
        </w:rPr>
      </w:pPr>
    </w:p>
    <w:p>
      <w:pPr>
        <w:ind w:left="1480" w:right="759" w:hanging="246"/>
        <w:spacing w:after="0" w:line="283" w:lineRule="auto"/>
        <w:tabs>
          <w:tab w:leader="none" w:pos="14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(the “FSMA”),</w:t>
      </w:r>
    </w:p>
    <w:p>
      <w:pPr>
        <w:spacing w:after="0" w:line="173" w:lineRule="exact"/>
        <w:rPr>
          <w:sz w:val="20"/>
          <w:szCs w:val="20"/>
          <w:color w:val="auto"/>
        </w:rPr>
      </w:pPr>
    </w:p>
    <w:p>
      <w:pPr>
        <w:jc w:val="both"/>
        <w:ind w:left="720" w:right="799" w:firstLine="343"/>
        <w:spacing w:after="0" w:line="288" w:lineRule="auto"/>
        <w:rPr>
          <w:sz w:val="20"/>
          <w:szCs w:val="20"/>
          <w:color w:val="auto"/>
        </w:rPr>
      </w:pP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no such offer of the shares shall require us or any representative to publish a prospectus pursuant to Section 85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8" w:name="page219"/>
    <w:bookmarkEnd w:id="21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1039"/>
        <w:spacing w:after="0" w:line="283" w:lineRule="auto"/>
        <w:rPr>
          <w:sz w:val="20"/>
          <w:szCs w:val="20"/>
          <w:color w:val="auto"/>
        </w:rPr>
      </w:pPr>
      <w:r>
        <w:rPr>
          <w:rFonts w:ascii="Times New Roman" w:cs="Times New Roman" w:eastAsia="Times New Roman" w:hAnsi="Times New Roman"/>
          <w:sz w:val="14"/>
          <w:szCs w:val="14"/>
          <w:color w:val="auto"/>
        </w:rPr>
        <w:t>or subscribe for any shares and the expression “UK Prospectus Regulation” means Regulation (EU) 2017/1129 as it forms part of domestic law by virtue of the European Union (Withdrawal) Act 2018.</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3"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4"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9" w:name="page220"/>
    <w:bookmarkEnd w:id="21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jc w:val="both"/>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The validity of the shares of our common stock being offered in this prospectus will be passed upon for us by Goodwin Procter LLP, Boston, Massachusetts. Covington &amp; Burling LLP, New York, New York, is counsel to the underwriters in connection with this offering.</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jc w:val="both"/>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The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7"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4"/>
          <w:szCs w:val="14"/>
          <w:i w:val="1"/>
          <w:iCs w:val="1"/>
          <w:color w:val="auto"/>
        </w:rPr>
        <w:t>www.sec.gov/edgar.</w:t>
      </w:r>
    </w:p>
    <w:p>
      <w:pPr>
        <w:spacing w:after="0" w:line="146"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p>
    <w:p>
      <w:pPr>
        <w:spacing w:after="0" w:line="134"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www.parabilismed.com</w:t>
      </w:r>
      <w:r>
        <w:rPr>
          <w:rFonts w:ascii="Times New Roman" w:cs="Times New Roman" w:eastAsia="Times New Roman" w:hAnsi="Times New Roman"/>
          <w:sz w:val="14"/>
          <w:szCs w:val="14"/>
          <w:color w:val="auto"/>
        </w:rPr>
        <w:t>. The information contained in or accessible from our website is not incorporated into this prospectus, and you should not consider it part of this prospectus. We have included our website address in this prospectus solely as an inactive textual reference. Upon the closing of this offering,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0" w:name="page221"/>
    <w:bookmarkEnd w:id="220"/>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660" w:type="dxa"/>
            <w:vAlign w:val="bottom"/>
          </w:tcPr>
          <w:p>
            <w:pPr>
              <w:spacing w:after="0"/>
              <w:rPr>
                <w:sz w:val="13"/>
                <w:szCs w:val="13"/>
                <w:color w:val="auto"/>
              </w:rPr>
            </w:pPr>
          </w:p>
        </w:tc>
      </w:tr>
      <w:tr>
        <w:trPr>
          <w:trHeight w:val="874"/>
        </w:trPr>
        <w:tc>
          <w:tcPr>
            <w:tcW w:w="52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Parabilis Medicines, Inc.</w:t>
            </w:r>
          </w:p>
        </w:tc>
        <w:tc>
          <w:tcPr>
            <w:tcW w:w="1660" w:type="dxa"/>
            <w:vAlign w:val="bottom"/>
          </w:tcPr>
          <w:p>
            <w:pPr>
              <w:spacing w:after="0"/>
              <w:rPr>
                <w:sz w:val="24"/>
                <w:szCs w:val="24"/>
                <w:color w:val="auto"/>
              </w:rPr>
            </w:pPr>
          </w:p>
        </w:tc>
      </w:tr>
      <w:tr>
        <w:trPr>
          <w:trHeight w:val="336"/>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gridSpan w:val="11"/>
          </w:tcPr>
          <w:p>
            <w:pPr>
              <w:jc w:val="center"/>
              <w:ind w:right="480"/>
              <w:spacing w:after="0"/>
              <w:rPr>
                <w:sz w:val="20"/>
                <w:szCs w:val="20"/>
                <w:color w:val="auto"/>
              </w:rPr>
            </w:pPr>
            <w:r>
              <w:rPr>
                <w:rFonts w:ascii="Times New Roman" w:cs="Times New Roman" w:eastAsia="Times New Roman" w:hAnsi="Times New Roman"/>
                <w:sz w:val="14"/>
                <w:szCs w:val="14"/>
                <w:color w:val="auto"/>
              </w:rPr>
              <w:t>INDEX TO CONSOLIDATED FINANCIAL STATEMENTS</w:t>
            </w:r>
          </w:p>
        </w:tc>
        <w:tc>
          <w:tcPr>
            <w:tcW w:w="1660" w:type="dxa"/>
            <w:vAlign w:val="bottom"/>
          </w:tcPr>
          <w:p>
            <w:pPr>
              <w:spacing w:after="0"/>
              <w:rPr>
                <w:sz w:val="24"/>
                <w:szCs w:val="24"/>
                <w:color w:val="auto"/>
              </w:rPr>
            </w:pPr>
          </w:p>
        </w:tc>
      </w:tr>
      <w:tr>
        <w:trPr>
          <w:trHeight w:val="326"/>
        </w:trPr>
        <w:tc>
          <w:tcPr>
            <w:tcW w:w="520" w:type="dxa"/>
            <w:vAlign w:val="bottom"/>
          </w:tcPr>
          <w:p>
            <w:pPr>
              <w:spacing w:after="0"/>
              <w:rPr>
                <w:sz w:val="24"/>
                <w:szCs w:val="24"/>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F-2</w:t>
            </w:r>
          </w:p>
        </w:tc>
      </w:tr>
      <w:tr>
        <w:trPr>
          <w:trHeight w:val="148"/>
        </w:trPr>
        <w:tc>
          <w:tcPr>
            <w:tcW w:w="520" w:type="dxa"/>
            <w:vAlign w:val="bottom"/>
          </w:tcPr>
          <w:p>
            <w:pPr>
              <w:spacing w:after="0"/>
              <w:rPr>
                <w:sz w:val="12"/>
                <w:szCs w:val="12"/>
                <w:color w:val="auto"/>
              </w:rPr>
            </w:pPr>
          </w:p>
        </w:tc>
        <w:tc>
          <w:tcPr>
            <w:tcW w:w="328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3140" w:type="dxa"/>
            <w:vAlign w:val="bottom"/>
            <w:gridSpan w:val="5"/>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F-3</w:t>
            </w:r>
          </w:p>
        </w:tc>
      </w:tr>
      <w:tr>
        <w:trPr>
          <w:trHeight w:val="20"/>
        </w:trPr>
        <w:tc>
          <w:tcPr>
            <w:tcW w:w="5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3680" w:type="dxa"/>
            <w:vAlign w:val="bottom"/>
            <w:tcBorders>
              <w:bottom w:val="single" w:sz="8" w:color="0000FF"/>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2740" w:type="dxa"/>
            <w:vAlign w:val="bottom"/>
            <w:gridSpan w:val="4"/>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F-4</w:t>
            </w:r>
          </w:p>
        </w:tc>
      </w:tr>
      <w:tr>
        <w:trPr>
          <w:trHeight w:val="148"/>
        </w:trPr>
        <w:tc>
          <w:tcPr>
            <w:tcW w:w="520" w:type="dxa"/>
            <w:vAlign w:val="bottom"/>
          </w:tcPr>
          <w:p>
            <w:pPr>
              <w:spacing w:after="0"/>
              <w:rPr>
                <w:sz w:val="12"/>
                <w:szCs w:val="12"/>
                <w:color w:val="auto"/>
              </w:rPr>
            </w:pPr>
          </w:p>
        </w:tc>
        <w:tc>
          <w:tcPr>
            <w:tcW w:w="642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FF"/>
              </w:rPr>
              <w:t>Consolidated Statements of Convertible Preferred Stock and Stockholders’ Deficit</w:t>
            </w: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F-5</w:t>
            </w:r>
          </w:p>
        </w:tc>
      </w:tr>
      <w:tr>
        <w:trPr>
          <w:trHeight w:val="148"/>
        </w:trPr>
        <w:tc>
          <w:tcPr>
            <w:tcW w:w="52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2380" w:type="dxa"/>
            <w:vAlign w:val="bottom"/>
            <w:tcBorders>
              <w:top w:val="single" w:sz="8" w:color="0000FF"/>
            </w:tcBorders>
            <w:gridSpan w:val="8"/>
          </w:tcPr>
          <w:p>
            <w:pPr>
              <w:spacing w:after="0"/>
              <w:rPr>
                <w:sz w:val="12"/>
                <w:szCs w:val="12"/>
                <w:color w:val="auto"/>
              </w:rPr>
            </w:pPr>
          </w:p>
        </w:tc>
        <w:tc>
          <w:tcPr>
            <w:tcW w:w="1800" w:type="dxa"/>
            <w:vAlign w:val="bottom"/>
            <w:gridSpan w:val="2"/>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F-6</w:t>
            </w:r>
          </w:p>
        </w:tc>
      </w:tr>
      <w:tr>
        <w:trPr>
          <w:trHeight w:val="148"/>
        </w:trPr>
        <w:tc>
          <w:tcPr>
            <w:tcW w:w="520" w:type="dxa"/>
            <w:vAlign w:val="bottom"/>
          </w:tcPr>
          <w:p>
            <w:pPr>
              <w:spacing w:after="0"/>
              <w:rPr>
                <w:sz w:val="12"/>
                <w:szCs w:val="12"/>
                <w:color w:val="auto"/>
              </w:rPr>
            </w:pPr>
          </w:p>
        </w:tc>
        <w:tc>
          <w:tcPr>
            <w:tcW w:w="2460" w:type="dxa"/>
            <w:vAlign w:val="bottom"/>
            <w:tcBorders>
              <w:bottom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FF"/>
                <w:w w:val="99"/>
              </w:rPr>
              <w:t>Notes to Consolidated Financial Statements</w:t>
            </w:r>
          </w:p>
        </w:tc>
        <w:tc>
          <w:tcPr>
            <w:tcW w:w="3960" w:type="dxa"/>
            <w:vAlign w:val="bottom"/>
            <w:gridSpan w:val="8"/>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F-7</w:t>
            </w:r>
          </w:p>
        </w:tc>
      </w:tr>
      <w:tr>
        <w:trPr>
          <w:trHeight w:val="337"/>
        </w:trPr>
        <w:tc>
          <w:tcPr>
            <w:tcW w:w="520" w:type="dxa"/>
            <w:vAlign w:val="bottom"/>
          </w:tcPr>
          <w:p>
            <w:pPr>
              <w:spacing w:after="0"/>
              <w:rPr>
                <w:sz w:val="24"/>
                <w:szCs w:val="24"/>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F-30</w:t>
            </w:r>
          </w:p>
        </w:tc>
      </w:tr>
      <w:tr>
        <w:trPr>
          <w:trHeight w:val="20"/>
        </w:trPr>
        <w:tc>
          <w:tcPr>
            <w:tcW w:w="520" w:type="dxa"/>
            <w:vAlign w:val="bottom"/>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4300" w:type="dxa"/>
            <w:vAlign w:val="bottom"/>
            <w:tcBorders>
              <w:bottom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FF"/>
                <w:w w:val="99"/>
              </w:rPr>
              <w:t>Condensed Consolidated Statements of Operations and Comprehensive Loss</w:t>
            </w:r>
          </w:p>
        </w:tc>
        <w:tc>
          <w:tcPr>
            <w:tcW w:w="2120" w:type="dxa"/>
            <w:vAlign w:val="bottom"/>
            <w:gridSpan w:val="3"/>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F-31</w:t>
            </w:r>
          </w:p>
        </w:tc>
      </w:tr>
      <w:tr>
        <w:trPr>
          <w:trHeight w:val="148"/>
        </w:trPr>
        <w:tc>
          <w:tcPr>
            <w:tcW w:w="520" w:type="dxa"/>
            <w:vAlign w:val="bottom"/>
          </w:tcPr>
          <w:p>
            <w:pPr>
              <w:spacing w:after="0"/>
              <w:rPr>
                <w:sz w:val="12"/>
                <w:szCs w:val="12"/>
                <w:color w:val="auto"/>
              </w:rPr>
            </w:pPr>
          </w:p>
        </w:tc>
        <w:tc>
          <w:tcPr>
            <w:tcW w:w="5280" w:type="dxa"/>
            <w:vAlign w:val="bottom"/>
            <w:tcBorders>
              <w:bottom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FF"/>
                <w:w w:val="99"/>
              </w:rPr>
              <w:t>Condensed Consolidated Statements of Convertible Preferred Stock and Stockholders’ Deficit</w:t>
            </w:r>
          </w:p>
        </w:tc>
        <w:tc>
          <w:tcPr>
            <w:tcW w:w="1140" w:type="dxa"/>
            <w:vAlign w:val="bottom"/>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F-32</w:t>
            </w:r>
          </w:p>
        </w:tc>
      </w:tr>
      <w:tr>
        <w:trPr>
          <w:trHeight w:val="148"/>
        </w:trPr>
        <w:tc>
          <w:tcPr>
            <w:tcW w:w="520" w:type="dxa"/>
            <w:vAlign w:val="bottom"/>
          </w:tcPr>
          <w:p>
            <w:pPr>
              <w:spacing w:after="0"/>
              <w:rPr>
                <w:sz w:val="12"/>
                <w:szCs w:val="12"/>
                <w:color w:val="auto"/>
              </w:rPr>
            </w:pPr>
          </w:p>
        </w:tc>
        <w:tc>
          <w:tcPr>
            <w:tcW w:w="2900" w:type="dxa"/>
            <w:vAlign w:val="bottom"/>
            <w:tcBorders>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FF"/>
                <w:w w:val="99"/>
              </w:rPr>
              <w:t>Condensed Consolidated Statements of Cash Flows</w:t>
            </w:r>
          </w:p>
        </w:tc>
        <w:tc>
          <w:tcPr>
            <w:tcW w:w="3520" w:type="dxa"/>
            <w:vAlign w:val="bottom"/>
            <w:gridSpan w:val="7"/>
          </w:tcPr>
          <w:p>
            <w:pPr>
              <w:spacing w:after="0"/>
              <w:rPr>
                <w:sz w:val="12"/>
                <w:szCs w:val="12"/>
                <w:color w:val="auto"/>
              </w:rPr>
            </w:pP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F-33</w:t>
            </w:r>
          </w:p>
        </w:tc>
      </w:tr>
      <w:tr>
        <w:trPr>
          <w:trHeight w:val="148"/>
        </w:trPr>
        <w:tc>
          <w:tcPr>
            <w:tcW w:w="520" w:type="dxa"/>
            <w:vAlign w:val="bottom"/>
          </w:tcPr>
          <w:p>
            <w:pPr>
              <w:spacing w:after="0"/>
              <w:rPr>
                <w:sz w:val="12"/>
                <w:szCs w:val="12"/>
                <w:color w:val="auto"/>
              </w:rPr>
            </w:pPr>
          </w:p>
        </w:tc>
        <w:tc>
          <w:tcPr>
            <w:tcW w:w="642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1660" w:type="dxa"/>
            <w:vAlign w:val="bottom"/>
          </w:tcPr>
          <w:p>
            <w:pPr>
              <w:jc w:val="right"/>
              <w:ind w:right="450"/>
              <w:spacing w:after="0" w:line="148" w:lineRule="exact"/>
              <w:rPr>
                <w:sz w:val="20"/>
                <w:szCs w:val="20"/>
                <w:color w:val="auto"/>
              </w:rPr>
            </w:pPr>
            <w:r>
              <w:rPr>
                <w:rFonts w:ascii="Times New Roman" w:cs="Times New Roman" w:eastAsia="Times New Roman" w:hAnsi="Times New Roman"/>
                <w:sz w:val="14"/>
                <w:szCs w:val="14"/>
                <w:color w:val="auto"/>
              </w:rPr>
              <w:t>F-34</w:t>
            </w:r>
          </w:p>
        </w:tc>
      </w:tr>
      <w:tr>
        <w:trPr>
          <w:trHeight w:val="516"/>
        </w:trPr>
        <w:tc>
          <w:tcPr>
            <w:tcW w:w="52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gridSpan w:val="4"/>
          </w:tcPr>
          <w:p>
            <w:pPr>
              <w:jc w:val="center"/>
              <w:ind w:right="2540"/>
              <w:spacing w:after="0"/>
              <w:rPr>
                <w:sz w:val="20"/>
                <w:szCs w:val="20"/>
                <w:color w:val="auto"/>
              </w:rPr>
            </w:pPr>
            <w:r>
              <w:rPr>
                <w:rFonts w:ascii="Times New Roman" w:cs="Times New Roman" w:eastAsia="Times New Roman" w:hAnsi="Times New Roman"/>
                <w:sz w:val="14"/>
                <w:szCs w:val="14"/>
                <w:color w:val="auto"/>
              </w:rPr>
              <w:t>F-1</w:t>
            </w:r>
          </w:p>
        </w:tc>
        <w:tc>
          <w:tcPr>
            <w:tcW w:w="1660" w:type="dxa"/>
            <w:vAlign w:val="bottom"/>
          </w:tcPr>
          <w:p>
            <w:pPr>
              <w:spacing w:after="0"/>
              <w:rPr>
                <w:sz w:val="24"/>
                <w:szCs w:val="24"/>
                <w:color w:val="auto"/>
              </w:rPr>
            </w:pPr>
          </w:p>
        </w:tc>
      </w:tr>
      <w:tr>
        <w:trPr>
          <w:trHeight w:val="590"/>
        </w:trPr>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21" w:name="page222"/>
    <w:bookmarkEnd w:id="22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To the Board of Directors and Stockholders of Parabilis Medicines, Inc.</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93" w:lineRule="exact"/>
        <w:rPr>
          <w:sz w:val="20"/>
          <w:szCs w:val="20"/>
          <w:color w:val="auto"/>
        </w:rPr>
      </w:pPr>
    </w:p>
    <w:p>
      <w:pPr>
        <w:ind w:left="720" w:right="799"/>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Parabilis Medicines, Inc. and its subsidiary (the “Company”) as of December 31, 2025 and 2024, and the related consolidated statements of operations and comprehensive loss, of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77" w:lineRule="exact"/>
        <w:rPr>
          <w:sz w:val="20"/>
          <w:szCs w:val="20"/>
          <w:color w:val="auto"/>
        </w:rPr>
      </w:pPr>
    </w:p>
    <w:p>
      <w:pPr>
        <w:ind w:left="720" w:right="839"/>
        <w:spacing w:after="0" w:line="258"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720" w:right="739"/>
        <w:spacing w:after="0" w:line="267"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6" w:lineRule="exact"/>
        <w:rPr>
          <w:sz w:val="20"/>
          <w:szCs w:val="20"/>
          <w:color w:val="auto"/>
        </w:rPr>
      </w:pPr>
    </w:p>
    <w:p>
      <w:pPr>
        <w:ind w:left="720" w:right="759"/>
        <w:spacing w:after="0" w:line="25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April 2, 2026</w:t>
      </w:r>
    </w:p>
    <w:p>
      <w:pPr>
        <w:spacing w:after="0" w:line="161" w:lineRule="exact"/>
        <w:rPr>
          <w:sz w:val="20"/>
          <w:szCs w:val="20"/>
          <w:color w:val="auto"/>
        </w:rPr>
      </w:pPr>
    </w:p>
    <w:p>
      <w:pPr>
        <w:ind w:left="720" w:right="879"/>
        <w:spacing w:after="0" w:line="283" w:lineRule="auto"/>
        <w:rPr>
          <w:sz w:val="20"/>
          <w:szCs w:val="20"/>
          <w:color w:val="auto"/>
        </w:rPr>
      </w:pPr>
      <w:r>
        <w:rPr>
          <w:rFonts w:ascii="Times New Roman" w:cs="Times New Roman" w:eastAsia="Times New Roman" w:hAnsi="Times New Roman"/>
          <w:sz w:val="14"/>
          <w:szCs w:val="14"/>
          <w:color w:val="auto"/>
        </w:rPr>
        <w:t>We have served as the Company’s auditor since 2023, which includes periods before the Company became subject to SEC reporting requirements.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2" w:name="page223"/>
    <w:bookmarkEnd w:id="22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51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51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47,284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27,711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40,694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3,870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Rent receivable – related party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Due from related party</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92,208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29,358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8,864</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6,715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2,855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44,064</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39,360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1,262</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440" w:type="dxa"/>
            <w:vAlign w:val="bottom"/>
            <w:gridSpan w:val="2"/>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149,253</w:t>
            </w:r>
          </w:p>
        </w:tc>
        <w:tc>
          <w:tcPr>
            <w:tcW w:w="480" w:type="dxa"/>
            <w:vAlign w:val="bottom"/>
            <w:gridSpan w:val="2"/>
            <w:shd w:val="clear" w:color="auto" w:fill="CFF0FC"/>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80,820</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470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9,514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17,272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13,522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18,630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6,295</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7,174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 liabilities, current portion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581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term loan, net of discount</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13,077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32,412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56,791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Term loan, net of discount and current portion</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12,788</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41,926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36,341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2,108</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1,470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tranche right liability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2,167</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1,413</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92,814</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97,344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Commitments and contingencies (Note 11)</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Convertible preferred stock (Series A, B, C, D and E), $0.0001 par value;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53,296,426 shares authorized at December 31, 2024 and 2025; 42,459,887 and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53,296,426 shares issued and outstanding at December 31, 2024 and 2025,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respectively (liquidation preference of $550,437 and $658,972 at 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2024 and 2025, respectively)</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440,375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509,971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Common stock, $0.0001 par value; 81,000,000 shares authorized at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December 31, 2024 and 2025; 3,104,900 and 3,132,248 shares issued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outstanding at December 31, 2024 and 2025, respectively</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11,658</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15,009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(395,615)</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(541,504)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stockholders’ deficit</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(383,936)</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(526,495)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7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440" w:type="dxa"/>
            <w:vAlign w:val="bottom"/>
            <w:gridSpan w:val="2"/>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149,253</w:t>
            </w:r>
          </w:p>
        </w:tc>
        <w:tc>
          <w:tcPr>
            <w:tcW w:w="480" w:type="dxa"/>
            <w:vAlign w:val="bottom"/>
            <w:gridSpan w:val="2"/>
            <w:shd w:val="clear" w:color="auto" w:fill="CFF0FC"/>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80,820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-3931285</wp:posOffset>
            </wp:positionV>
            <wp:extent cx="8699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-3277235</wp:posOffset>
            </wp:positionV>
            <wp:extent cx="8699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-3263900</wp:posOffset>
            </wp:positionV>
            <wp:extent cx="8699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-2402205</wp:posOffset>
            </wp:positionV>
            <wp:extent cx="8699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-1755140</wp:posOffset>
            </wp:positionV>
            <wp:extent cx="8699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-246380</wp:posOffset>
            </wp:positionV>
            <wp:extent cx="8699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-19685</wp:posOffset>
            </wp:positionV>
            <wp:extent cx="8699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-6350</wp:posOffset>
            </wp:positionV>
            <wp:extent cx="8699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3" w:name="page224"/>
    <w:bookmarkEnd w:id="22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100,829</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125,583</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25,296</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26,496</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152,079</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(126,125)</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(152,079)</w:t>
            </w: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6,408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3,386</w:t>
            </w: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Sublease income - related party</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4,228</w:t>
            </w: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preferred stock tranche right liability</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98</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other income, net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8,211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6,190</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340" w:type="dxa"/>
            <w:vAlign w:val="bottom"/>
            <w:gridSpan w:val="2"/>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r>
      <w:tr>
        <w:trPr>
          <w:trHeight w:val="159"/>
        </w:trPr>
        <w:tc>
          <w:tcPr>
            <w:tcW w:w="20" w:type="dxa"/>
            <w:vAlign w:val="bottom"/>
          </w:tcPr>
          <w:p>
            <w:pPr>
              <w:spacing w:after="0"/>
              <w:rPr>
                <w:sz w:val="13"/>
                <w:szCs w:val="13"/>
                <w:color w:val="auto"/>
              </w:rPr>
            </w:pPr>
          </w:p>
        </w:tc>
        <w:tc>
          <w:tcPr>
            <w:tcW w:w="5180" w:type="dxa"/>
            <w:vAlign w:val="bottom"/>
            <w:tcBorders>
              <w:top w:val="single" w:sz="8" w:color="CFF0FC"/>
            </w:tcBorders>
          </w:tcPr>
          <w:p>
            <w:pPr>
              <w:ind w:left="120"/>
              <w:spacing w:after="0" w:line="159" w:lineRule="exact"/>
              <w:rPr>
                <w:sz w:val="20"/>
                <w:szCs w:val="20"/>
                <w:color w:val="auto"/>
              </w:rPr>
            </w:pPr>
            <w:r>
              <w:rPr>
                <w:rFonts w:ascii="Times New Roman" w:cs="Times New Roman" w:eastAsia="Times New Roman" w:hAnsi="Times New Roman"/>
                <w:sz w:val="14"/>
                <w:szCs w:val="14"/>
                <w:color w:val="auto"/>
              </w:rPr>
              <w:t>Cumulative dividends on convertible preferred stock</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(34,581)</w:t>
            </w: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(41,044)</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Deemed dividend upon down-round of convertible preferred stock</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allocable to common stockholders</w:t>
            </w:r>
          </w:p>
        </w:tc>
        <w:tc>
          <w:tcPr>
            <w:tcW w:w="240" w:type="dxa"/>
            <w:vAlign w:val="bottom"/>
            <w:tcBorders>
              <w:bottom w:val="single" w:sz="8" w:color="auto"/>
            </w:tcBorders>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(161,481)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(186,933)</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per share allocable to common stockholders, basic and diluted</w:t>
            </w:r>
          </w:p>
        </w:tc>
        <w:tc>
          <w:tcPr>
            <w:tcW w:w="240" w:type="dxa"/>
            <w:vAlign w:val="bottom"/>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(54.25)</w:t>
            </w:r>
          </w:p>
        </w:tc>
        <w:tc>
          <w:tcPr>
            <w:tcW w:w="340" w:type="dxa"/>
            <w:vAlign w:val="bottom"/>
            <w:gridSpan w:val="2"/>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(60.04)</w:t>
            </w:r>
          </w:p>
        </w:tc>
      </w:tr>
      <w:tr>
        <w:trPr>
          <w:trHeight w:val="159"/>
        </w:trPr>
        <w:tc>
          <w:tcPr>
            <w:tcW w:w="20" w:type="dxa"/>
            <w:vAlign w:val="bottom"/>
          </w:tcPr>
          <w:p>
            <w:pPr>
              <w:spacing w:after="0"/>
              <w:rPr>
                <w:sz w:val="13"/>
                <w:szCs w:val="13"/>
                <w:color w:val="auto"/>
              </w:rPr>
            </w:pPr>
          </w:p>
        </w:tc>
        <w:tc>
          <w:tcPr>
            <w:tcW w:w="518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Weighted average common shares outstanding, basic and diluted</w:t>
            </w: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2,976,690</w:t>
            </w: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3,113,464</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(117,914)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(145,889)</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unrealized gain on marketable securities</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(117,919)</w:t>
            </w:r>
          </w:p>
        </w:tc>
        <w:tc>
          <w:tcPr>
            <w:tcW w:w="340" w:type="dxa"/>
            <w:vAlign w:val="bottom"/>
            <w:gridSpan w:val="2"/>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(145,910)</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-2128520</wp:posOffset>
            </wp:positionV>
            <wp:extent cx="7366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-1261110</wp:posOffset>
            </wp:positionV>
            <wp:extent cx="7366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-1033780</wp:posOffset>
            </wp:positionV>
            <wp:extent cx="7366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-814070</wp:posOffset>
            </wp:positionV>
            <wp:extent cx="7366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-586740</wp:posOffset>
            </wp:positionV>
            <wp:extent cx="736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-132715</wp:posOffset>
            </wp:positionV>
            <wp:extent cx="736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660"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4" w:name="page225"/>
    <w:bookmarkEnd w:id="22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Statements of Convertible Preferred Stock and Stockholders’ Deficit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111760</wp:posOffset>
            </wp:positionV>
            <wp:extent cx="32385" cy="272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385" cy="272415"/>
                    </a:xfrm>
                    <a:prstGeom prst="rect">
                      <a:avLst/>
                    </a:prstGeom>
                    <a:noFill/>
                  </pic:spPr>
                </pic:pic>
              </a:graphicData>
            </a:graphic>
          </wp:anchor>
        </w:drawing>
      </w:r>
    </w:p>
    <w:p>
      <w:pPr>
        <w:spacing w:after="0" w:line="165" w:lineRule="exact"/>
        <w:rPr>
          <w:sz w:val="20"/>
          <w:szCs w:val="20"/>
          <w:color w:val="auto"/>
        </w:rPr>
      </w:pPr>
    </w:p>
    <w:tbl>
      <w:tblPr>
        <w:tblLayout w:type="fixed"/>
        <w:tblInd w:w="720" w:type="dxa"/>
        <w:tblCellMar>
          <w:top w:w="0" w:type="dxa"/>
          <w:left w:w="0" w:type="dxa"/>
          <w:bottom w:w="0" w:type="dxa"/>
          <w:right w:w="0" w:type="dxa"/>
        </w:tblCellMar>
      </w:tblPr>
      <w:tr>
        <w:trPr>
          <w:trHeight w:val="95"/>
        </w:trPr>
        <w:tc>
          <w:tcPr>
            <w:tcW w:w="1660" w:type="dxa"/>
            <w:vAlign w:val="bottom"/>
          </w:tcPr>
          <w:p>
            <w:pPr>
              <w:spacing w:after="0"/>
              <w:rPr>
                <w:sz w:val="8"/>
                <w:szCs w:val="8"/>
                <w:color w:val="auto"/>
              </w:rPr>
            </w:pP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Convertible</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152"/>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152"/>
              <w:spacing w:after="0" w:line="85" w:lineRule="exact"/>
              <w:rPr>
                <w:sz w:val="20"/>
                <w:szCs w:val="20"/>
                <w:color w:val="auto"/>
              </w:rPr>
            </w:pPr>
            <w:r>
              <w:rPr>
                <w:rFonts w:ascii="Times New Roman" w:cs="Times New Roman" w:eastAsia="Times New Roman" w:hAnsi="Times New Roman"/>
                <w:sz w:val="8"/>
                <w:szCs w:val="8"/>
                <w:b w:val="1"/>
                <w:bCs w:val="1"/>
                <w:color w:val="auto"/>
                <w:w w:val="93"/>
              </w:rPr>
              <w:t>Additional</w:t>
            </w:r>
          </w:p>
        </w:tc>
        <w:tc>
          <w:tcPr>
            <w:tcW w:w="60" w:type="dxa"/>
            <w:vAlign w:val="bottom"/>
          </w:tcPr>
          <w:p>
            <w:pPr>
              <w:spacing w:after="0"/>
              <w:rPr>
                <w:sz w:val="7"/>
                <w:szCs w:val="7"/>
                <w:color w:val="auto"/>
              </w:rPr>
            </w:pPr>
          </w:p>
        </w:tc>
        <w:tc>
          <w:tcPr>
            <w:tcW w:w="680" w:type="dxa"/>
            <w:vAlign w:val="bottom"/>
          </w:tcPr>
          <w:p>
            <w:pPr>
              <w:jc w:val="center"/>
              <w:ind w:right="172"/>
              <w:spacing w:after="0" w:line="85" w:lineRule="exact"/>
              <w:rPr>
                <w:sz w:val="20"/>
                <w:szCs w:val="20"/>
                <w:color w:val="auto"/>
              </w:rPr>
            </w:pPr>
            <w:r>
              <w:rPr>
                <w:rFonts w:ascii="Times New Roman" w:cs="Times New Roman" w:eastAsia="Times New Roman" w:hAnsi="Times New Roman"/>
                <w:sz w:val="8"/>
                <w:szCs w:val="8"/>
                <w:b w:val="1"/>
                <w:bCs w:val="1"/>
                <w:color w:val="auto"/>
              </w:rPr>
              <w:t>Other</w:t>
            </w: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center"/>
              <w:ind w:right="152"/>
              <w:spacing w:after="0" w:line="85"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4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60" w:type="dxa"/>
            <w:vAlign w:val="bottom"/>
          </w:tcPr>
          <w:p>
            <w:pPr>
              <w:spacing w:after="0"/>
              <w:rPr>
                <w:sz w:val="9"/>
                <w:szCs w:val="9"/>
                <w:color w:val="auto"/>
              </w:rPr>
            </w:pPr>
          </w:p>
        </w:tc>
        <w:tc>
          <w:tcPr>
            <w:tcW w:w="1220" w:type="dxa"/>
            <w:vAlign w:val="bottom"/>
            <w:tcBorders>
              <w:bottom w:val="single" w:sz="8" w:color="auto"/>
            </w:tcBorders>
            <w:gridSpan w:val="3"/>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8"/>
                <w:szCs w:val="8"/>
                <w:b w:val="1"/>
                <w:bCs w:val="1"/>
                <w:color w:val="auto"/>
              </w:rPr>
              <w:t>Paid-in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40" w:type="dxa"/>
            <w:vAlign w:val="bottom"/>
          </w:tcPr>
          <w:p>
            <w:pPr>
              <w:spacing w:after="0"/>
              <w:rPr>
                <w:sz w:val="9"/>
                <w:szCs w:val="9"/>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9"/>
                <w:szCs w:val="9"/>
                <w:color w:val="auto"/>
              </w:rPr>
            </w:pPr>
          </w:p>
        </w:tc>
        <w:tc>
          <w:tcPr>
            <w:tcW w:w="680" w:type="dxa"/>
            <w:vAlign w:val="bottom"/>
            <w:gridSpan w:val="2"/>
          </w:tcPr>
          <w:p>
            <w:pPr>
              <w:jc w:val="center"/>
              <w:ind w:right="52"/>
              <w:spacing w:after="0"/>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720" w:type="dxa"/>
            <w:vAlign w:val="bottom"/>
            <w:tcBorders>
              <w:bottom w:val="single" w:sz="8" w:color="auto"/>
            </w:tcBorders>
          </w:tcPr>
          <w:p>
            <w:pPr>
              <w:jc w:val="right"/>
              <w:ind w:right="252"/>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191"/>
              <w:spacing w:after="0" w:line="86" w:lineRule="exact"/>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7"/>
                <w:szCs w:val="7"/>
                <w:color w:val="auto"/>
              </w:rPr>
            </w:pPr>
          </w:p>
        </w:tc>
        <w:tc>
          <w:tcPr>
            <w:tcW w:w="680" w:type="dxa"/>
            <w:vAlign w:val="bottom"/>
            <w:tcBorders>
              <w:bottom w:val="single" w:sz="8" w:color="auto"/>
            </w:tcBorders>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7"/>
                <w:szCs w:val="7"/>
                <w:color w:val="auto"/>
              </w:rPr>
            </w:pPr>
          </w:p>
        </w:tc>
        <w:tc>
          <w:tcPr>
            <w:tcW w:w="4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Borders>
              <w:bottom w:val="single" w:sz="8" w:color="auto"/>
            </w:tcBorders>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Capital</w:t>
            </w: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center"/>
              <w:ind w:right="172"/>
              <w:spacing w:after="0" w:line="86" w:lineRule="exact"/>
              <w:rPr>
                <w:sz w:val="20"/>
                <w:szCs w:val="20"/>
                <w:color w:val="auto"/>
              </w:rPr>
            </w:pPr>
            <w:r>
              <w:rPr>
                <w:rFonts w:ascii="Times New Roman" w:cs="Times New Roman" w:eastAsia="Times New Roman" w:hAnsi="Times New Roman"/>
                <w:sz w:val="8"/>
                <w:szCs w:val="8"/>
                <w:b w:val="1"/>
                <w:bCs w:val="1"/>
                <w:color w:val="auto"/>
              </w:rPr>
              <w:t>Income</w:t>
            </w: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12"/>
              <w:spacing w:after="0" w:line="86" w:lineRule="exact"/>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152"/>
              <w:spacing w:after="0" w:line="86" w:lineRule="exact"/>
              <w:rPr>
                <w:sz w:val="20"/>
                <w:szCs w:val="20"/>
                <w:color w:val="auto"/>
              </w:rPr>
            </w:pPr>
            <w:r>
              <w:rPr>
                <w:rFonts w:ascii="Times New Roman" w:cs="Times New Roman" w:eastAsia="Times New Roman" w:hAnsi="Times New Roman"/>
                <w:sz w:val="8"/>
                <w:szCs w:val="8"/>
                <w:b w:val="1"/>
                <w:bCs w:val="1"/>
                <w:color w:val="auto"/>
                <w:w w:val="96"/>
              </w:rPr>
              <w:t>Deficit</w:t>
            </w:r>
          </w:p>
        </w:tc>
        <w:tc>
          <w:tcPr>
            <w:tcW w:w="0" w:type="dxa"/>
            <w:vAlign w:val="bottom"/>
          </w:tcPr>
          <w:p>
            <w:pPr>
              <w:spacing w:after="0"/>
              <w:rPr>
                <w:sz w:val="1"/>
                <w:szCs w:val="1"/>
                <w:color w:val="auto"/>
              </w:rPr>
            </w:pPr>
          </w:p>
        </w:tc>
      </w:tr>
      <w:tr>
        <w:trPr>
          <w:trHeight w:val="96"/>
        </w:trPr>
        <w:tc>
          <w:tcPr>
            <w:tcW w:w="16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720" w:type="dxa"/>
            <w:vAlign w:val="bottom"/>
            <w:shd w:val="clear" w:color="auto" w:fill="CFF0FC"/>
          </w:tcPr>
          <w:p>
            <w:pPr>
              <w:jc w:val="right"/>
              <w:ind w:right="52"/>
              <w:spacing w:after="0" w:line="96" w:lineRule="exact"/>
              <w:rPr>
                <w:sz w:val="20"/>
                <w:szCs w:val="20"/>
                <w:color w:val="auto"/>
              </w:rPr>
            </w:pPr>
            <w:r>
              <w:rPr>
                <w:rFonts w:ascii="Times New Roman" w:cs="Times New Roman" w:eastAsia="Times New Roman" w:hAnsi="Times New Roman"/>
                <w:sz w:val="10"/>
                <w:szCs w:val="10"/>
                <w:b w:val="1"/>
                <w:bCs w:val="1"/>
                <w:color w:val="auto"/>
              </w:rPr>
              <w:t>30,014,863</w:t>
            </w:r>
          </w:p>
        </w:tc>
        <w:tc>
          <w:tcPr>
            <w:tcW w:w="200" w:type="dxa"/>
            <w:vAlign w:val="bottom"/>
            <w:gridSpan w:val="2"/>
            <w:shd w:val="clear" w:color="auto" w:fill="CFF0FC"/>
          </w:tcPr>
          <w:p>
            <w:pPr>
              <w:jc w:val="right"/>
              <w:ind w:right="8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shd w:val="clear" w:color="auto" w:fill="CFF0FC"/>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364,557</w:t>
            </w:r>
          </w:p>
        </w:tc>
        <w:tc>
          <w:tcPr>
            <w:tcW w:w="160" w:type="dxa"/>
            <w:vAlign w:val="bottom"/>
            <w:tcBorders>
              <w:right w:val="single" w:sz="8" w:color="auto"/>
            </w:tcBorders>
            <w:shd w:val="clear" w:color="auto" w:fill="CFF0FC"/>
          </w:tcPr>
          <w:p>
            <w:pPr>
              <w:spacing w:after="0"/>
              <w:rPr>
                <w:sz w:val="8"/>
                <w:szCs w:val="8"/>
                <w:color w:val="auto"/>
              </w:rPr>
            </w:pPr>
          </w:p>
        </w:tc>
        <w:tc>
          <w:tcPr>
            <w:tcW w:w="680" w:type="dxa"/>
            <w:vAlign w:val="bottom"/>
            <w:shd w:val="clear" w:color="auto" w:fill="CFF0FC"/>
          </w:tcPr>
          <w:p>
            <w:pPr>
              <w:jc w:val="right"/>
              <w:ind w:right="32"/>
              <w:spacing w:after="0" w:line="96" w:lineRule="exact"/>
              <w:rPr>
                <w:sz w:val="20"/>
                <w:szCs w:val="20"/>
                <w:color w:val="auto"/>
              </w:rPr>
            </w:pPr>
            <w:r>
              <w:rPr>
                <w:rFonts w:ascii="Times New Roman" w:cs="Times New Roman" w:eastAsia="Times New Roman" w:hAnsi="Times New Roman"/>
                <w:sz w:val="10"/>
                <w:szCs w:val="10"/>
                <w:b w:val="1"/>
                <w:bCs w:val="1"/>
                <w:color w:val="auto"/>
              </w:rPr>
              <w:t>2,723,598</w:t>
            </w:r>
          </w:p>
        </w:tc>
        <w:tc>
          <w:tcPr>
            <w:tcW w:w="540" w:type="dxa"/>
            <w:vAlign w:val="bottom"/>
            <w:gridSpan w:val="2"/>
            <w:shd w:val="clear" w:color="auto" w:fill="CFF0FC"/>
          </w:tcPr>
          <w:p>
            <w:pPr>
              <w:jc w:val="right"/>
              <w:ind w:right="37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FF0FC"/>
            </w:tcBorders>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6,277</w:t>
            </w:r>
          </w:p>
        </w:tc>
        <w:tc>
          <w:tcPr>
            <w:tcW w:w="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26</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(277,701)</w:t>
            </w:r>
          </w:p>
        </w:tc>
        <w:tc>
          <w:tcPr>
            <w:tcW w:w="180" w:type="dxa"/>
            <w:vAlign w:val="bottom"/>
            <w:gridSpan w:val="2"/>
            <w:shd w:val="clear" w:color="auto" w:fill="CFF0FC"/>
          </w:tcPr>
          <w:p>
            <w:pPr>
              <w:jc w:val="right"/>
              <w:ind w:right="1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shd w:val="clear" w:color="auto" w:fill="CFF0FC"/>
          </w:tcPr>
          <w:p>
            <w:pPr>
              <w:jc w:val="right"/>
              <w:ind w:right="12"/>
              <w:spacing w:after="0" w:line="96" w:lineRule="exact"/>
              <w:rPr>
                <w:sz w:val="20"/>
                <w:szCs w:val="20"/>
                <w:color w:val="auto"/>
              </w:rPr>
            </w:pPr>
            <w:r>
              <w:rPr>
                <w:rFonts w:ascii="Times New Roman" w:cs="Times New Roman" w:eastAsia="Times New Roman" w:hAnsi="Times New Roman"/>
                <w:sz w:val="10"/>
                <w:szCs w:val="10"/>
                <w:b w:val="1"/>
                <w:bCs w:val="1"/>
                <w:color w:val="auto"/>
              </w:rPr>
              <w:t>(271,398)</w:t>
            </w:r>
          </w:p>
        </w:tc>
        <w:tc>
          <w:tcPr>
            <w:tcW w:w="0" w:type="dxa"/>
            <w:vAlign w:val="bottom"/>
          </w:tcPr>
          <w:p>
            <w:pPr>
              <w:spacing w:after="0"/>
              <w:rPr>
                <w:sz w:val="1"/>
                <w:szCs w:val="1"/>
                <w:color w:val="auto"/>
              </w:rPr>
            </w:pPr>
          </w:p>
        </w:tc>
      </w:tr>
      <w:tr>
        <w:trPr>
          <w:trHeight w:val="92"/>
        </w:trPr>
        <w:tc>
          <w:tcPr>
            <w:tcW w:w="166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auto"/>
              </w:rPr>
              <w:t>Issuance of common stock upon</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381,302</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1,071</w:t>
            </w:r>
          </w:p>
        </w:tc>
        <w:tc>
          <w:tcPr>
            <w:tcW w:w="60" w:type="dxa"/>
            <w:vAlign w:val="bottom"/>
          </w:tcPr>
          <w:p>
            <w:pPr>
              <w:spacing w:after="0"/>
              <w:rPr>
                <w:sz w:val="10"/>
                <w:szCs w:val="1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0" w:type="dxa"/>
            <w:vAlign w:val="bottom"/>
          </w:tcPr>
          <w:p>
            <w:pPr>
              <w:spacing w:after="0"/>
              <w:rPr>
                <w:sz w:val="1"/>
                <w:szCs w:val="1"/>
                <w:color w:val="auto"/>
              </w:rPr>
            </w:pPr>
          </w:p>
        </w:tc>
      </w:tr>
      <w:tr>
        <w:trPr>
          <w:trHeight w:val="92"/>
        </w:trPr>
        <w:tc>
          <w:tcPr>
            <w:tcW w:w="1660" w:type="dxa"/>
            <w:vAlign w:val="bottom"/>
            <w:shd w:val="clear" w:color="auto" w:fill="CFF0FC"/>
          </w:tcPr>
          <w:p>
            <w:pPr>
              <w:ind w:left="120"/>
              <w:spacing w:after="0" w:line="92" w:lineRule="exact"/>
              <w:rPr>
                <w:sz w:val="20"/>
                <w:szCs w:val="20"/>
                <w:color w:val="auto"/>
              </w:rPr>
            </w:pPr>
            <w:r>
              <w:rPr>
                <w:rFonts w:ascii="Times New Roman" w:cs="Times New Roman" w:eastAsia="Times New Roman" w:hAnsi="Times New Roman"/>
                <w:sz w:val="10"/>
                <w:szCs w:val="10"/>
                <w:color w:val="auto"/>
              </w:rPr>
              <w:t>Issuance of Series E convertible</w:t>
            </w:r>
          </w:p>
        </w:tc>
        <w:tc>
          <w:tcPr>
            <w:tcW w:w="7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60" w:type="dxa"/>
            <w:vAlign w:val="bottom"/>
            <w:tcBorders>
              <w:right w:val="single" w:sz="8" w:color="auto"/>
            </w:tcBorders>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56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80" w:type="dxa"/>
            <w:vAlign w:val="bottom"/>
            <w:tcBorders>
              <w:right w:val="single" w:sz="8" w:color="CFF0FC"/>
            </w:tcBorders>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preferred stock, net of preferred</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stock tranche right liability of</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$1,192 and issuance costs</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of $498</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12,445,024</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75,818</w:t>
            </w:r>
          </w:p>
        </w:tc>
        <w:tc>
          <w:tcPr>
            <w:tcW w:w="160" w:type="dxa"/>
            <w:vAlign w:val="bottom"/>
            <w:tcBorders>
              <w:right w:val="single" w:sz="8" w:color="auto"/>
            </w:tcBorders>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660" w:type="dxa"/>
            <w:vAlign w:val="bottom"/>
          </w:tcPr>
          <w:p>
            <w:pPr>
              <w:ind w:left="120"/>
              <w:spacing w:after="0" w:line="105"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720" w:type="dxa"/>
            <w:vAlign w:val="bottom"/>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tcPr>
          <w:p>
            <w:pPr>
              <w:spacing w:after="0"/>
              <w:rPr>
                <w:sz w:val="9"/>
                <w:szCs w:val="9"/>
                <w:color w:val="auto"/>
              </w:rPr>
            </w:pPr>
          </w:p>
        </w:tc>
        <w:tc>
          <w:tcPr>
            <w:tcW w:w="680" w:type="dxa"/>
            <w:vAlign w:val="bottom"/>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60" w:type="dxa"/>
            <w:vAlign w:val="bottom"/>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4,310</w:t>
            </w:r>
          </w:p>
        </w:tc>
        <w:tc>
          <w:tcPr>
            <w:tcW w:w="60" w:type="dxa"/>
            <w:vAlign w:val="bottom"/>
          </w:tcPr>
          <w:p>
            <w:pPr>
              <w:spacing w:after="0"/>
              <w:rPr>
                <w:sz w:val="9"/>
                <w:szCs w:val="9"/>
                <w:color w:val="auto"/>
              </w:rPr>
            </w:pPr>
          </w:p>
        </w:tc>
        <w:tc>
          <w:tcPr>
            <w:tcW w:w="680" w:type="dxa"/>
            <w:vAlign w:val="bottom"/>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20" w:type="dxa"/>
            <w:vAlign w:val="bottom"/>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4,310</w:t>
            </w:r>
          </w:p>
        </w:tc>
        <w:tc>
          <w:tcPr>
            <w:tcW w:w="0" w:type="dxa"/>
            <w:vAlign w:val="bottom"/>
          </w:tcPr>
          <w:p>
            <w:pPr>
              <w:spacing w:after="0"/>
              <w:rPr>
                <w:sz w:val="1"/>
                <w:szCs w:val="1"/>
                <w:color w:val="auto"/>
              </w:rPr>
            </w:pPr>
          </w:p>
        </w:tc>
      </w:tr>
      <w:tr>
        <w:trPr>
          <w:trHeight w:val="92"/>
        </w:trPr>
        <w:tc>
          <w:tcPr>
            <w:tcW w:w="1660" w:type="dxa"/>
            <w:vAlign w:val="bottom"/>
            <w:shd w:val="clear" w:color="auto" w:fill="CFF0FC"/>
          </w:tcPr>
          <w:p>
            <w:pPr>
              <w:ind w:left="120"/>
              <w:spacing w:after="0" w:line="92" w:lineRule="exact"/>
              <w:rPr>
                <w:sz w:val="20"/>
                <w:szCs w:val="20"/>
                <w:color w:val="auto"/>
              </w:rPr>
            </w:pPr>
            <w:r>
              <w:rPr>
                <w:rFonts w:ascii="Times New Roman" w:cs="Times New Roman" w:eastAsia="Times New Roman" w:hAnsi="Times New Roman"/>
                <w:sz w:val="10"/>
                <w:szCs w:val="10"/>
                <w:color w:val="auto"/>
              </w:rPr>
              <w:t>Change in unrealized gain on</w:t>
            </w:r>
          </w:p>
        </w:tc>
        <w:tc>
          <w:tcPr>
            <w:tcW w:w="7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60" w:type="dxa"/>
            <w:vAlign w:val="bottom"/>
            <w:tcBorders>
              <w:right w:val="single" w:sz="8" w:color="auto"/>
            </w:tcBorders>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56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80" w:type="dxa"/>
            <w:vAlign w:val="bottom"/>
            <w:tcBorders>
              <w:right w:val="single" w:sz="8" w:color="CFF0FC"/>
            </w:tcBorders>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marketable securities</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05"/>
        </w:trPr>
        <w:tc>
          <w:tcPr>
            <w:tcW w:w="1660" w:type="dxa"/>
            <w:vAlign w:val="bottom"/>
          </w:tcPr>
          <w:p>
            <w:pPr>
              <w:ind w:left="120"/>
              <w:spacing w:after="0" w:line="105" w:lineRule="exact"/>
              <w:rPr>
                <w:sz w:val="20"/>
                <w:szCs w:val="20"/>
                <w:color w:val="auto"/>
              </w:rPr>
            </w:pPr>
            <w:r>
              <w:rPr>
                <w:rFonts w:ascii="Times New Roman" w:cs="Times New Roman" w:eastAsia="Times New Roman" w:hAnsi="Times New Roman"/>
                <w:sz w:val="10"/>
                <w:szCs w:val="10"/>
                <w:color w:val="auto"/>
              </w:rPr>
              <w:t>Net loss</w:t>
            </w:r>
          </w:p>
        </w:tc>
        <w:tc>
          <w:tcPr>
            <w:tcW w:w="720" w:type="dxa"/>
            <w:vAlign w:val="bottom"/>
            <w:tcBorders>
              <w:bottom w:val="single" w:sz="8" w:color="auto"/>
            </w:tcBorders>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80" w:type="dxa"/>
            <w:vAlign w:val="bottom"/>
            <w:tcBorders>
              <w:bottom w:val="single" w:sz="8" w:color="auto"/>
            </w:tcBorders>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ind w:left="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60" w:type="dxa"/>
            <w:vAlign w:val="bottom"/>
            <w:tcBorders>
              <w:bottom w:val="single" w:sz="8" w:color="auto"/>
            </w:tcBorders>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color w:val="auto"/>
              </w:rPr>
              <w:t>(117,914)</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2"/>
              <w:spacing w:after="0" w:line="105" w:lineRule="exact"/>
              <w:rPr>
                <w:sz w:val="20"/>
                <w:szCs w:val="20"/>
                <w:color w:val="auto"/>
              </w:rPr>
            </w:pPr>
            <w:r>
              <w:rPr>
                <w:rFonts w:ascii="Times New Roman" w:cs="Times New Roman" w:eastAsia="Times New Roman" w:hAnsi="Times New Roman"/>
                <w:sz w:val="10"/>
                <w:szCs w:val="10"/>
                <w:color w:val="auto"/>
              </w:rPr>
              <w:t>(117,914)</w:t>
            </w:r>
          </w:p>
        </w:tc>
        <w:tc>
          <w:tcPr>
            <w:tcW w:w="0" w:type="dxa"/>
            <w:vAlign w:val="bottom"/>
          </w:tcPr>
          <w:p>
            <w:pPr>
              <w:spacing w:after="0"/>
              <w:rPr>
                <w:sz w:val="1"/>
                <w:szCs w:val="1"/>
                <w:color w:val="auto"/>
              </w:rPr>
            </w:pPr>
          </w:p>
        </w:tc>
      </w:tr>
      <w:tr>
        <w:trPr>
          <w:trHeight w:val="96"/>
        </w:trPr>
        <w:tc>
          <w:tcPr>
            <w:tcW w:w="16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720" w:type="dxa"/>
            <w:vAlign w:val="bottom"/>
            <w:shd w:val="clear" w:color="auto" w:fill="CFF0FC"/>
          </w:tcPr>
          <w:p>
            <w:pPr>
              <w:jc w:val="right"/>
              <w:ind w:right="52"/>
              <w:spacing w:after="0" w:line="96" w:lineRule="exact"/>
              <w:rPr>
                <w:sz w:val="20"/>
                <w:szCs w:val="20"/>
                <w:color w:val="auto"/>
              </w:rPr>
            </w:pPr>
            <w:r>
              <w:rPr>
                <w:rFonts w:ascii="Times New Roman" w:cs="Times New Roman" w:eastAsia="Times New Roman" w:hAnsi="Times New Roman"/>
                <w:sz w:val="10"/>
                <w:szCs w:val="10"/>
                <w:b w:val="1"/>
                <w:bCs w:val="1"/>
                <w:color w:val="auto"/>
              </w:rPr>
              <w:t>42,459,887</w:t>
            </w:r>
          </w:p>
        </w:tc>
        <w:tc>
          <w:tcPr>
            <w:tcW w:w="200" w:type="dxa"/>
            <w:vAlign w:val="bottom"/>
            <w:gridSpan w:val="2"/>
            <w:shd w:val="clear" w:color="auto" w:fill="CFF0FC"/>
          </w:tcPr>
          <w:p>
            <w:pPr>
              <w:jc w:val="right"/>
              <w:ind w:right="8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shd w:val="clear" w:color="auto" w:fill="CFF0FC"/>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440,375</w:t>
            </w:r>
          </w:p>
        </w:tc>
        <w:tc>
          <w:tcPr>
            <w:tcW w:w="160" w:type="dxa"/>
            <w:vAlign w:val="bottom"/>
            <w:tcBorders>
              <w:right w:val="single" w:sz="8" w:color="auto"/>
            </w:tcBorders>
            <w:shd w:val="clear" w:color="auto" w:fill="CFF0FC"/>
          </w:tcPr>
          <w:p>
            <w:pPr>
              <w:spacing w:after="0"/>
              <w:rPr>
                <w:sz w:val="8"/>
                <w:szCs w:val="8"/>
                <w:color w:val="auto"/>
              </w:rPr>
            </w:pPr>
          </w:p>
        </w:tc>
        <w:tc>
          <w:tcPr>
            <w:tcW w:w="680" w:type="dxa"/>
            <w:vAlign w:val="bottom"/>
            <w:shd w:val="clear" w:color="auto" w:fill="CFF0FC"/>
          </w:tcPr>
          <w:p>
            <w:pPr>
              <w:jc w:val="right"/>
              <w:ind w:right="32"/>
              <w:spacing w:after="0" w:line="96" w:lineRule="exact"/>
              <w:rPr>
                <w:sz w:val="20"/>
                <w:szCs w:val="20"/>
                <w:color w:val="auto"/>
              </w:rPr>
            </w:pPr>
            <w:r>
              <w:rPr>
                <w:rFonts w:ascii="Times New Roman" w:cs="Times New Roman" w:eastAsia="Times New Roman" w:hAnsi="Times New Roman"/>
                <w:sz w:val="10"/>
                <w:szCs w:val="10"/>
                <w:b w:val="1"/>
                <w:bCs w:val="1"/>
                <w:color w:val="auto"/>
              </w:rPr>
              <w:t>3,104,900</w:t>
            </w:r>
          </w:p>
        </w:tc>
        <w:tc>
          <w:tcPr>
            <w:tcW w:w="540" w:type="dxa"/>
            <w:vAlign w:val="bottom"/>
            <w:gridSpan w:val="2"/>
            <w:shd w:val="clear" w:color="auto" w:fill="CFF0FC"/>
          </w:tcPr>
          <w:p>
            <w:pPr>
              <w:jc w:val="right"/>
              <w:ind w:right="37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FF0FC"/>
            </w:tcBorders>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11,658</w:t>
            </w:r>
          </w:p>
        </w:tc>
        <w:tc>
          <w:tcPr>
            <w:tcW w:w="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21</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(395,615)</w:t>
            </w:r>
          </w:p>
        </w:tc>
        <w:tc>
          <w:tcPr>
            <w:tcW w:w="180" w:type="dxa"/>
            <w:vAlign w:val="bottom"/>
            <w:gridSpan w:val="2"/>
            <w:shd w:val="clear" w:color="auto" w:fill="CFF0FC"/>
          </w:tcPr>
          <w:p>
            <w:pPr>
              <w:jc w:val="right"/>
              <w:ind w:right="1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shd w:val="clear" w:color="auto" w:fill="CFF0FC"/>
          </w:tcPr>
          <w:p>
            <w:pPr>
              <w:jc w:val="right"/>
              <w:ind w:right="12"/>
              <w:spacing w:after="0" w:line="96" w:lineRule="exact"/>
              <w:rPr>
                <w:sz w:val="20"/>
                <w:szCs w:val="20"/>
                <w:color w:val="auto"/>
              </w:rPr>
            </w:pPr>
            <w:r>
              <w:rPr>
                <w:rFonts w:ascii="Times New Roman" w:cs="Times New Roman" w:eastAsia="Times New Roman" w:hAnsi="Times New Roman"/>
                <w:sz w:val="10"/>
                <w:szCs w:val="10"/>
                <w:b w:val="1"/>
                <w:bCs w:val="1"/>
                <w:color w:val="auto"/>
              </w:rPr>
              <w:t>(383,936)</w:t>
            </w:r>
          </w:p>
        </w:tc>
        <w:tc>
          <w:tcPr>
            <w:tcW w:w="0" w:type="dxa"/>
            <w:vAlign w:val="bottom"/>
          </w:tcPr>
          <w:p>
            <w:pPr>
              <w:spacing w:after="0"/>
              <w:rPr>
                <w:sz w:val="1"/>
                <w:szCs w:val="1"/>
                <w:color w:val="auto"/>
              </w:rPr>
            </w:pPr>
          </w:p>
        </w:tc>
      </w:tr>
      <w:tr>
        <w:trPr>
          <w:trHeight w:val="92"/>
        </w:trPr>
        <w:tc>
          <w:tcPr>
            <w:tcW w:w="166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auto"/>
              </w:rPr>
              <w:t>Issuance of common stock upon</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tcPr>
          <w:p>
            <w:pPr>
              <w:spacing w:after="0"/>
              <w:rPr>
                <w:sz w:val="10"/>
                <w:szCs w:val="1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27,348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34</w:t>
            </w:r>
          </w:p>
        </w:tc>
        <w:tc>
          <w:tcPr>
            <w:tcW w:w="60" w:type="dxa"/>
            <w:vAlign w:val="bottom"/>
          </w:tcPr>
          <w:p>
            <w:pPr>
              <w:spacing w:after="0"/>
              <w:rPr>
                <w:sz w:val="10"/>
                <w:szCs w:val="1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rPr>
                <w:sz w:val="1"/>
                <w:szCs w:val="1"/>
                <w:color w:val="auto"/>
              </w:rPr>
            </w:pPr>
          </w:p>
        </w:tc>
      </w:tr>
      <w:tr>
        <w:trPr>
          <w:trHeight w:val="92"/>
        </w:trPr>
        <w:tc>
          <w:tcPr>
            <w:tcW w:w="1660" w:type="dxa"/>
            <w:vAlign w:val="bottom"/>
            <w:shd w:val="clear" w:color="auto" w:fill="CFF0FC"/>
          </w:tcPr>
          <w:p>
            <w:pPr>
              <w:ind w:left="120"/>
              <w:spacing w:after="0" w:line="92" w:lineRule="exact"/>
              <w:rPr>
                <w:sz w:val="20"/>
                <w:szCs w:val="20"/>
                <w:color w:val="auto"/>
              </w:rPr>
            </w:pPr>
            <w:r>
              <w:rPr>
                <w:rFonts w:ascii="Times New Roman" w:cs="Times New Roman" w:eastAsia="Times New Roman" w:hAnsi="Times New Roman"/>
                <w:sz w:val="10"/>
                <w:szCs w:val="10"/>
                <w:color w:val="auto"/>
              </w:rPr>
              <w:t>Issuance of Series E convertible</w:t>
            </w:r>
          </w:p>
        </w:tc>
        <w:tc>
          <w:tcPr>
            <w:tcW w:w="7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60" w:type="dxa"/>
            <w:vAlign w:val="bottom"/>
            <w:tcBorders>
              <w:right w:val="single" w:sz="8" w:color="auto"/>
            </w:tcBorders>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56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80" w:type="dxa"/>
            <w:vAlign w:val="bottom"/>
            <w:tcBorders>
              <w:right w:val="single" w:sz="8" w:color="CFF0FC"/>
            </w:tcBorders>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preferred stock, inclusive of</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preferred stock tranche right</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FF0FC"/>
          </w:tcPr>
          <w:p>
            <w:pPr>
              <w:ind w:left="180"/>
              <w:spacing w:after="0" w:line="105" w:lineRule="exact"/>
              <w:rPr>
                <w:sz w:val="20"/>
                <w:szCs w:val="20"/>
                <w:color w:val="auto"/>
              </w:rPr>
            </w:pPr>
            <w:r>
              <w:rPr>
                <w:rFonts w:ascii="Times New Roman" w:cs="Times New Roman" w:eastAsia="Times New Roman" w:hAnsi="Times New Roman"/>
                <w:sz w:val="10"/>
                <w:szCs w:val="10"/>
                <w:color w:val="auto"/>
              </w:rPr>
              <w:t>liability of $2,167, net of issuance</w:t>
            </w: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60" w:type="dxa"/>
            <w:vAlign w:val="bottom"/>
            <w:tcBorders>
              <w:right w:val="single" w:sz="8" w:color="auto"/>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costs of $62</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10,836,539</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69,596</w:t>
            </w:r>
          </w:p>
        </w:tc>
        <w:tc>
          <w:tcPr>
            <w:tcW w:w="160" w:type="dxa"/>
            <w:vAlign w:val="bottom"/>
            <w:tcBorders>
              <w:right w:val="single" w:sz="8" w:color="auto"/>
            </w:tcBorders>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660" w:type="dxa"/>
            <w:vAlign w:val="bottom"/>
          </w:tcPr>
          <w:p>
            <w:pPr>
              <w:ind w:left="120"/>
              <w:spacing w:after="0" w:line="105"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720" w:type="dxa"/>
            <w:vAlign w:val="bottom"/>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tcPr>
          <w:p>
            <w:pPr>
              <w:spacing w:after="0"/>
              <w:rPr>
                <w:sz w:val="9"/>
                <w:szCs w:val="9"/>
                <w:color w:val="auto"/>
              </w:rPr>
            </w:pPr>
          </w:p>
        </w:tc>
        <w:tc>
          <w:tcPr>
            <w:tcW w:w="680" w:type="dxa"/>
            <w:vAlign w:val="bottom"/>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60" w:type="dxa"/>
            <w:vAlign w:val="bottom"/>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3,317</w:t>
            </w:r>
          </w:p>
        </w:tc>
        <w:tc>
          <w:tcPr>
            <w:tcW w:w="60" w:type="dxa"/>
            <w:vAlign w:val="bottom"/>
          </w:tcPr>
          <w:p>
            <w:pPr>
              <w:spacing w:after="0"/>
              <w:rPr>
                <w:sz w:val="9"/>
                <w:szCs w:val="9"/>
                <w:color w:val="auto"/>
              </w:rPr>
            </w:pPr>
          </w:p>
        </w:tc>
        <w:tc>
          <w:tcPr>
            <w:tcW w:w="680" w:type="dxa"/>
            <w:vAlign w:val="bottom"/>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620" w:type="dxa"/>
            <w:vAlign w:val="bottom"/>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3,317</w:t>
            </w:r>
          </w:p>
        </w:tc>
        <w:tc>
          <w:tcPr>
            <w:tcW w:w="0" w:type="dxa"/>
            <w:vAlign w:val="bottom"/>
          </w:tcPr>
          <w:p>
            <w:pPr>
              <w:spacing w:after="0"/>
              <w:rPr>
                <w:sz w:val="1"/>
                <w:szCs w:val="1"/>
                <w:color w:val="auto"/>
              </w:rPr>
            </w:pPr>
          </w:p>
        </w:tc>
      </w:tr>
      <w:tr>
        <w:trPr>
          <w:trHeight w:val="92"/>
        </w:trPr>
        <w:tc>
          <w:tcPr>
            <w:tcW w:w="1660" w:type="dxa"/>
            <w:vAlign w:val="bottom"/>
            <w:shd w:val="clear" w:color="auto" w:fill="CFF0FC"/>
          </w:tcPr>
          <w:p>
            <w:pPr>
              <w:ind w:left="120"/>
              <w:spacing w:after="0" w:line="92" w:lineRule="exact"/>
              <w:rPr>
                <w:sz w:val="20"/>
                <w:szCs w:val="20"/>
                <w:color w:val="auto"/>
              </w:rPr>
            </w:pPr>
            <w:r>
              <w:rPr>
                <w:rFonts w:ascii="Times New Roman" w:cs="Times New Roman" w:eastAsia="Times New Roman" w:hAnsi="Times New Roman"/>
                <w:sz w:val="10"/>
                <w:szCs w:val="10"/>
                <w:color w:val="auto"/>
              </w:rPr>
              <w:t>Change in unrealized gain on</w:t>
            </w:r>
          </w:p>
        </w:tc>
        <w:tc>
          <w:tcPr>
            <w:tcW w:w="7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60" w:type="dxa"/>
            <w:vAlign w:val="bottom"/>
            <w:tcBorders>
              <w:right w:val="single" w:sz="8" w:color="auto"/>
            </w:tcBorders>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56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80" w:type="dxa"/>
            <w:vAlign w:val="bottom"/>
            <w:tcBorders>
              <w:right w:val="single" w:sz="8" w:color="CFF0FC"/>
            </w:tcBorders>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marketable securities</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auto"/>
            </w:tcBorders>
            <w:shd w:val="clear" w:color="auto" w:fill="CFF0FC"/>
          </w:tcPr>
          <w:p>
            <w:pPr>
              <w:spacing w:after="0"/>
              <w:rPr>
                <w:sz w:val="10"/>
                <w:szCs w:val="10"/>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(21)</w:t>
            </w: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05"/>
        </w:trPr>
        <w:tc>
          <w:tcPr>
            <w:tcW w:w="1660" w:type="dxa"/>
            <w:vAlign w:val="bottom"/>
          </w:tcPr>
          <w:p>
            <w:pPr>
              <w:ind w:left="120"/>
              <w:spacing w:after="0" w:line="105" w:lineRule="exact"/>
              <w:rPr>
                <w:sz w:val="20"/>
                <w:szCs w:val="20"/>
                <w:color w:val="auto"/>
              </w:rPr>
            </w:pPr>
            <w:r>
              <w:rPr>
                <w:rFonts w:ascii="Times New Roman" w:cs="Times New Roman" w:eastAsia="Times New Roman" w:hAnsi="Times New Roman"/>
                <w:sz w:val="10"/>
                <w:szCs w:val="10"/>
                <w:color w:val="auto"/>
              </w:rPr>
              <w:t>Net loss</w:t>
            </w:r>
          </w:p>
        </w:tc>
        <w:tc>
          <w:tcPr>
            <w:tcW w:w="720" w:type="dxa"/>
            <w:vAlign w:val="bottom"/>
            <w:tcBorders>
              <w:bottom w:val="single" w:sz="8" w:color="auto"/>
            </w:tcBorders>
          </w:tcPr>
          <w:p>
            <w:pPr>
              <w:jc w:val="right"/>
              <w:ind w:right="5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80" w:type="dxa"/>
            <w:vAlign w:val="bottom"/>
            <w:tcBorders>
              <w:bottom w:val="single" w:sz="8" w:color="auto"/>
            </w:tcBorders>
          </w:tcPr>
          <w:p>
            <w:pPr>
              <w:jc w:val="right"/>
              <w:ind w:right="32"/>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ind w:left="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60" w:type="dxa"/>
            <w:vAlign w:val="bottom"/>
            <w:tcBorders>
              <w:bottom w:val="single" w:sz="8" w:color="auto"/>
            </w:tcBorders>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12"/>
              <w:spacing w:after="0" w:line="10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color w:val="auto"/>
              </w:rPr>
              <w:t>(145,889)</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2"/>
              <w:spacing w:after="0" w:line="105" w:lineRule="exact"/>
              <w:rPr>
                <w:sz w:val="20"/>
                <w:szCs w:val="20"/>
                <w:color w:val="auto"/>
              </w:rPr>
            </w:pPr>
            <w:r>
              <w:rPr>
                <w:rFonts w:ascii="Times New Roman" w:cs="Times New Roman" w:eastAsia="Times New Roman" w:hAnsi="Times New Roman"/>
                <w:sz w:val="10"/>
                <w:szCs w:val="10"/>
                <w:color w:val="auto"/>
              </w:rPr>
              <w:t>(145,889)</w:t>
            </w:r>
          </w:p>
        </w:tc>
        <w:tc>
          <w:tcPr>
            <w:tcW w:w="0" w:type="dxa"/>
            <w:vAlign w:val="bottom"/>
          </w:tcPr>
          <w:p>
            <w:pPr>
              <w:spacing w:after="0"/>
              <w:rPr>
                <w:sz w:val="1"/>
                <w:szCs w:val="1"/>
                <w:color w:val="auto"/>
              </w:rPr>
            </w:pPr>
          </w:p>
        </w:tc>
      </w:tr>
      <w:tr>
        <w:trPr>
          <w:trHeight w:val="116"/>
        </w:trPr>
        <w:tc>
          <w:tcPr>
            <w:tcW w:w="16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December 31, 2025</w:t>
            </w:r>
          </w:p>
        </w:tc>
        <w:tc>
          <w:tcPr>
            <w:tcW w:w="720" w:type="dxa"/>
            <w:vAlign w:val="bottom"/>
            <w:shd w:val="clear" w:color="auto" w:fill="CFF0FC"/>
          </w:tcPr>
          <w:p>
            <w:pPr>
              <w:jc w:val="right"/>
              <w:ind w:right="52"/>
              <w:spacing w:after="0" w:line="96" w:lineRule="exact"/>
              <w:rPr>
                <w:sz w:val="20"/>
                <w:szCs w:val="20"/>
                <w:color w:val="auto"/>
              </w:rPr>
            </w:pPr>
            <w:r>
              <w:rPr>
                <w:rFonts w:ascii="Times New Roman" w:cs="Times New Roman" w:eastAsia="Times New Roman" w:hAnsi="Times New Roman"/>
                <w:sz w:val="10"/>
                <w:szCs w:val="10"/>
                <w:b w:val="1"/>
                <w:bCs w:val="1"/>
                <w:color w:val="auto"/>
              </w:rPr>
              <w:t>53,296,426</w:t>
            </w:r>
          </w:p>
        </w:tc>
        <w:tc>
          <w:tcPr>
            <w:tcW w:w="200" w:type="dxa"/>
            <w:vAlign w:val="bottom"/>
            <w:gridSpan w:val="2"/>
            <w:shd w:val="clear" w:color="auto" w:fill="CFF0FC"/>
          </w:tcPr>
          <w:p>
            <w:pPr>
              <w:jc w:val="right"/>
              <w:ind w:right="8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shd w:val="clear" w:color="auto" w:fill="CFF0FC"/>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509,971</w:t>
            </w:r>
          </w:p>
        </w:tc>
        <w:tc>
          <w:tcPr>
            <w:tcW w:w="840" w:type="dxa"/>
            <w:vAlign w:val="bottom"/>
            <w:gridSpan w:val="2"/>
            <w:shd w:val="clear" w:color="auto" w:fill="CFF0FC"/>
          </w:tcPr>
          <w:p>
            <w:pPr>
              <w:jc w:val="right"/>
              <w:ind w:right="32"/>
              <w:spacing w:after="0" w:line="96" w:lineRule="exact"/>
              <w:rPr>
                <w:sz w:val="20"/>
                <w:szCs w:val="20"/>
                <w:color w:val="auto"/>
              </w:rPr>
            </w:pPr>
            <w:r>
              <w:rPr>
                <w:rFonts w:ascii="Times New Roman" w:cs="Times New Roman" w:eastAsia="Times New Roman" w:hAnsi="Times New Roman"/>
                <w:sz w:val="10"/>
                <w:szCs w:val="10"/>
                <w:b w:val="1"/>
                <w:bCs w:val="1"/>
                <w:color w:val="auto"/>
              </w:rPr>
              <w:t>3,132,248</w:t>
            </w:r>
          </w:p>
        </w:tc>
        <w:tc>
          <w:tcPr>
            <w:tcW w:w="540" w:type="dxa"/>
            <w:vAlign w:val="bottom"/>
            <w:gridSpan w:val="2"/>
            <w:shd w:val="clear" w:color="auto" w:fill="CFF0FC"/>
          </w:tcPr>
          <w:p>
            <w:pPr>
              <w:jc w:val="right"/>
              <w:ind w:right="37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FF0FC"/>
            </w:tcBorders>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15,009</w:t>
            </w:r>
          </w:p>
        </w:tc>
        <w:tc>
          <w:tcPr>
            <w:tcW w:w="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right w:val="single" w:sz="8" w:color="CFF0FC"/>
            </w:tcBorders>
            <w:shd w:val="clear" w:color="auto" w:fill="CFF0FC"/>
          </w:tcPr>
          <w:p>
            <w:pPr>
              <w:jc w:val="right"/>
              <w:ind w:right="112"/>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(541,504)</w:t>
            </w:r>
          </w:p>
        </w:tc>
        <w:tc>
          <w:tcPr>
            <w:tcW w:w="180" w:type="dxa"/>
            <w:vAlign w:val="bottom"/>
            <w:gridSpan w:val="2"/>
            <w:shd w:val="clear" w:color="auto" w:fill="CFF0FC"/>
          </w:tcPr>
          <w:p>
            <w:pPr>
              <w:jc w:val="right"/>
              <w:ind w:right="1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shd w:val="clear" w:color="auto" w:fill="CFF0FC"/>
          </w:tcPr>
          <w:p>
            <w:pPr>
              <w:jc w:val="right"/>
              <w:ind w:right="12"/>
              <w:spacing w:after="0" w:line="96" w:lineRule="exact"/>
              <w:rPr>
                <w:sz w:val="20"/>
                <w:szCs w:val="20"/>
                <w:color w:val="auto"/>
              </w:rPr>
            </w:pPr>
            <w:r>
              <w:rPr>
                <w:rFonts w:ascii="Times New Roman" w:cs="Times New Roman" w:eastAsia="Times New Roman" w:hAnsi="Times New Roman"/>
                <w:sz w:val="10"/>
                <w:szCs w:val="10"/>
                <w:b w:val="1"/>
                <w:bCs w:val="1"/>
                <w:color w:val="auto"/>
              </w:rPr>
              <w:t>(526,495)</w:t>
            </w: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-979805</wp:posOffset>
            </wp:positionV>
            <wp:extent cx="32385" cy="990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385" cy="9906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-19685</wp:posOffset>
            </wp:positionV>
            <wp:extent cx="5334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-6350</wp:posOffset>
            </wp:positionV>
            <wp:extent cx="5334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-172085</wp:posOffset>
            </wp:positionV>
            <wp:extent cx="59690" cy="1854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90" cy="18542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-19685</wp:posOffset>
            </wp:positionV>
            <wp:extent cx="4699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-6350</wp:posOffset>
            </wp:positionV>
            <wp:extent cx="4699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-19685</wp:posOffset>
            </wp:positionV>
            <wp:extent cx="4699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-6350</wp:posOffset>
            </wp:positionV>
            <wp:extent cx="4699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-19685</wp:posOffset>
            </wp:positionV>
            <wp:extent cx="4699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-6350</wp:posOffset>
            </wp:positionV>
            <wp:extent cx="4699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-19685</wp:posOffset>
            </wp:positionV>
            <wp:extent cx="4699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-6350</wp:posOffset>
            </wp:positionV>
            <wp:extent cx="4699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-19685</wp:posOffset>
            </wp:positionV>
            <wp:extent cx="4699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-6350</wp:posOffset>
            </wp:positionV>
            <wp:extent cx="4699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5" w:name="page226"/>
    <w:bookmarkEnd w:id="22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7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(117,914)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3,317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fair value of preferred stock tranche right liability</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5,791</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6,342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Losses on fixed asset disposals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Rent receivable - related party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Due from related party</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to related party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9,284</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13,590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(103,613)</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(123,713)</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(90,858)</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121,979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56,728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30,242</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39,758</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6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Proceeds from issuance of Series E convertible preferred stock and preferred stock tranche</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right liability</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77,508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67,491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Payments of Series E convertible preferred stock issuance costs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Payments of debt issuance costs and fees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78,068</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64,382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4,697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(19,573)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45,442</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50,139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50,139</w:t>
            </w:r>
          </w:p>
        </w:tc>
        <w:tc>
          <w:tcPr>
            <w:tcW w:w="3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30,566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5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1,029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expenses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Settlement of Series E preferred stock tranche right liability</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-2949575</wp:posOffset>
            </wp:positionV>
            <wp:extent cx="6667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-2295525</wp:posOffset>
            </wp:positionV>
            <wp:extent cx="6667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-1101090</wp:posOffset>
            </wp:positionV>
            <wp:extent cx="6667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-880745</wp:posOffset>
            </wp:positionV>
            <wp:extent cx="6667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675"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6" w:name="page227"/>
    <w:bookmarkEnd w:id="22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 Nature of the Business and Basis of Presentation</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Nature of Business</w:t>
      </w:r>
    </w:p>
    <w:p>
      <w:pPr>
        <w:spacing w:after="0" w:line="93" w:lineRule="exact"/>
        <w:rPr>
          <w:sz w:val="20"/>
          <w:szCs w:val="20"/>
          <w:color w:val="auto"/>
        </w:rPr>
      </w:pPr>
    </w:p>
    <w:p>
      <w:pPr>
        <w:ind w:left="720" w:right="819" w:firstLine="343"/>
        <w:spacing w:after="0" w:line="256" w:lineRule="auto"/>
        <w:rPr>
          <w:sz w:val="20"/>
          <w:szCs w:val="20"/>
          <w:color w:val="auto"/>
        </w:rPr>
      </w:pPr>
      <w:r>
        <w:rPr>
          <w:rFonts w:ascii="Times New Roman" w:cs="Times New Roman" w:eastAsia="Times New Roman" w:hAnsi="Times New Roman"/>
          <w:sz w:val="14"/>
          <w:szCs w:val="14"/>
          <w:color w:val="auto"/>
        </w:rPr>
        <w:t>Parabilis Medicines, Inc. (the “Company”) is a clinical-stage biopharmaceutical company developing medicines addressing some of the most consequential, yet historically undruggable, protein targets driving human disease. The Company leverages its platform to pioneer a therapeutic modality, Helicons, which are stabilized helical peptides engineered to bind and precisely modulate proteins. The Company, formerly known as FOG Pharmaceuticals, Inc., was incorporated in Delaware on July 10, 2015. On October 25, 2024, the Company changed its name from FOG Pharmaceuticals, Inc. to Parabilis Medicines, Inc. The Company is developing preclinical and clinical drug candidates, operates in the United States of America, and, to date, has devoted substantially all its efforts on research and development and fundraising activities.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Risk and Uncertainties</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The Company is subject to risks and uncertainties common to clinical-stage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resulting from the Company’s current discovery efforts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 reporting capabilities. Even if the Company’s product development efforts are successful, it is uncertain when, if ever, the Company will realize significant revenue from product sales.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Company’s consolidated financial statements have been prepared on the basis of continuity of operations, the realization of assets and satisfaction of liabilities in the ordinary course of business. From its inception through December 31, 2025, the Company has received aggregate gross proceeds of $506.6 million from sales of convertible preferred stock and $15.0 million from borrowings under a term loan. The Company has incurred net losses and negative operating cash flows since inception and has an accumulated deficit of $541.5 million at December 31, 2025. The Company expects that its cash and cash equivalents, including the $305.2 million of gross proceeds received from its sale of Series F convertible preferred stock (the “Series F Preferred Stock”) in January 2026 and the $50.0 million of gross proceeds received from the sale of a simple agreement for future equity (“SAFE”) in March 2026 (see Note 18,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will be sufficient to fund its operations through at least twelve months from the date the consolidated financial statements were available to be issued.</w:t>
      </w:r>
    </w:p>
    <w:p>
      <w:pPr>
        <w:spacing w:after="0" w:line="149" w:lineRule="exact"/>
        <w:rPr>
          <w:sz w:val="20"/>
          <w:szCs w:val="20"/>
          <w:color w:val="auto"/>
        </w:rPr>
      </w:pPr>
    </w:p>
    <w:p>
      <w:pPr>
        <w:ind w:left="720" w:right="779" w:firstLine="343"/>
        <w:spacing w:after="0" w:line="253" w:lineRule="auto"/>
        <w:rPr>
          <w:sz w:val="20"/>
          <w:szCs w:val="20"/>
          <w:color w:val="auto"/>
        </w:rPr>
      </w:pPr>
      <w:r>
        <w:rPr>
          <w:rFonts w:ascii="Times New Roman" w:cs="Times New Roman" w:eastAsia="Times New Roman" w:hAnsi="Times New Roman"/>
          <w:sz w:val="14"/>
          <w:szCs w:val="14"/>
          <w:color w:val="auto"/>
        </w:rPr>
        <w:t xml:space="preserve">The Company is seeking to complete an initial public offering (“IPO”) of its common stock. Upon the completion of a qualified public offering on specified terms, the Company’s outstanding convertible preferred stock will be automatically converted into shares of common stock (see Note 6, </w:t>
      </w:r>
      <w:r>
        <w:rPr>
          <w:rFonts w:ascii="Times New Roman" w:cs="Times New Roman" w:eastAsia="Times New Roman" w:hAnsi="Times New Roman"/>
          <w:sz w:val="14"/>
          <w:szCs w:val="14"/>
          <w:i w:val="1"/>
          <w:iCs w:val="1"/>
          <w:color w:val="auto"/>
        </w:rPr>
        <w:t>Convertible Preferred Stock</w:t>
      </w:r>
      <w:r>
        <w:rPr>
          <w:rFonts w:ascii="Times New Roman" w:cs="Times New Roman" w:eastAsia="Times New Roman" w:hAnsi="Times New Roman"/>
          <w:sz w:val="14"/>
          <w:szCs w:val="14"/>
          <w:color w:val="auto"/>
        </w:rPr>
        <w:t>). Additionally, the Company’s outstanding SAFE will be automatically converted into shares of common stock upon an IPO. In the event the Company does not complete an IPO, the Company expects to finance its cash needs through a combination of equity offerings, debt or royalty financings, and collaborations.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raise additional funds through these sources or other sources of funding when needed,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3" w:lineRule="exact"/>
        <w:rPr>
          <w:sz w:val="20"/>
          <w:szCs w:val="20"/>
          <w:color w:val="auto"/>
        </w:rPr>
      </w:pPr>
    </w:p>
    <w:p>
      <w:pPr>
        <w:ind w:left="720" w:right="999" w:firstLine="343"/>
        <w:spacing w:after="0" w:line="283"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wholly owned subsidiary, FOG Security Corporation. All intercompany accounts and transactions have been eliminated in consolidation.</w:t>
      </w:r>
    </w:p>
    <w:p>
      <w:pPr>
        <w:spacing w:after="0" w:line="125"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7" w:name="page228"/>
    <w:bookmarkEnd w:id="22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expenses during the reporting periods. Significant estimates reflected within these consolidated financial statements include the estimated fair value of the Company’s common stock utilized in the determination of stock-based compensation expense, the determination of the incremental borrowing rate for leases, the estimated fair value of the preferred stock tranche right liability, and convertible preferred stock, as well as accrued research and development expenses.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at the date of purchase to be cash equivalents. The Company’s cash equivalents consist of funds deposited in money market mutual funds and are recorded at fair value.</w:t>
      </w:r>
    </w:p>
    <w:p>
      <w:pPr>
        <w:spacing w:after="0" w:line="136"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A reconciliation of the cash, cash equivalents, and restricted cash reported within the consolidated balance sheets that sum to the total of the same amounts shown in the consolidated statements of cash flows is as follows (in thousands):</w:t>
      </w:r>
    </w:p>
    <w:p>
      <w:pPr>
        <w:spacing w:after="0" w:line="14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60" w:type="dxa"/>
            <w:vAlign w:val="bottom"/>
            <w:tcBorders>
              <w:bottom w:val="single" w:sz="8" w:color="auto"/>
            </w:tcBorders>
          </w:tcPr>
          <w:p>
            <w:pPr>
              <w:spacing w:after="0"/>
              <w:rPr>
                <w:sz w:val="11"/>
                <w:szCs w:val="11"/>
                <w:color w:val="auto"/>
              </w:rPr>
            </w:pPr>
          </w:p>
        </w:tc>
      </w:tr>
      <w:tr>
        <w:trPr>
          <w:trHeight w:val="106"/>
        </w:trPr>
        <w:tc>
          <w:tcPr>
            <w:tcW w:w="3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73"/>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2025</w:t>
            </w:r>
          </w:p>
        </w:tc>
      </w:tr>
      <w:tr>
        <w:trPr>
          <w:trHeight w:val="159"/>
        </w:trPr>
        <w:tc>
          <w:tcPr>
            <w:tcW w:w="31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6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47,284</w:t>
            </w:r>
          </w:p>
        </w:tc>
        <w:tc>
          <w:tcPr>
            <w:tcW w:w="3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27,711</w:t>
            </w:r>
          </w:p>
        </w:tc>
      </w:tr>
      <w:tr>
        <w:trPr>
          <w:trHeight w:val="168"/>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 long-term</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r>
      <w:tr>
        <w:trPr>
          <w:trHeight w:val="179"/>
        </w:trPr>
        <w:tc>
          <w:tcPr>
            <w:tcW w:w="31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6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50,139</w:t>
            </w:r>
          </w:p>
        </w:tc>
        <w:tc>
          <w:tcPr>
            <w:tcW w:w="34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30,566</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-19685</wp:posOffset>
            </wp:positionV>
            <wp:extent cx="5334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-6350</wp:posOffset>
            </wp:positionV>
            <wp:extent cx="5334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3" w:lineRule="exact"/>
        <w:rPr>
          <w:sz w:val="20"/>
          <w:szCs w:val="20"/>
          <w:color w:val="auto"/>
        </w:rPr>
      </w:pPr>
    </w:p>
    <w:p>
      <w:pPr>
        <w:ind w:left="720" w:right="95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2024 and 2025, restricted cash consists of $2.9 million serving as collateral for a letter of credit required under the Company’s facility lease arrangement.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3" w:lineRule="exact"/>
        <w:rPr>
          <w:sz w:val="20"/>
          <w:szCs w:val="20"/>
          <w:color w:val="auto"/>
        </w:rPr>
      </w:pPr>
    </w:p>
    <w:p>
      <w:pPr>
        <w:ind w:left="720" w:right="779" w:firstLine="343"/>
        <w:spacing w:after="0" w:line="255" w:lineRule="auto"/>
        <w:rPr>
          <w:sz w:val="20"/>
          <w:szCs w:val="20"/>
          <w:color w:val="auto"/>
        </w:rPr>
      </w:pPr>
      <w:r>
        <w:rPr>
          <w:rFonts w:ascii="Times New Roman" w:cs="Times New Roman" w:eastAsia="Times New Roman" w:hAnsi="Times New Roman"/>
          <w:sz w:val="14"/>
          <w:szCs w:val="14"/>
          <w:color w:val="auto"/>
        </w:rPr>
        <w:t>The Company’s marketable securities consist of investments in debt securities, including U.S. Treasury bills, with remaining maturities beyond three months at the date of purchase. The Company’s marketable securities are classified as available-for-sale and are carried at fair value, with any unrealized gains or losses reported as a component of accumulated other comprehensive income within stockholders’ deficit. The Company has classified its investments as current as all of the securities had maturity dates within twelve months of December 31, 2024 and 2025. Changes in unrealized gains or losses are recorded in other comprehensive loss in the consolidated statements of operations and comprehensive loss. Premiums and discounts on marketable securities are amortized and accreted, respectively, to earliest call date and maturity, respectively, and are included in interest income in the consolidated statements of operations and comprehensive loss.</w:t>
      </w:r>
    </w:p>
    <w:p>
      <w:pPr>
        <w:spacing w:after="0" w:line="145"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Marketable securities in an unrealized loss position are evaluated for impairment at least quarterly. For marketable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investment security’s amortized cost basis is written down to fair value through net loss.</w:t>
      </w:r>
    </w:p>
    <w:p>
      <w:pPr>
        <w:spacing w:after="0" w:line="141"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For marketable securities that do not meet the aforementioned criteria, the Company evaluates whether the decline in fair value has resulted from credit losses or other factors. In conducting this assessment for marketable securities in an unrealized loss position, management evaluates the extent to which fair value is less than amortized cost, any changes to the rating of the security by a rating agency, and adverse conditions specifically related to the security, among other factors.</w:t>
      </w:r>
    </w:p>
    <w:p>
      <w:pPr>
        <w:spacing w:after="0" w:line="141"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If this assessment indicates that a credit loss exists, the present value of cash flows expected to be collected from the investment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 is recognized in other comprehensive loss. There were no credit losses recorded for the years ended December 31, 2024 or 2025.</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8" w:name="page229"/>
    <w:bookmarkEnd w:id="22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3" w:lineRule="exact"/>
        <w:rPr>
          <w:sz w:val="20"/>
          <w:szCs w:val="20"/>
          <w:color w:val="auto"/>
        </w:rPr>
      </w:pPr>
    </w:p>
    <w:p>
      <w:pPr>
        <w:jc w:val="both"/>
        <w:ind w:left="720" w:right="919" w:firstLine="343"/>
        <w:spacing w:after="0" w:line="267" w:lineRule="auto"/>
        <w:rPr>
          <w:sz w:val="20"/>
          <w:szCs w:val="20"/>
          <w:color w:val="auto"/>
        </w:rPr>
      </w:pPr>
      <w:r>
        <w:rPr>
          <w:rFonts w:ascii="Times New Roman" w:cs="Times New Roman" w:eastAsia="Times New Roman" w:hAnsi="Times New Roman"/>
          <w:sz w:val="14"/>
          <w:szCs w:val="14"/>
          <w:color w:val="auto"/>
        </w:rPr>
        <w:t>Comprehensive loss consists of net loss plus other changes in stockholders’ deficit that result from transactions and economic events other than those with stockholders. For the years ended December 31, 2024 and 2025, other comprehensive loss consisted of changes in unrealized gains or losses on marketable securities.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of cash and cash equivalents, and marketable securities. The Company’s cash deposits generally do not exceed Federal Deposit Insurance Corporation (“FDIC”) limits. The Company’s cash equivalents consist of money market funds that are not insured by the FDIC; however, the Company has not experienced any losses in such accounts and believes that such funds are not exposed to any significant credit or concentration risk beyond the risks associated with commercial banking relationships. The Company maintains each of its cash and cash equivalents balances with financial institutions that management believes are creditworthy. The Company’s investment policy includes guidelines on the quality of the financial institutions and financial instruments and defines allowable investments that the Company believes minimizes the exposure to concentration of credit risk. The Company’s marketable securities consist of U.S. Treasury bills. The Company believes these investments present minimal credit risk.</w:t>
      </w:r>
    </w:p>
    <w:p>
      <w:pPr>
        <w:spacing w:after="0" w:line="149"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The Company relies, and expects to continue to rely, on a small number of vendors and contract research organizations to manufacture certain supplies and raw materials for its research and development programs and to conduct clinical trials. These programs could be adversely affected by a significant interruption in these manufacturing services or the availability of raw materials, or an interruption in the provision of services provided by the Company’s contract research organizations.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Research and development expenses include personnel-related expenses, such as salaries, bonuses, benefits, and stock-based compensation expense, consulting, contract research and manufacturing, depreciation, allocated facility and related costs, and other costs attributable to research and development activities and are expensed as incurred. Non-refundable pre-payments for goods or services that will be used or rendered for future research and development activities are deferred and capitalized. Such amounts are recognized as expense as the goods or services are delivered or the related services are performed, or until it is no longer expected that the goods will be delivered, or the services rendered.</w:t>
      </w:r>
    </w:p>
    <w:p>
      <w:pPr>
        <w:spacing w:after="0" w:line="143"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Upfront payments under license agreements are expensed upon receipt of the license, and annual maintenance fees under license agreements are expensed over the maintenance period. Contingent milestone payments, if any, are expensed when the milestone results are probable and estimable, which is generally upon the achievement of the milestone.</w:t>
      </w:r>
    </w:p>
    <w:p>
      <w:pPr>
        <w:spacing w:after="0" w:line="136"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 Company has entered into various research and development-related contracts with third parties. The expenses related to these agreements and related payments are recorded as research and development expenses as incurred. At each balance sheet date, the Company records accruals for estimated research costs incurred. When evaluating the adequacy of the accrued liabilities, the Company analyzes the progress of the studies, including the phase or completion of events, invoices received and contracted costs. Certain judgments and estimates are made in determining the accrued balances at the end of any reporting period.</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expenses, including salaries, bonuses, benefits, and stock-based compensation expense for employees in certain executive, accounting and finance, business development, human resources, information technology, legal, and other administrative functions. Other significant general and administrative expenses include allocated facility and related costs, legal fees relating to corporate and intellectual property matters, professional fees for accounting, audit and tax services, consulting fees, information technology costs and insurance costs. General and administrative costs are expensed as incurred.</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Patent Costs</w:t>
      </w:r>
    </w:p>
    <w:p>
      <w:pPr>
        <w:spacing w:after="0" w:line="93"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All patent-related costs incurred for filing and prosecuting patent applications are expensed as incurred. Amounts incurred are classified as general and administrative expenses in the consolidated statements of operations and comprehensive loss.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9" w:name="page230"/>
    <w:bookmarkEnd w:id="22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expense is recognized using the straight-line method over the estimated useful life of each of the asset categories as follows:</w:t>
      </w:r>
    </w:p>
    <w:p>
      <w:pPr>
        <w:spacing w:after="0" w:line="144" w:lineRule="exact"/>
        <w:rPr>
          <w:sz w:val="20"/>
          <w:szCs w:val="20"/>
          <w:color w:val="auto"/>
        </w:rPr>
      </w:pPr>
    </w:p>
    <w:tbl>
      <w:tblPr>
        <w:tblLayout w:type="fixed"/>
        <w:tblInd w:w="1860" w:type="dxa"/>
        <w:tblCellMar>
          <w:top w:w="0" w:type="dxa"/>
          <w:left w:w="0" w:type="dxa"/>
          <w:bottom w:w="0" w:type="dxa"/>
          <w:right w:w="0" w:type="dxa"/>
        </w:tblCellMar>
      </w:tblPr>
      <w:tr>
        <w:trPr>
          <w:trHeight w:val="185"/>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Laboratory equipment</w:t>
            </w:r>
          </w:p>
        </w:tc>
        <w:tc>
          <w:tcPr>
            <w:tcW w:w="3060" w:type="dxa"/>
            <w:vAlign w:val="bottom"/>
            <w:gridSpan w:val="2"/>
            <w:shd w:val="clear" w:color="auto" w:fill="CFF0FC"/>
          </w:tcPr>
          <w:p>
            <w:pPr>
              <w:ind w:left="60"/>
              <w:spacing w:after="0" w:line="159" w:lineRule="exact"/>
              <w:rPr>
                <w:sz w:val="20"/>
                <w:szCs w:val="20"/>
                <w:color w:val="auto"/>
              </w:rPr>
            </w:pPr>
            <w:r>
              <w:rPr>
                <w:rFonts w:ascii="Times New Roman" w:cs="Times New Roman" w:eastAsia="Times New Roman" w:hAnsi="Times New Roman"/>
                <w:sz w:val="14"/>
                <w:szCs w:val="14"/>
                <w:color w:val="auto"/>
              </w:rPr>
              <w:t>5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Computers</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3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5 years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Shorter of remaining life of lease or useful life</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959" w:firstLine="343"/>
        <w:spacing w:after="0" w:line="261" w:lineRule="auto"/>
        <w:rPr>
          <w:sz w:val="20"/>
          <w:szCs w:val="20"/>
          <w:color w:val="auto"/>
        </w:rPr>
      </w:pPr>
      <w:r>
        <w:rPr>
          <w:rFonts w:ascii="Times New Roman" w:cs="Times New Roman" w:eastAsia="Times New Roman" w:hAnsi="Times New Roman"/>
          <w:sz w:val="14"/>
          <w:szCs w:val="14"/>
          <w:color w:val="auto"/>
        </w:rPr>
        <w:t>Costs for capital assets not yet placed in service are capitalized and depreciation begins once placed into service. Upon retirement or sale, the cost of disposed assets and the related accumulated depreciation are removed from the accounts and any resulting gain or loss is included in the consolidated statements of operations and comprehensive loss. Expenditures for repairs and maintenance that do not improve or extend the life of the respective assets are charged to expense as incurred.</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Long-lived assets to be held and used, comprised of property and equipment and operating lease right-of-use assets, are tested for recoverability whenever events or changes in business circumstances indicate that the carrying amount of the assets may not be fully recoverable. Factors that the Company considers in determining when to perform an impairment review include significant underperformance of the business in relation to expectations, significant negative industry or economic trends and significant changes or planned changes in the use of the assets. If the Company performs an impairment review to evaluate a long-lived asset or asset group for recoverability, it compares forecasts of undiscounted cash flows expected to result from the use and eventual disposition of the long-lived asset or asset group to its carrying value. An impairment loss would be recognized when estimated undiscounted future cash flows expected to result from the use of an asset or asset group are less than its carrying amount. The impairment loss would be equal to the excess of the carrying value of the impaired asset or asset group over its fair value, determined based on discounted cash flows. To date, the Company has not recorded any impairment losses.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consolidated financial statements and tax basis of assets and liabilities using enacted tax rates in effect in the years in which the differences are expected to reverse. Changes in deferred tax assets and liabilities are recorded in the provision for income taxes in the consolidated statements of operations and comprehensive loss. The Company assesses the likelihood that its deferred tax assets will be realized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45"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Company measures all stock options and other stock-based awards granted to employees, directors and non-employees based on the award’s fair value on the date of the grant and recognizes compensation expense related to those awards over the requisite service period, which is generally the vesting period of the respective award. The Company primarily issues stock options with only service-based vesting conditions and records the expense for these awards using the straight-line method. To a lesser extent, the Company has also granted awards with either service and performance-based vesting conditions or market and performance-based vesting conditions, and records expense based on the grant-date fair value over the requisite service period using the accelerated attribution method if the achievement of the performance condition is considered probable. At each reporting date, the Company estimates the probability that specified performance criteria will be achieved and does not begin to recognize compensation expense until it is probable that the performance-based vesting condition will be achieved.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0" w:name="page231"/>
    <w:bookmarkEnd w:id="23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79" w:firstLine="343"/>
        <w:spacing w:after="0" w:line="283"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consolidated statements of operations and comprehensive loss in the same manner in which the award recipient’s payroll costs or service payments are classified.</w:t>
      </w:r>
    </w:p>
    <w:p>
      <w:pPr>
        <w:spacing w:after="0" w:line="125"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The fair values of stock options with only service-based or performance-based conditions are estimated using the Black-Scholes option-pricing model. The Company’s board of directors (the “Board of Directors”) determines the fair value of the Company’s common stock, with input from management, considering the Company’s most recently available third-party valuations of common stock, as well as additional factors which may have changed since the date of the most recent valuation through the date of grant. The Company is a private company and lacks company-specific historical and implied volatility information. Therefore, it estimates its expected stock volatility based on the historical volatility of a set of publicly-traded peer companies. The expected term of the Company’s stock options granted has been determined utilizing the “simplified” method for awards that qualify as “plain-vanilla” options, which is presumed to be the midpoint between the vesting date and the end of the contractual term. If vesting is subject to a performance condition, the expected term is based on the mid-point between the explicit service period and the contractual term of the option. The risk-free interest rate is determined by reference to the U.S. Treasury yield curve in effect at the time of grant of the award for time periods approximately equal to the expected term of the award. The expected dividend yield is zero, because the Company has never paid cash dividends on common stock and does not expect to pay any such dividends in the foreseeable future. The Company accounts for forfeitures of share-based compensation awards as they occur.</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ind w:left="720" w:right="919" w:firstLine="343"/>
        <w:spacing w:after="0" w:line="261" w:lineRule="auto"/>
        <w:rPr>
          <w:sz w:val="20"/>
          <w:szCs w:val="20"/>
          <w:color w:val="auto"/>
        </w:rPr>
      </w:pPr>
      <w:r>
        <w:rPr>
          <w:rFonts w:ascii="Times New Roman" w:cs="Times New Roman" w:eastAsia="Times New Roman" w:hAnsi="Times New Roman"/>
          <w:sz w:val="14"/>
          <w:szCs w:val="14"/>
          <w:color w:val="auto"/>
        </w:rPr>
        <w:t>The Company determines whether an arrangement is, or contains, a lease at inception. The Company determines a contract contains a lease when all of the following criteria based on the specific circumstances of the arrangement are met: (1) there is an identified asset for which there are no substantive substitution rights; (2) the Company has the right to obtain substantially all of the economic benefits from the identified asset; and (3) the Company has the right to direct the use of the identified asset.</w:t>
      </w:r>
    </w:p>
    <w:p>
      <w:pPr>
        <w:spacing w:after="0" w:line="141" w:lineRule="exact"/>
        <w:rPr>
          <w:sz w:val="20"/>
          <w:szCs w:val="20"/>
          <w:color w:val="auto"/>
        </w:rPr>
      </w:pPr>
    </w:p>
    <w:p>
      <w:pPr>
        <w:ind w:left="720" w:right="759" w:firstLine="343"/>
        <w:spacing w:after="0" w:line="252" w:lineRule="auto"/>
        <w:rPr>
          <w:sz w:val="20"/>
          <w:szCs w:val="20"/>
          <w:color w:val="auto"/>
        </w:rPr>
      </w:pPr>
      <w:r>
        <w:rPr>
          <w:rFonts w:ascii="Times New Roman" w:cs="Times New Roman" w:eastAsia="Times New Roman" w:hAnsi="Times New Roman"/>
          <w:sz w:val="14"/>
          <w:szCs w:val="14"/>
          <w:color w:val="auto"/>
        </w:rPr>
        <w:t>The Company classifies each of its leases as operating or financing considering factors such as the length of the lease term, the present value of the lease payments, the nature of the leased asset, and the potential for ownership of the asset to transfer during the lease term. Leases with terms greater than one year are recognized on the consolidated balance sheets as right-of-use assets and lease liabilities and are measured at the present value of the fixed payments due over the expected lease term, with the asset value reduced by the present value of any incentives, rebates or abatements the Company expects to receive from the lessor. The present value of lease payments is determined by using the interest rate implicit in the lease, if that rate is readily determinable; otherwise, the Company uses its estimated secured incremental borrowing rate for a period equal to the expected lease term. Options to extend a lease by the Company are included in the expected lease term if exercise of the option is deemed reasonably certain. Options to extend the lease held by the lessor are included in the calculation of the lease term. Variable lease payments are amounts the Company owes to a lessor that are not fixed, such as reimbursement for common area maintenance and utilities costs for facility leases. Variable lease payments are not included in the measurement of right-of-use assets and lease liabilities, but rather are expensed when incurred. The Company recognizes expense for fixed lease payments on its operating leases on a straight-line basis over the expected lease term as an operating expense. For its finance leases, amortization expense and interest expense are recognized separately in the consolidated statements of operations and comprehensive loss, with amortization expense recognized on a straight-line basis and interest expense recognized using the effective interest method. The Company has elected the practical expedient not to separate lease and non-lease components for leases.</w:t>
      </w:r>
    </w:p>
    <w:p>
      <w:pPr>
        <w:spacing w:after="0" w:line="155"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The Company’s operating lease assets and liabilities are reflected in its consolidated balance sheets with the captions operating lease right-of-use assets; operating lease liabilities, current portion; and operating lease liabilities, net of current portion. The Company’s finance lease assets and liabilities are reflected in its consolidated balance sheets as property and equipment, net; finance lease liabilities, current portion; and finance lease liabilities, net of current portion. The Company does not record short-term leases, defined as leases that have a term of 12 months or less at the commencement date, on its consolidated balance sheets. The related expenses are recognized in the consolidated statements of operations and comprehensive loss on a straight-line basis over the lease term.</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Convertible Preferred Stock</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Company has presented all series of its convertible preferred stock as temporary equity in the accompanying consolidated balance sheets since redemption of the preferred shares is outside the control of the Company. The Company recorded its convertible preferred stock at fair value upon issuance, net of preferred stock tranche right liabilities, when applicable, and associated issuance costs. The holders of all series of convertible preferred stock are entitled to receive cumulative dividends if and when declared by the Company's Board of Directors or upon redemption. The Company recognizes dividends when declared. The Company has not recorded periodic accretion to the carrying values of its outstanding convertible preferred stock such that the carrying value of the convertible preferred stock would equal the redemption value, which includes the applicable original issue price plus all accrued but unpaid dividends, at the earliest date of redemption; as such, accretion or adjustment to redemption value is unnecessary unless or until it becomes probable that the convertible preferred stock will become redeemable. If redemption becomes probable, adjustments to the carrying values of the convertible preferred stock would be made at the relevant reporting date which would result in a decrease to additional paid-in capital or increase to accumulated deficit, as applicable.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1" w:name="page232"/>
    <w:bookmarkEnd w:id="23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Tranche Right Liability</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purchase agreement for the Company’s Series E convertible preferred stock provided the Company an obligation to issue additional shares of Series E convertible preferred stock in a subsequent closing upon the satisfaction of certain conditions (refer to Note 6, </w:t>
      </w:r>
      <w:r>
        <w:rPr>
          <w:rFonts w:ascii="Times New Roman" w:cs="Times New Roman" w:eastAsia="Times New Roman" w:hAnsi="Times New Roman"/>
          <w:sz w:val="14"/>
          <w:szCs w:val="14"/>
          <w:i w:val="1"/>
          <w:iCs w:val="1"/>
          <w:color w:val="auto"/>
        </w:rPr>
        <w:t>Convertible Preferred Stock</w:t>
      </w:r>
      <w:r>
        <w:rPr>
          <w:rFonts w:ascii="Times New Roman" w:cs="Times New Roman" w:eastAsia="Times New Roman" w:hAnsi="Times New Roman"/>
          <w:sz w:val="14"/>
          <w:szCs w:val="14"/>
          <w:color w:val="auto"/>
        </w:rPr>
        <w:t>). The Company classified the preferred stock tranche right as a liability on its consolidated balance sheets as the preferred stock tranche right was determined to be a freestanding financial instrument that may have required the Company to transfer assets to settle its obligation upon events outside of its control. The preferred stock tranche right liability was initially recorded at fair value upon the initial issuance date and was subsequently remeasured to fair value at each reporting date and immediately prior to being settled. Changes in fair value of the preferred stock tranche right liability were recognized as a component of other income (expense) in the consolidated statements of operations and comprehensive loss. Upon settlement of the preferred stock tranche right, the Company derecognized the related liability and stopped recognizing changes in the fair value of the preferred stock tranche right liability.</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Under GAAP, 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1060" w:right="1219"/>
        <w:spacing w:after="0" w:line="283" w:lineRule="auto"/>
        <w:rPr>
          <w:sz w:val="20"/>
          <w:szCs w:val="20"/>
          <w:color w:val="auto"/>
        </w:rPr>
      </w:pPr>
      <w:r>
        <w:rPr>
          <w:rFonts w:ascii="Times New Roman" w:cs="Times New Roman" w:eastAsia="Times New Roman" w:hAnsi="Times New Roman"/>
          <w:sz w:val="14"/>
          <w:szCs w:val="14"/>
          <w:color w:val="auto"/>
        </w:rPr>
        <w:t>Level 1 – Quoted prices in active markets that are accessible at the measurement date for identical, unrestricted assets or liabilities.</w:t>
      </w:r>
    </w:p>
    <w:p>
      <w:pPr>
        <w:spacing w:after="0" w:line="125" w:lineRule="exact"/>
        <w:rPr>
          <w:sz w:val="20"/>
          <w:szCs w:val="20"/>
          <w:color w:val="auto"/>
        </w:rPr>
      </w:pPr>
    </w:p>
    <w:p>
      <w:pPr>
        <w:ind w:left="1060" w:right="959"/>
        <w:spacing w:after="0" w:line="283" w:lineRule="auto"/>
        <w:rPr>
          <w:sz w:val="20"/>
          <w:szCs w:val="20"/>
          <w:color w:val="auto"/>
        </w:rPr>
      </w:pPr>
      <w:r>
        <w:rPr>
          <w:rFonts w:ascii="Times New Roman" w:cs="Times New Roman" w:eastAsia="Times New Roman" w:hAnsi="Times New Roman"/>
          <w:sz w:val="14"/>
          <w:szCs w:val="14"/>
          <w:color w:val="auto"/>
        </w:rPr>
        <w:t>Level 2 – Inputs other than quoted prices within Level 1 that are observable, either directly or indirectly, for substantially the full term through corroboration with observable market data.</w:t>
      </w:r>
    </w:p>
    <w:p>
      <w:pPr>
        <w:spacing w:after="0" w:line="125" w:lineRule="exact"/>
        <w:rPr>
          <w:sz w:val="20"/>
          <w:szCs w:val="20"/>
          <w:color w:val="auto"/>
        </w:rPr>
      </w:pPr>
    </w:p>
    <w:p>
      <w:pPr>
        <w:ind w:left="1060" w:right="1159"/>
        <w:spacing w:after="0" w:line="283" w:lineRule="auto"/>
        <w:rPr>
          <w:sz w:val="20"/>
          <w:szCs w:val="20"/>
          <w:color w:val="auto"/>
        </w:rPr>
      </w:pPr>
      <w:r>
        <w:rPr>
          <w:rFonts w:ascii="Times New Roman" w:cs="Times New Roman" w:eastAsia="Times New Roman" w:hAnsi="Times New Roman"/>
          <w:sz w:val="14"/>
          <w:szCs w:val="14"/>
          <w:color w:val="auto"/>
        </w:rPr>
        <w:t>Level 3 – Unobservable inputs for which there is little or no market data, which requires the Company to develop its own assumptions.</w:t>
      </w:r>
    </w:p>
    <w:p>
      <w:pPr>
        <w:spacing w:after="0" w:line="125"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The Company’s cash equivalents, marketable securities and preferred stock tranche right liability were carried at fair value, as determined according to the fair value hierarchy (refer to Note 3,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Collaborative Arrangements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Company analyzes its collaboration agreements to assess whether they are within the scope of ASC Topic 808, </w:t>
      </w:r>
      <w:r>
        <w:rPr>
          <w:rFonts w:ascii="Times New Roman" w:cs="Times New Roman" w:eastAsia="Times New Roman" w:hAnsi="Times New Roman"/>
          <w:sz w:val="14"/>
          <w:szCs w:val="14"/>
          <w:i w:val="1"/>
          <w:iCs w:val="1"/>
          <w:color w:val="auto"/>
        </w:rPr>
        <w:t xml:space="preserve">Collaborative Arrangements </w:t>
      </w:r>
      <w:r>
        <w:rPr>
          <w:rFonts w:ascii="Times New Roman" w:cs="Times New Roman" w:eastAsia="Times New Roman" w:hAnsi="Times New Roman"/>
          <w:sz w:val="14"/>
          <w:szCs w:val="14"/>
          <w:color w:val="auto"/>
        </w:rPr>
        <w:t>(“ASC 808”), by determining whether such arrangements involve joint operating activities performed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the collaboration partner are within the scope of other accounting literature. If the Company concludes that some or all aspects of the arrangement represent a transaction with a customer, the Company accounts for those aspects of the arrangement within the scope of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For a collaborative arrangement that is wholly or partially outside the scope of other topics, including ASC 606, the Company accounts for the arrangement based on an analogy to authoritative accounting literature or, if there is no appropriate analogy, a reasonable, rational, and consistently applied accounting policy election.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720" w:right="819" w:firstLine="343"/>
        <w:spacing w:after="0" w:line="278" w:lineRule="auto"/>
        <w:rPr>
          <w:sz w:val="20"/>
          <w:szCs w:val="20"/>
          <w:color w:val="auto"/>
        </w:rPr>
      </w:pPr>
      <w:r>
        <w:rPr>
          <w:rFonts w:ascii="Times New Roman" w:cs="Times New Roman" w:eastAsia="Times New Roman" w:hAnsi="Times New Roman"/>
          <w:sz w:val="13"/>
          <w:szCs w:val="13"/>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convertible preferred stock or in stockholders’ deficit as a reduction of additional paid-in capital. Should the planned equity financing be abandoned, the deferred offering costs are expensed immediately as a charge to operating expenses in the consolidated statements of operations and comprehensive loss. The Company had no deferred offering costs as of December 31, 2024. As of December 31, 2025, the Company had $0.6 million of deferred offering costs included in other assets on the consolidated balance sheet.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2" w:name="page233"/>
    <w:bookmarkEnd w:id="23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Basic net loss per common share is calculated by dividing net loss adjusted for cumulative dividends on convertible preferred stock accrued during the period, whether or not declared, and the value of any deemed dividends resulting from down-round adjustments to convertible preferred stock, where applicable, by the weighted-average number of shares of common stock outstanding during the period, without consideration of potentially dilutive securities. Diluted net loss per share is computed by dividing the net loss allocable to common stockholders by the weighted-average number of shares of common stock and potentially dilutive securities outstanding for the period. For purposes of the diluted net loss per share calculation, the convertible preferred stock, common stock warrants, preferred stock tranche rights and stock options are considered potentially dilutive securities.</w:t>
      </w:r>
    </w:p>
    <w:p>
      <w:pPr>
        <w:spacing w:after="0" w:line="144"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Basic and diluted net loss allocable to common stockholders per share is presented in conformity with the two-class method required for participating securities as all series of convertible preferred stock are considered participating securities. The Company’s participating securities do not have a contractual obligation to share in the Company’s losses. As such, the net loss was attributed entirely to common stockholders.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for which separate and discrete information is available for evaluation by the chief operating decision-maker (“CODM”), in deciding how to allocate resources and assess performance. The Company’s CODM, its chief executive officer, manages the Company’s operations on a consolidated basis for the purpose of allocating resources. All of the Company’s long-lived assets are held in the United States. Refer to Note 17,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further disclosure regarding the Company’s segment information.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w:t>
      </w:r>
    </w:p>
    <w:p>
      <w:pPr>
        <w:spacing w:after="0" w:line="2" w:lineRule="exact"/>
        <w:rPr>
          <w:sz w:val="20"/>
          <w:szCs w:val="20"/>
          <w:color w:val="auto"/>
        </w:rPr>
      </w:pPr>
    </w:p>
    <w:p>
      <w:pPr>
        <w:ind w:left="720" w:right="819"/>
        <w:spacing w:after="0" w:line="261" w:lineRule="auto"/>
        <w:tabs>
          <w:tab w:leader="none" w:pos="926"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longer qualifies as an emerging growth company. The Company may choose to adopt any new or revised accounting standards early whenever such early adoption is permitted for non-public companies.</w:t>
      </w:r>
    </w:p>
    <w:p>
      <w:pPr>
        <w:spacing w:after="0" w:line="138"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Disaggregation of Income Statement Expenses </w:t>
      </w:r>
      <w:r>
        <w:rPr>
          <w:rFonts w:ascii="Times New Roman" w:cs="Times New Roman" w:eastAsia="Times New Roman" w:hAnsi="Times New Roman"/>
          <w:sz w:val="14"/>
          <w:szCs w:val="14"/>
          <w:color w:val="auto"/>
        </w:rPr>
        <w:t>(“ASU 2024-03”). ASU 2024-03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requires certain amounts already disclosed under existing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with early adoption permitted. The standard may be applied prospectively or retrospectively. The Company is currently evaluating the impact of adopting ASU 2024-03.</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1" w:lineRule="exact"/>
        <w:rPr>
          <w:sz w:val="20"/>
          <w:szCs w:val="20"/>
          <w:color w:val="auto"/>
        </w:rPr>
      </w:pPr>
    </w:p>
    <w:p>
      <w:pPr>
        <w:ind w:left="720" w:right="779" w:firstLine="343"/>
        <w:spacing w:after="0" w:line="284" w:lineRule="auto"/>
        <w:rPr>
          <w:sz w:val="20"/>
          <w:szCs w:val="20"/>
          <w:color w:val="auto"/>
        </w:rPr>
      </w:pPr>
      <w:r>
        <w:rPr>
          <w:rFonts w:ascii="Times New Roman" w:cs="Times New Roman" w:eastAsia="Times New Roman" w:hAnsi="Times New Roman"/>
          <w:sz w:val="13"/>
          <w:szCs w:val="13"/>
          <w:color w:val="auto"/>
        </w:rPr>
        <w:t xml:space="preserve">In November 2023, the FASB issued ASU No. 2023-07, </w:t>
      </w:r>
      <w:r>
        <w:rPr>
          <w:rFonts w:ascii="Times New Roman" w:cs="Times New Roman" w:eastAsia="Times New Roman" w:hAnsi="Times New Roman"/>
          <w:sz w:val="13"/>
          <w:szCs w:val="13"/>
          <w:i w:val="1"/>
          <w:iCs w:val="1"/>
          <w:color w:val="auto"/>
        </w:rPr>
        <w:t>Segment Reporting (Topic 280) - Improvements to Reportable Segment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Disclosures</w:t>
      </w:r>
      <w:r>
        <w:rPr>
          <w:rFonts w:ascii="Times New Roman" w:cs="Times New Roman" w:eastAsia="Times New Roman" w:hAnsi="Times New Roman"/>
          <w:sz w:val="13"/>
          <w:szCs w:val="13"/>
          <w:color w:val="auto"/>
        </w:rPr>
        <w:t>, which improves reportable segment disclosure requirements, primarily through additional disclosures about significant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segment expenses. This standard became effective for the Company for the year ended December 31, 2024, using the retrospective method. The amendments were applied retroactively to all prior periods presented in the consolidated financial statements. Refer to Note 17, </w:t>
      </w:r>
      <w:r>
        <w:rPr>
          <w:rFonts w:ascii="Times New Roman" w:cs="Times New Roman" w:eastAsia="Times New Roman" w:hAnsi="Times New Roman"/>
          <w:sz w:val="13"/>
          <w:szCs w:val="13"/>
          <w:i w:val="1"/>
          <w:iCs w:val="1"/>
          <w:color w:val="auto"/>
        </w:rPr>
        <w:t>Segment Reporting,</w:t>
      </w:r>
      <w:r>
        <w:rPr>
          <w:rFonts w:ascii="Times New Roman" w:cs="Times New Roman" w:eastAsia="Times New Roman" w:hAnsi="Times New Roman"/>
          <w:sz w:val="13"/>
          <w:szCs w:val="13"/>
          <w:color w:val="auto"/>
        </w:rPr>
        <w:t xml:space="preserve"> in the accompanying notes to the consolidated financial statements for further details.</w:t>
      </w:r>
    </w:p>
    <w:p>
      <w:pPr>
        <w:spacing w:after="0" w:line="125"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The Company early adopted this standard for the year ended December 31, 2025 and applied the disclosure requirements on a retrospective basis for all periods presented. The adoption did not have a material impact on the Company’s consolidated financial statements. Refer to Note 13,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the accompanying notes to the consolidated financial statements for the Company’s updated income tax disclosure.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3" w:name="page234"/>
    <w:bookmarkEnd w:id="23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The carrying values of cash, prepaid expenses and other current assets, rent receivable – related party, amounts due from related parties, accounts payable, and accrued expenses and other current liabilities approximate their fair values due to their short-term nature. The carrying value of the Company’s term debt (refer to Note 9, </w:t>
      </w:r>
      <w:r>
        <w:rPr>
          <w:rFonts w:ascii="Times New Roman" w:cs="Times New Roman" w:eastAsia="Times New Roman" w:hAnsi="Times New Roman"/>
          <w:sz w:val="14"/>
          <w:szCs w:val="14"/>
          <w:i w:val="1"/>
          <w:iCs w:val="1"/>
          <w:color w:val="auto"/>
        </w:rPr>
        <w:t>Term Loan)</w:t>
      </w:r>
      <w:r>
        <w:rPr>
          <w:rFonts w:ascii="Times New Roman" w:cs="Times New Roman" w:eastAsia="Times New Roman" w:hAnsi="Times New Roman"/>
          <w:sz w:val="14"/>
          <w:szCs w:val="14"/>
          <w:color w:val="auto"/>
        </w:rPr>
        <w:t xml:space="preserve"> approximates its fair value due to its time to maturity.</w:t>
      </w:r>
    </w:p>
    <w:p>
      <w:pPr>
        <w:spacing w:after="0" w:line="141" w:lineRule="exact"/>
        <w:rPr>
          <w:sz w:val="20"/>
          <w:szCs w:val="20"/>
          <w:color w:val="auto"/>
        </w:rPr>
      </w:pPr>
    </w:p>
    <w:p>
      <w:pPr>
        <w:ind w:left="720" w:right="119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5"/>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Fair Value Measurements as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5"/>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00" w:type="dxa"/>
            <w:vAlign w:val="bottom"/>
            <w:tcBorders>
              <w:right w:val="single" w:sz="8" w:color="CFF0FC"/>
            </w:tcBorders>
            <w:gridSpan w:val="3"/>
            <w:shd w:val="clear" w:color="auto" w:fill="CFF0FC"/>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Borders>
              <w:right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46,443</w:t>
            </w:r>
          </w:p>
        </w:tc>
        <w:tc>
          <w:tcPr>
            <w:tcW w:w="2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46,443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Borders>
              <w:bottom w:val="single" w:sz="8" w:color="CFF0FC"/>
              <w:right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U.S. Treasury bills</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40,694</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40,694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46,443</w:t>
            </w:r>
          </w:p>
        </w:tc>
        <w:tc>
          <w:tcPr>
            <w:tcW w:w="200" w:type="dxa"/>
            <w:vAlign w:val="bottom"/>
            <w:gridSpan w:val="2"/>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40,694</w:t>
            </w:r>
          </w:p>
        </w:tc>
        <w:tc>
          <w:tcPr>
            <w:tcW w:w="2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87,137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3500" w:type="dxa"/>
            <w:vAlign w:val="bottom"/>
            <w:tcBorders>
              <w:right w:val="single" w:sz="8" w:color="CFF0FC"/>
            </w:tcBorders>
            <w:gridSpan w:val="3"/>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rPr>
              <w:t>Liabilities</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CFF0FC"/>
          </w:tcPr>
          <w:p>
            <w:pPr>
              <w:spacing w:after="0" w:line="20" w:lineRule="exact"/>
              <w:rPr>
                <w:sz w:val="1"/>
                <w:szCs w:val="1"/>
                <w:color w:val="auto"/>
              </w:rPr>
            </w:pPr>
          </w:p>
        </w:tc>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Series E preferred stock tranche right liability</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3"/>
              <w:spacing w:after="0" w:line="16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
              <w:spacing w:after="0" w:line="16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60" w:lineRule="exact"/>
              <w:rPr>
                <w:sz w:val="20"/>
                <w:szCs w:val="20"/>
                <w:color w:val="auto"/>
              </w:rPr>
            </w:pPr>
            <w:r>
              <w:rPr>
                <w:rFonts w:ascii="Times New Roman" w:cs="Times New Roman" w:eastAsia="Times New Roman" w:hAnsi="Times New Roman"/>
                <w:sz w:val="14"/>
                <w:szCs w:val="14"/>
                <w:color w:val="auto"/>
              </w:rPr>
              <w:t>2,167</w:t>
            </w:r>
          </w:p>
        </w:tc>
        <w:tc>
          <w:tcPr>
            <w:tcW w:w="2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00" w:type="dxa"/>
            <w:vAlign w:val="bottom"/>
            <w:tcBorders>
              <w:right w:val="single" w:sz="8" w:color="CFF0FC"/>
            </w:tcBorders>
            <w:gridSpan w:val="3"/>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2,167</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gridSpan w:val="5"/>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Fair Value Measurements as of</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5"/>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00" w:type="dxa"/>
            <w:vAlign w:val="bottom"/>
            <w:tcBorders>
              <w:right w:val="single" w:sz="8" w:color="CFF0FC"/>
            </w:tcBorders>
            <w:gridSpan w:val="3"/>
            <w:shd w:val="clear" w:color="auto" w:fill="CFF0FC"/>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Borders>
              <w:right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27,133</w:t>
            </w:r>
          </w:p>
        </w:tc>
        <w:tc>
          <w:tcPr>
            <w:tcW w:w="2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27,133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9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35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27,133</w:t>
            </w:r>
          </w:p>
        </w:tc>
        <w:tc>
          <w:tcPr>
            <w:tcW w:w="200" w:type="dxa"/>
            <w:vAlign w:val="bottom"/>
            <w:gridSpan w:val="2"/>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27,133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-1287780</wp:posOffset>
            </wp:positionV>
            <wp:extent cx="4699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-1287780</wp:posOffset>
            </wp:positionV>
            <wp:extent cx="4699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-1287780</wp:posOffset>
            </wp:positionV>
            <wp:extent cx="4699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-827405</wp:posOffset>
            </wp:positionV>
            <wp:extent cx="4699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-814070</wp:posOffset>
            </wp:positionV>
            <wp:extent cx="4699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-827405</wp:posOffset>
            </wp:positionV>
            <wp:extent cx="4699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-814070</wp:posOffset>
            </wp:positionV>
            <wp:extent cx="4699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-827405</wp:posOffset>
            </wp:positionV>
            <wp:extent cx="4699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-814070</wp:posOffset>
            </wp:positionV>
            <wp:extent cx="4699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-132715</wp:posOffset>
            </wp:positionV>
            <wp:extent cx="4699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-132715</wp:posOffset>
            </wp:positionV>
            <wp:extent cx="4699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-132715</wp:posOffset>
            </wp:positionV>
            <wp:extent cx="4699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1339" w:firstLine="343"/>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2024 and 2025, there were no transfers among the Level 1, Level 2 and Level 3 categories.</w:t>
      </w:r>
    </w:p>
    <w:p>
      <w:pPr>
        <w:spacing w:after="0" w:line="125" w:lineRule="exact"/>
        <w:rPr>
          <w:sz w:val="20"/>
          <w:szCs w:val="20"/>
          <w:color w:val="auto"/>
        </w:rPr>
      </w:pPr>
    </w:p>
    <w:p>
      <w:pPr>
        <w:ind w:left="720" w:right="959" w:firstLine="343"/>
        <w:spacing w:after="0" w:line="283" w:lineRule="auto"/>
        <w:rPr>
          <w:sz w:val="20"/>
          <w:szCs w:val="20"/>
          <w:color w:val="auto"/>
        </w:rPr>
      </w:pPr>
      <w:r>
        <w:rPr>
          <w:rFonts w:ascii="Times New Roman" w:cs="Times New Roman" w:eastAsia="Times New Roman" w:hAnsi="Times New Roman"/>
          <w:sz w:val="14"/>
          <w:szCs w:val="14"/>
          <w:color w:val="auto"/>
        </w:rPr>
        <w:t>The Company’s cash equivalents are classified within Level 1 of the fair value hierarchy as they are invested in highly liquid money market funds which are based on a quoted price with a net asset value of $1 per share.</w:t>
      </w:r>
    </w:p>
    <w:p>
      <w:pPr>
        <w:spacing w:after="0" w:line="125"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The fair values of the Company’s marketable securities are based on prices obtained from independent pricing sources. Consistent with the fair value hierarchy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marketable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the gross unrealized gains and losses of the Company’s marketable securities (in thousands):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tcBorders>
              <w:bottom w:val="single" w:sz="8" w:color="auto"/>
            </w:tcBorders>
          </w:tcPr>
          <w:p>
            <w:pPr>
              <w:spacing w:after="0"/>
              <w:rPr>
                <w:sz w:val="11"/>
                <w:szCs w:val="11"/>
                <w:color w:val="auto"/>
              </w:rPr>
            </w:pPr>
          </w:p>
        </w:tc>
      </w:tr>
      <w:tr>
        <w:trPr>
          <w:trHeight w:val="87"/>
        </w:trPr>
        <w:tc>
          <w:tcPr>
            <w:tcW w:w="2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center"/>
              <w:ind w:right="101"/>
              <w:spacing w:after="0" w:line="8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jc w:val="center"/>
              <w:ind w:right="82"/>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tcPr>
          <w:p>
            <w:pPr>
              <w:jc w:val="center"/>
              <w:ind w:right="360"/>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640" w:type="dxa"/>
            <w:vAlign w:val="bottom"/>
          </w:tcPr>
          <w:p>
            <w:pPr>
              <w:jc w:val="center"/>
              <w:ind w:right="181"/>
              <w:spacing w:after="0" w:line="87"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35"/>
        </w:trPr>
        <w:tc>
          <w:tcPr>
            <w:tcW w:w="2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4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59"/>
        </w:trPr>
        <w:tc>
          <w:tcPr>
            <w:tcW w:w="23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Marketable securities:</w:t>
            </w:r>
          </w:p>
        </w:tc>
        <w:tc>
          <w:tcPr>
            <w:tcW w:w="1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r>
      <w:tr>
        <w:trPr>
          <w:trHeight w:val="18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Treasury bills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40,673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4"/>
                <w:szCs w:val="14"/>
                <w:color w:val="auto"/>
              </w:rPr>
              <w:t>40,694</w:t>
            </w:r>
          </w:p>
        </w:tc>
      </w:tr>
    </w:tbl>
    <w:p>
      <w:pPr>
        <w:spacing w:after="0" w:line="160"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2024, none of the Company’s marketable securities were in an unrealized loss position. The Company held no marketable securities as of December 31, 2025.</w:t>
      </w:r>
    </w:p>
    <w:p>
      <w:pPr>
        <w:spacing w:after="0" w:line="125"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2024 and 2025, there was no allowance for credit losses recorded on the Company’s consolidated balance sheets.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4" w:name="page235"/>
    <w:bookmarkEnd w:id="23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Valuation of Preferred Stock Tranche Right Liability</w:t>
      </w:r>
    </w:p>
    <w:p>
      <w:pPr>
        <w:spacing w:after="0" w:line="93"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The preferred stock tranche right liability represents the fair value of an obligation to issue shares of Series E convertible preferred stock (refer to Note 6, </w:t>
      </w:r>
      <w:r>
        <w:rPr>
          <w:rFonts w:ascii="Times New Roman" w:cs="Times New Roman" w:eastAsia="Times New Roman" w:hAnsi="Times New Roman"/>
          <w:sz w:val="14"/>
          <w:szCs w:val="14"/>
          <w:i w:val="1"/>
          <w:iCs w:val="1"/>
          <w:color w:val="auto"/>
        </w:rPr>
        <w:t>Convertible Preferred Stock</w:t>
      </w:r>
      <w:r>
        <w:rPr>
          <w:rFonts w:ascii="Times New Roman" w:cs="Times New Roman" w:eastAsia="Times New Roman" w:hAnsi="Times New Roman"/>
          <w:sz w:val="14"/>
          <w:szCs w:val="14"/>
          <w:color w:val="auto"/>
        </w:rPr>
        <w:t>). The fair value of the preferred stock tranche right liability was determined based on significant inputs not observable in the market, which represented a Level 3 measurement within the fair value hierarchy.</w:t>
      </w:r>
    </w:p>
    <w:p>
      <w:pPr>
        <w:spacing w:after="0" w:line="141"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The Company estimated the fair value of the preferred stock tranche right liability at the time of issuance and subsequently remeasured its fair value at each reporting period and prior to settlement. The initial fair value of the preferred stock tranche right liability was determined using a contingent forward model, which considered as inputs the risk-free interest rate of 5.2%, and estimated time to tranche settlement of 8.4 months. The risk-free rate was determined by reference to the U.S. Treasury yield curve for time periods approximately equal to the remaining estimated time to the tranche settlement.</w:t>
      </w:r>
    </w:p>
    <w:p>
      <w:pPr>
        <w:spacing w:after="0" w:line="144"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As of December 31, 2024, in light of the near-term completion of the Series E convertible preferred stock second closing in January 2025 (refer to Note 6, </w:t>
      </w:r>
      <w:r>
        <w:rPr>
          <w:rFonts w:ascii="Times New Roman" w:cs="Times New Roman" w:eastAsia="Times New Roman" w:hAnsi="Times New Roman"/>
          <w:sz w:val="14"/>
          <w:szCs w:val="14"/>
          <w:i w:val="1"/>
          <w:iCs w:val="1"/>
          <w:color w:val="auto"/>
        </w:rPr>
        <w:t>Convertible Preferred Stock</w:t>
      </w:r>
      <w:r>
        <w:rPr>
          <w:rFonts w:ascii="Times New Roman" w:cs="Times New Roman" w:eastAsia="Times New Roman" w:hAnsi="Times New Roman"/>
          <w:sz w:val="14"/>
          <w:szCs w:val="14"/>
          <w:color w:val="auto"/>
        </w:rPr>
        <w:t>), the fair value of the preferred stock tranche right liability was determined based on the difference between the estimated fair value of the Series E convertible preferred stock, or $6.43 per share, and its contractual purchase price, or $6.23 per share. The Company estimated the fair value per share of the underlying Series E convertible preferred stock by taking into consideration the results obtained from third-party valuations which included the most recent sales of its preferred stock, market conditions and trends since the last preferred stock issuance.</w:t>
      </w:r>
    </w:p>
    <w:p>
      <w:pPr>
        <w:spacing w:after="0" w:line="143"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changes in the aggregate fair value of the Company’s Series E preferred stock tranche right liability (in thousands):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Fair value of Series E preferred stock tranche right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liability at issuance</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shd w:val="clear" w:color="auto" w:fill="CFF0FC"/>
          </w:tcPr>
          <w:p>
            <w:pPr>
              <w:ind w:left="140"/>
              <w:spacing w:after="0" w:line="153" w:lineRule="exact"/>
              <w:rPr>
                <w:sz w:val="20"/>
                <w:szCs w:val="20"/>
                <w:color w:val="auto"/>
              </w:rPr>
            </w:pPr>
            <w:r>
              <w:rPr>
                <w:rFonts w:ascii="Times New Roman" w:cs="Times New Roman" w:eastAsia="Times New Roman" w:hAnsi="Times New Roman"/>
                <w:sz w:val="14"/>
                <w:szCs w:val="14"/>
                <w:color w:val="auto"/>
              </w:rPr>
              <w:t>Changes in fair value of Series E preferred stock</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FF0FC"/>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tranche right liability</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gridSpan w:val="2"/>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60" w:type="dxa"/>
            <w:vAlign w:val="bottom"/>
          </w:tcPr>
          <w:p>
            <w:pPr>
              <w:spacing w:after="0"/>
              <w:rPr>
                <w:sz w:val="13"/>
                <w:szCs w:val="13"/>
                <w:color w:val="auto"/>
              </w:rPr>
            </w:pPr>
          </w:p>
        </w:tc>
        <w:tc>
          <w:tcPr>
            <w:tcW w:w="640" w:type="dxa"/>
            <w:vAlign w:val="bottom"/>
            <w:gridSpan w:val="2"/>
          </w:tcPr>
          <w:p>
            <w:pPr>
              <w:jc w:val="right"/>
              <w:ind w:right="2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2,167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4"/>
                <w:szCs w:val="14"/>
                <w:color w:val="auto"/>
              </w:rPr>
              <w:t>Settlement of Series E preferred stock tranche</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right liability</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gridSpan w:val="3"/>
            <w:vMerge w:val="continue"/>
            <w:shd w:val="clear" w:color="auto" w:fill="CFF0FC"/>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60" w:type="dxa"/>
            <w:vAlign w:val="bottom"/>
          </w:tcPr>
          <w:p>
            <w:pPr>
              <w:spacing w:after="0"/>
              <w:rPr>
                <w:sz w:val="13"/>
                <w:szCs w:val="13"/>
                <w:color w:val="auto"/>
              </w:rPr>
            </w:pPr>
          </w:p>
        </w:tc>
        <w:tc>
          <w:tcPr>
            <w:tcW w:w="640" w:type="dxa"/>
            <w:vAlign w:val="bottom"/>
            <w:gridSpan w:val="2"/>
          </w:tcPr>
          <w:p>
            <w:pPr>
              <w:jc w:val="right"/>
              <w:ind w:right="2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jc w:val="right"/>
              <w:ind w:right="26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800" w:type="dxa"/>
            <w:vAlign w:val="bottom"/>
            <w:tcBorders>
              <w:bottom w:val="single" w:sz="8" w:color="auto"/>
            </w:tcBorders>
            <w:gridSpan w:val="3"/>
          </w:tcPr>
          <w:p>
            <w:pPr>
              <w:jc w:val="right"/>
              <w:ind w:right="3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Laboratory equipment</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13,728</w:t>
            </w:r>
          </w:p>
        </w:tc>
        <w:tc>
          <w:tcPr>
            <w:tcW w:w="420" w:type="dxa"/>
            <w:vAlign w:val="bottom"/>
            <w:gridSpan w:val="2"/>
            <w:shd w:val="clear" w:color="auto" w:fill="CFF0FC"/>
          </w:tcPr>
          <w:p>
            <w:pPr>
              <w:jc w:val="right"/>
              <w:ind w:right="2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w w:val="98"/>
              </w:rPr>
              <w:t>13,830</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tcPr>
          <w:p>
            <w:pPr>
              <w:spacing w:after="0"/>
              <w:rPr>
                <w:sz w:val="14"/>
                <w:szCs w:val="14"/>
                <w:color w:val="auto"/>
              </w:rPr>
            </w:pP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4,498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4,563</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1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60" w:type="dxa"/>
            <w:vAlign w:val="bottom"/>
          </w:tcPr>
          <w:p>
            <w:pPr>
              <w:spacing w:after="0"/>
              <w:rPr>
                <w:sz w:val="14"/>
                <w:szCs w:val="14"/>
                <w:color w:val="auto"/>
              </w:rPr>
            </w:pP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 not yet in service</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2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Property and equipment</w:t>
            </w:r>
          </w:p>
        </w:tc>
        <w:tc>
          <w:tcPr>
            <w:tcW w:w="160" w:type="dxa"/>
            <w:vAlign w:val="bottom"/>
          </w:tcPr>
          <w:p>
            <w:pPr>
              <w:spacing w:after="0"/>
              <w:rPr>
                <w:sz w:val="13"/>
                <w:szCs w:val="13"/>
                <w:color w:val="auto"/>
              </w:rPr>
            </w:pPr>
          </w:p>
        </w:tc>
        <w:tc>
          <w:tcPr>
            <w:tcW w:w="640" w:type="dxa"/>
            <w:vAlign w:val="bottom"/>
            <w:gridSpan w:val="2"/>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19,318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w w:val="98"/>
              </w:rPr>
              <w:t>19,528</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(12,813)</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2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8,864</w:t>
            </w:r>
          </w:p>
        </w:tc>
        <w:tc>
          <w:tcPr>
            <w:tcW w:w="420" w:type="dxa"/>
            <w:vAlign w:val="bottom"/>
            <w:gridSpan w:val="2"/>
          </w:tcPr>
          <w:p>
            <w:pPr>
              <w:jc w:val="right"/>
              <w:ind w:right="2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6,715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-353060</wp:posOffset>
            </wp:positionV>
            <wp:extent cx="5334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-132715</wp:posOffset>
            </wp:positionV>
            <wp:extent cx="5334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ind w:left="720" w:right="799" w:firstLine="343"/>
        <w:spacing w:after="0" w:line="323" w:lineRule="auto"/>
        <w:rPr>
          <w:sz w:val="20"/>
          <w:szCs w:val="20"/>
          <w:color w:val="auto"/>
        </w:rPr>
      </w:pPr>
      <w:r>
        <w:rPr>
          <w:rFonts w:ascii="Times New Roman" w:cs="Times New Roman" w:eastAsia="Times New Roman" w:hAnsi="Times New Roman"/>
          <w:sz w:val="13"/>
          <w:szCs w:val="13"/>
          <w:color w:val="auto"/>
        </w:rPr>
        <w:t>Included in laboratory equipment are finance lease right-of-use assets with a cost basis of $2.9 million as of December 31, 2024 and 2025, and accumulated amortization expense of $0.1 million and $0.7 million as of December 31, 2024 and 2025, respectively.</w:t>
      </w:r>
    </w:p>
    <w:p>
      <w:pPr>
        <w:spacing w:after="0" w:line="102"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2024 and 2025, depreciation and amortization expense amounted to $2.1 million and $2.5 million, respectively, which includes $0.1 million and $0.6 million of finance lease right-of-use asset amortization,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5" w:name="page236"/>
    <w:bookmarkEnd w:id="23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accrued expenses and other current liabilities (in thousands):</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60" w:type="dxa"/>
            <w:vAlign w:val="bottom"/>
            <w:tcBorders>
              <w:bottom w:val="single" w:sz="8" w:color="auto"/>
            </w:tcBorders>
          </w:tcPr>
          <w:p>
            <w:pPr>
              <w:spacing w:after="0"/>
              <w:rPr>
                <w:sz w:val="11"/>
                <w:szCs w:val="11"/>
                <w:color w:val="auto"/>
              </w:rPr>
            </w:pPr>
          </w:p>
        </w:tc>
      </w:tr>
      <w:tr>
        <w:trPr>
          <w:trHeight w:val="106"/>
        </w:trPr>
        <w:tc>
          <w:tcPr>
            <w:tcW w:w="3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59"/>
        </w:trPr>
        <w:tc>
          <w:tcPr>
            <w:tcW w:w="36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Accrued employee compensation and benefits</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6,349</w:t>
            </w:r>
          </w:p>
        </w:tc>
        <w:tc>
          <w:tcPr>
            <w:tcW w:w="3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9,079</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Accrued research and development expenses</w:t>
            </w:r>
          </w:p>
        </w:tc>
        <w:tc>
          <w:tcPr>
            <w:tcW w:w="160" w:type="dxa"/>
            <w:vAlign w:val="bottom"/>
          </w:tcPr>
          <w:p>
            <w:pPr>
              <w:spacing w:after="0"/>
              <w:rPr>
                <w:sz w:val="14"/>
                <w:szCs w:val="14"/>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6,551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w:t>
            </w:r>
          </w:p>
        </w:tc>
      </w:tr>
      <w:tr>
        <w:trPr>
          <w:trHeight w:val="168"/>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159"/>
        </w:trPr>
        <w:tc>
          <w:tcPr>
            <w:tcW w:w="362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13,522</w:t>
            </w:r>
          </w:p>
        </w:tc>
        <w:tc>
          <w:tcPr>
            <w:tcW w:w="3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18,630</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-132715</wp:posOffset>
            </wp:positionV>
            <wp:extent cx="5334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6. Convertible Preferred Stock</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Prior to January 1, 2024, the Company issued Series A convertible preferred stock, (the “Series A Preferred Stock”), Series B convertible preferred stock (the “Series B Preferred Stock”), Series C convertible preferred stock (the “Series C Preferred Stock”) and Series D convertible preferred stock (the “Series D Preferred Stock”) totaling 30,014,863 shares and aggregate gross proceeds of $361.6 million. Aggregate issuance costs incurred were $1.1 million.</w:t>
      </w:r>
    </w:p>
    <w:p>
      <w:pPr>
        <w:spacing w:after="0" w:line="141" w:lineRule="exact"/>
        <w:rPr>
          <w:sz w:val="20"/>
          <w:szCs w:val="20"/>
          <w:color w:val="auto"/>
        </w:rPr>
      </w:pPr>
    </w:p>
    <w:p>
      <w:pPr>
        <w:jc w:val="both"/>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On February 29, 2024, the Company entered into the Series E Preferred Stock Purchase Agreement with the purchaser’s party thereto (the “Series E Agreement”). On the initial closing (the “Series E Initial Closing”), the Company issued to the purchasers an aggregate of 12,445,024 shares of Series E convertible preferred stock (the “Series E Preferred Stock”) at a purchase price of $6.23 per share for gross proceeds of $77.5 million. The gross proceeds were offset by $0.5 million of issuance costs.</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In connection with entering into the Series E Agreement, the Company was also obligated to sell up to 10,836,539 additional shares (the “Series E Second Closing Shares”) of Series E Preferred Stock to certain purchasers at the same purchase price as the Series E Initial Closing. The sale of Series E Second Closing Shares (the “Series E Second Closing”) was contingent upon the election and approval of the Company’s Board of Directors, and may have occurred at any time from October 1, 2024 through December 31, 2025. In addition, if elected by a purchaser, the Company was obligated to sell Series E Second Closing Shares to such purchaser prior to the Series E Second Closing.</w:t>
      </w:r>
    </w:p>
    <w:p>
      <w:pPr>
        <w:spacing w:after="0" w:line="14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The Company concluded that the Series E preferred stock tranche right met the definition of a freestanding instrument as the Series E preferred stock tranche right was legally detachable and separately exercisable from the Series E Preferred Stock. Since the Series E preferred stock tranche right liability was subject to fair value accounting, the Company allocated the proceeds to the liability based on the fair value at the date of issuance of $1.2 million, with the remaining proceeds of $75.8 million being allocated to the Series E Preferred Stock. Refer to Note 3,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further details regarding the fair value of the Series E preferred stock tranche right liability.</w:t>
      </w:r>
    </w:p>
    <w:p>
      <w:pPr>
        <w:spacing w:after="0" w:line="143" w:lineRule="exact"/>
        <w:rPr>
          <w:sz w:val="20"/>
          <w:szCs w:val="20"/>
          <w:color w:val="auto"/>
        </w:rPr>
      </w:pPr>
    </w:p>
    <w:p>
      <w:pPr>
        <w:ind w:left="720" w:right="819" w:firstLine="343"/>
        <w:spacing w:after="0" w:line="256" w:lineRule="auto"/>
        <w:rPr>
          <w:sz w:val="20"/>
          <w:szCs w:val="20"/>
          <w:color w:val="auto"/>
        </w:rPr>
      </w:pPr>
      <w:r>
        <w:rPr>
          <w:rFonts w:ascii="Times New Roman" w:cs="Times New Roman" w:eastAsia="Times New Roman" w:hAnsi="Times New Roman"/>
          <w:sz w:val="14"/>
          <w:szCs w:val="14"/>
          <w:color w:val="auto"/>
        </w:rPr>
        <w:t>In accordance with the terms of the Company’s certificate of incorporation, the Series E Preferred Stock issued in connection with the Series E Initial Closing triggered adjustments to the respective conversion prices of the Series A Preferred Stock, Series B Preferred Stock, Series C Preferred Stock and Series D Preferred Stock (as described further below). As a result, the Company recorded an increase to additional paid-in capital and a deemed dividend of $9.0 million which is equal to the change in fair value of the Series A Preferred Stock, Series B Preferred Stock, Series C Preferred Stock and Series D Preferred Stock due to the triggering of the down-round feature. As the Company did not have retained earnings at the time of the Series E Initial Closing, the deemed dividend was charged against additional paid-in capital resulting in no net impact to additional paid-in capital.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6" w:name="page237"/>
    <w:bookmarkEnd w:id="23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99" w:firstLine="343"/>
        <w:spacing w:after="0" w:line="255" w:lineRule="auto"/>
        <w:rPr>
          <w:sz w:val="20"/>
          <w:szCs w:val="20"/>
          <w:color w:val="auto"/>
        </w:rPr>
      </w:pPr>
      <w:r>
        <w:rPr>
          <w:rFonts w:ascii="Times New Roman" w:cs="Times New Roman" w:eastAsia="Times New Roman" w:hAnsi="Times New Roman"/>
          <w:sz w:val="14"/>
          <w:szCs w:val="14"/>
          <w:color w:val="auto"/>
        </w:rPr>
        <w:t>The fair value of each preferred share class was determined using a “with-and-without” model under which the equity value of the Company was allocated to the various classes of equity using the option-pricing method based on the rights and preferences of the convertible preferred stock, both before and after the adjustment to the respective conversion price. Under the option-pricing method, equity value is allocated across each equity class by creating a series of call options with exercise prices based on the liquidation preferences and conversion terms of each equity class. The values of the preferred and common stock are inferred by analyzing these options. The following table summarizes the significant Level 3 unobservable inputs used to estimate the fair value of the Series A Preferred Stock, Series B Preferred Stock, Series C Preferred Stock and Series D Preferred Stock at the date of the Series E Initial Closing:</w:t>
      </w:r>
    </w:p>
    <w:p>
      <w:pPr>
        <w:spacing w:after="0" w:line="225"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4360" w:type="dxa"/>
            <w:vAlign w:val="bottom"/>
          </w:tcPr>
          <w:p>
            <w:pPr>
              <w:spacing w:after="0"/>
              <w:rPr>
                <w:sz w:val="11"/>
                <w:szCs w:val="11"/>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February 29, 2024</w:t>
            </w:r>
          </w:p>
        </w:tc>
      </w:tr>
      <w:tr>
        <w:trPr>
          <w:trHeight w:val="159"/>
        </w:trPr>
        <w:tc>
          <w:tcPr>
            <w:tcW w:w="4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97.0%</w:t>
            </w:r>
          </w:p>
        </w:tc>
      </w:tr>
      <w:tr>
        <w:trPr>
          <w:trHeight w:val="16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68"/>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1"/>
              </w:rPr>
              <w:t>2.0</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4.6%</w:t>
            </w:r>
          </w:p>
        </w:tc>
      </w:tr>
    </w:tbl>
    <w:p>
      <w:pPr>
        <w:spacing w:after="0" w:line="160"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On January 22, 2025, the Company completed the Series E Second Closing and issued to the purchasers an aggregate of 10,836,539 shares of Series E Preferred Stock at a purchase price of $6.23 per share for gross proceeds of $67.5 million. The Series E Preferred Stock was recorded at its fair value of $69.6 million which included the proceeds and the settlement of the preferred stock tranche right liability of $2.2 million, net of issuance costs of $0.1 million.</w:t>
      </w:r>
    </w:p>
    <w:p>
      <w:pPr>
        <w:spacing w:after="0" w:line="141"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Upon the issuance of each series of convertible preferred stock, the Company assessed the embedded conversion and liquidation features of the securities and determined that the Company was not required to separately account for these features.</w:t>
      </w:r>
    </w:p>
    <w:p>
      <w:pPr>
        <w:spacing w:after="0" w:line="125" w:lineRule="exact"/>
        <w:rPr>
          <w:sz w:val="20"/>
          <w:szCs w:val="20"/>
          <w:color w:val="auto"/>
        </w:rPr>
      </w:pPr>
    </w:p>
    <w:p>
      <w:pPr>
        <w:ind w:left="720" w:right="1319" w:firstLine="343"/>
        <w:spacing w:after="0" w:line="283" w:lineRule="auto"/>
        <w:rPr>
          <w:sz w:val="20"/>
          <w:szCs w:val="20"/>
          <w:color w:val="auto"/>
        </w:rPr>
      </w:pPr>
      <w:r>
        <w:rPr>
          <w:rFonts w:ascii="Times New Roman" w:cs="Times New Roman" w:eastAsia="Times New Roman" w:hAnsi="Times New Roman"/>
          <w:sz w:val="14"/>
          <w:szCs w:val="14"/>
          <w:color w:val="auto"/>
        </w:rPr>
        <w:t>Convertible preferred stock consisted of the following at December 31, 2024 (in thousands, except share and per share amounts):</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1580" w:type="dxa"/>
            <w:vAlign w:val="bottom"/>
          </w:tcPr>
          <w:p>
            <w:pPr>
              <w:spacing w:after="0"/>
              <w:rPr>
                <w:sz w:val="11"/>
                <w:szCs w:val="11"/>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Original</w:t>
            </w:r>
          </w:p>
        </w:tc>
        <w:tc>
          <w:tcPr>
            <w:tcW w:w="80" w:type="dxa"/>
            <w:vAlign w:val="bottom"/>
          </w:tcPr>
          <w:p>
            <w:pPr>
              <w:spacing w:after="0"/>
              <w:rPr>
                <w:sz w:val="11"/>
                <w:szCs w:val="11"/>
                <w:color w:val="auto"/>
              </w:rPr>
            </w:pP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ind w:left="180"/>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80" w:type="dxa"/>
            <w:vAlign w:val="bottom"/>
          </w:tcPr>
          <w:p>
            <w:pPr>
              <w:spacing w:after="0"/>
              <w:rPr>
                <w:sz w:val="10"/>
                <w:szCs w:val="10"/>
                <w:color w:val="auto"/>
              </w:rPr>
            </w:pPr>
          </w:p>
        </w:tc>
        <w:tc>
          <w:tcPr>
            <w:tcW w:w="940" w:type="dxa"/>
            <w:vAlign w:val="bottom"/>
          </w:tcPr>
          <w:p>
            <w:pPr>
              <w:jc w:val="center"/>
              <w:ind w:right="61"/>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right"/>
              <w:ind w:right="316"/>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900" w:type="dxa"/>
            <w:vAlign w:val="bottom"/>
            <w:gridSpan w:val="2"/>
          </w:tcPr>
          <w:p>
            <w:pPr>
              <w:jc w:val="center"/>
              <w:ind w:right="34"/>
              <w:spacing w:after="0" w:line="116" w:lineRule="exact"/>
              <w:rPr>
                <w:sz w:val="20"/>
                <w:szCs w:val="20"/>
                <w:color w:val="auto"/>
              </w:rPr>
            </w:pPr>
            <w:r>
              <w:rPr>
                <w:rFonts w:ascii="Times New Roman" w:cs="Times New Roman" w:eastAsia="Times New Roman" w:hAnsi="Times New Roman"/>
                <w:sz w:val="11"/>
                <w:szCs w:val="11"/>
                <w:b w:val="1"/>
                <w:bCs w:val="1"/>
                <w:color w:val="auto"/>
              </w:rPr>
              <w:t>Issuance Price</w:t>
            </w:r>
          </w:p>
        </w:tc>
        <w:tc>
          <w:tcPr>
            <w:tcW w:w="80" w:type="dxa"/>
            <w:vAlign w:val="bottom"/>
          </w:tcPr>
          <w:p>
            <w:pPr>
              <w:spacing w:after="0"/>
              <w:rPr>
                <w:sz w:val="10"/>
                <w:szCs w:val="10"/>
                <w:color w:val="auto"/>
              </w:rPr>
            </w:pPr>
          </w:p>
        </w:tc>
        <w:tc>
          <w:tcPr>
            <w:tcW w:w="940" w:type="dxa"/>
            <w:vAlign w:val="bottom"/>
          </w:tcPr>
          <w:p>
            <w:pPr>
              <w:jc w:val="center"/>
              <w:ind w:right="61"/>
              <w:spacing w:after="0" w:line="116" w:lineRule="exact"/>
              <w:rPr>
                <w:sz w:val="20"/>
                <w:szCs w:val="20"/>
                <w:color w:val="auto"/>
              </w:rPr>
            </w:pPr>
            <w:r>
              <w:rPr>
                <w:rFonts w:ascii="Times New Roman" w:cs="Times New Roman" w:eastAsia="Times New Roman" w:hAnsi="Times New Roman"/>
                <w:sz w:val="11"/>
                <w:szCs w:val="11"/>
                <w:b w:val="1"/>
                <w:bCs w:val="1"/>
                <w:color w:val="auto"/>
                <w:w w:val="99"/>
              </w:rPr>
              <w:t>Issued and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Issuable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Upon Conversion</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60" w:type="dxa"/>
            <w:vAlign w:val="bottom"/>
            <w:shd w:val="clear" w:color="auto" w:fill="CFF0FC"/>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7.75</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14,914</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18,588</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4,658,112</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14.06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4,658,112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101,110</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6,261,931</w:t>
            </w:r>
          </w:p>
        </w:tc>
        <w:tc>
          <w:tcPr>
            <w:tcW w:w="0" w:type="dxa"/>
            <w:vAlign w:val="bottom"/>
          </w:tcPr>
          <w:p>
            <w:pPr>
              <w:spacing w:after="0"/>
              <w:rPr>
                <w:sz w:val="1"/>
                <w:szCs w:val="1"/>
                <w:color w:val="auto"/>
              </w:rPr>
            </w:pPr>
          </w:p>
        </w:tc>
      </w:tr>
      <w:tr>
        <w:trPr>
          <w:trHeight w:val="16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7,384,710</w:t>
            </w:r>
          </w:p>
        </w:tc>
        <w:tc>
          <w:tcPr>
            <w:tcW w:w="2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14.49</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7,384,710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106,674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141,031</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10,064,421</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D</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16,537,979</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10.76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16,537,979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177,581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209,508</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19,497,429</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23,281,563</w:t>
            </w:r>
          </w:p>
        </w:tc>
        <w:tc>
          <w:tcPr>
            <w:tcW w:w="220" w:type="dxa"/>
            <w:vAlign w:val="bottom"/>
            <w:tcBorders>
              <w:bottom w:val="single" w:sz="8" w:color="CFF0FC"/>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12,445,024</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75,818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80,200</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12,445,024</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960" w:type="dxa"/>
            <w:vAlign w:val="bottom"/>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53,296,426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42,459,887</w:t>
            </w:r>
          </w:p>
        </w:tc>
        <w:tc>
          <w:tcPr>
            <w:tcW w:w="2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440,375</w:t>
            </w:r>
          </w:p>
        </w:tc>
        <w:tc>
          <w:tcPr>
            <w:tcW w:w="2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550,437</w:t>
            </w: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49,812,019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-132715</wp:posOffset>
            </wp:positionV>
            <wp:extent cx="6667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-132715</wp:posOffset>
            </wp:positionV>
            <wp:extent cx="6032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-132715</wp:posOffset>
            </wp:positionV>
            <wp:extent cx="6032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-132715</wp:posOffset>
            </wp:positionV>
            <wp:extent cx="469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1319" w:firstLine="343"/>
        <w:spacing w:after="0" w:line="283" w:lineRule="auto"/>
        <w:rPr>
          <w:sz w:val="20"/>
          <w:szCs w:val="20"/>
          <w:color w:val="auto"/>
        </w:rPr>
      </w:pPr>
      <w:r>
        <w:rPr>
          <w:rFonts w:ascii="Times New Roman" w:cs="Times New Roman" w:eastAsia="Times New Roman" w:hAnsi="Times New Roman"/>
          <w:sz w:val="14"/>
          <w:szCs w:val="14"/>
          <w:color w:val="auto"/>
        </w:rPr>
        <w:t>Convertible preferred stock consisted of the following at December 31, 2025 (in thousands, except share and per share amounts):</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Original</w:t>
            </w:r>
          </w:p>
        </w:tc>
        <w:tc>
          <w:tcPr>
            <w:tcW w:w="80" w:type="dxa"/>
            <w:vAlign w:val="bottom"/>
          </w:tcPr>
          <w:p>
            <w:pPr>
              <w:spacing w:after="0"/>
              <w:rPr>
                <w:sz w:val="10"/>
                <w:szCs w:val="10"/>
                <w:color w:val="auto"/>
              </w:rPr>
            </w:pP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ind w:left="180"/>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80" w:type="dxa"/>
            <w:vAlign w:val="bottom"/>
          </w:tcPr>
          <w:p>
            <w:pPr>
              <w:spacing w:after="0"/>
              <w:rPr>
                <w:sz w:val="10"/>
                <w:szCs w:val="10"/>
                <w:color w:val="auto"/>
              </w:rPr>
            </w:pPr>
          </w:p>
        </w:tc>
        <w:tc>
          <w:tcPr>
            <w:tcW w:w="940" w:type="dxa"/>
            <w:vAlign w:val="bottom"/>
          </w:tcPr>
          <w:p>
            <w:pPr>
              <w:jc w:val="center"/>
              <w:ind w:right="61"/>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right"/>
              <w:ind w:right="316"/>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900" w:type="dxa"/>
            <w:vAlign w:val="bottom"/>
            <w:gridSpan w:val="2"/>
          </w:tcPr>
          <w:p>
            <w:pPr>
              <w:jc w:val="center"/>
              <w:ind w:right="34"/>
              <w:spacing w:after="0" w:line="116" w:lineRule="exact"/>
              <w:rPr>
                <w:sz w:val="20"/>
                <w:szCs w:val="20"/>
                <w:color w:val="auto"/>
              </w:rPr>
            </w:pPr>
            <w:r>
              <w:rPr>
                <w:rFonts w:ascii="Times New Roman" w:cs="Times New Roman" w:eastAsia="Times New Roman" w:hAnsi="Times New Roman"/>
                <w:sz w:val="11"/>
                <w:szCs w:val="11"/>
                <w:b w:val="1"/>
                <w:bCs w:val="1"/>
                <w:color w:val="auto"/>
              </w:rPr>
              <w:t>Issuance Price</w:t>
            </w:r>
          </w:p>
        </w:tc>
        <w:tc>
          <w:tcPr>
            <w:tcW w:w="80" w:type="dxa"/>
            <w:vAlign w:val="bottom"/>
          </w:tcPr>
          <w:p>
            <w:pPr>
              <w:spacing w:after="0"/>
              <w:rPr>
                <w:sz w:val="10"/>
                <w:szCs w:val="10"/>
                <w:color w:val="auto"/>
              </w:rPr>
            </w:pPr>
          </w:p>
        </w:tc>
        <w:tc>
          <w:tcPr>
            <w:tcW w:w="940" w:type="dxa"/>
            <w:vAlign w:val="bottom"/>
          </w:tcPr>
          <w:p>
            <w:pPr>
              <w:jc w:val="center"/>
              <w:ind w:right="61"/>
              <w:spacing w:after="0" w:line="116" w:lineRule="exact"/>
              <w:rPr>
                <w:sz w:val="20"/>
                <w:szCs w:val="20"/>
                <w:color w:val="auto"/>
              </w:rPr>
            </w:pPr>
            <w:r>
              <w:rPr>
                <w:rFonts w:ascii="Times New Roman" w:cs="Times New Roman" w:eastAsia="Times New Roman" w:hAnsi="Times New Roman"/>
                <w:sz w:val="11"/>
                <w:szCs w:val="11"/>
                <w:b w:val="1"/>
                <w:bCs w:val="1"/>
                <w:color w:val="auto"/>
                <w:w w:val="99"/>
              </w:rPr>
              <w:t>Issued and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Issuable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Upon Conversion</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60" w:type="dxa"/>
            <w:vAlign w:val="bottom"/>
            <w:shd w:val="clear" w:color="auto" w:fill="CFF0FC"/>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7.75</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14,914</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19,477</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4,658,112</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14.06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4,658,112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106,351</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6,261,931</w:t>
            </w:r>
          </w:p>
        </w:tc>
        <w:tc>
          <w:tcPr>
            <w:tcW w:w="0" w:type="dxa"/>
            <w:vAlign w:val="bottom"/>
          </w:tcPr>
          <w:p>
            <w:pPr>
              <w:spacing w:after="0"/>
              <w:rPr>
                <w:sz w:val="1"/>
                <w:szCs w:val="1"/>
                <w:color w:val="auto"/>
              </w:rPr>
            </w:pPr>
          </w:p>
        </w:tc>
      </w:tr>
      <w:tr>
        <w:trPr>
          <w:trHeight w:val="16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7,384,710</w:t>
            </w:r>
          </w:p>
        </w:tc>
        <w:tc>
          <w:tcPr>
            <w:tcW w:w="2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14.49</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7,384,710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106,674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152,175</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10,064,421</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D</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16,537,979</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10.76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16,537,979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177,581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225,956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19,497,429</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23,281,563</w:t>
            </w:r>
          </w:p>
        </w:tc>
        <w:tc>
          <w:tcPr>
            <w:tcW w:w="220" w:type="dxa"/>
            <w:vAlign w:val="bottom"/>
            <w:tcBorders>
              <w:bottom w:val="single" w:sz="8" w:color="CFF0FC"/>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23,281,563</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145,414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155,013</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23,281,563</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960" w:type="dxa"/>
            <w:vAlign w:val="bottom"/>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53,296,426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53,296,426</w:t>
            </w:r>
          </w:p>
        </w:tc>
        <w:tc>
          <w:tcPr>
            <w:tcW w:w="2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509,971</w:t>
            </w:r>
          </w:p>
        </w:tc>
        <w:tc>
          <w:tcPr>
            <w:tcW w:w="2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658,972</w:t>
            </w: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60,648,558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-132715</wp:posOffset>
            </wp:positionV>
            <wp:extent cx="6667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-132715</wp:posOffset>
            </wp:positionV>
            <wp:extent cx="6032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-132715</wp:posOffset>
            </wp:positionV>
            <wp:extent cx="6032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-132715</wp:posOffset>
            </wp:positionV>
            <wp:extent cx="469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rights and preferences of all series of convertible preferred stock at December 31, 2025 are summarized below: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7" w:name="page238"/>
    <w:bookmarkEnd w:id="23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vote, together with the holders of common stock, on all matters submitted to stockholders for a vote. Each preferred stockholder is entitled to a number of votes equal to the number of shares of common stock into which their convertible preferred stock would be convertible at the time of such vote. In addition, the holders of all series of convertible preferred stock are entitled to vote on certain matters as a separate class.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receive cumulative dividends in preference to any dividend on common stock. Holders of Series A Preferred Stock and Series B Preferred Stock are entitled to preferential dividends at the rate per annum of $0.62 and $1.125176, respectively, per share. Holders of Series C Preferred Stock, Series D Preferred Stock and Series E Preferred Stock are entitled to preferential dividends at the rate per annum of 8.0% of the respective original issue price on each share of convertible preferred stock, plus the amount of previously accrued dividends, compounded annually. Dividends are only payable when declared by the Company’s Board of Directors or upon redemption. As of December 31, 2025, the Company has not declared nor paid any dividends.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Cumulative dividends on the convertible preferred stock were as follows (in thousands):</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60" w:type="dxa"/>
            <w:vAlign w:val="bottom"/>
            <w:tcBorders>
              <w:bottom w:val="single" w:sz="8" w:color="auto"/>
            </w:tcBorders>
          </w:tcPr>
          <w:p>
            <w:pPr>
              <w:spacing w:after="0"/>
              <w:rPr>
                <w:sz w:val="11"/>
                <w:szCs w:val="11"/>
                <w:color w:val="auto"/>
              </w:rPr>
            </w:pPr>
          </w:p>
        </w:tc>
      </w:tr>
      <w:tr>
        <w:trPr>
          <w:trHeight w:val="106"/>
        </w:trPr>
        <w:tc>
          <w:tcPr>
            <w:tcW w:w="3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5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59"/>
        </w:trPr>
        <w:tc>
          <w:tcPr>
            <w:tcW w:w="35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16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7,474</w:t>
            </w:r>
          </w:p>
        </w:tc>
        <w:tc>
          <w:tcPr>
            <w:tcW w:w="400" w:type="dxa"/>
            <w:vAlign w:val="bottom"/>
            <w:gridSpan w:val="2"/>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8,363</w:t>
            </w: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35,595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40,836</w:t>
            </w:r>
          </w:p>
        </w:tc>
      </w:tr>
      <w:tr>
        <w:trPr>
          <w:trHeight w:val="168"/>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34,031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45,175</w:t>
            </w: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31,508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47,956</w:t>
            </w:r>
          </w:p>
        </w:tc>
      </w:tr>
      <w:tr>
        <w:trPr>
          <w:trHeight w:val="168"/>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2,691</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10,013</w:t>
            </w:r>
          </w:p>
        </w:tc>
      </w:tr>
      <w:tr>
        <w:trPr>
          <w:trHeight w:val="159"/>
        </w:trPr>
        <w:tc>
          <w:tcPr>
            <w:tcW w:w="35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111,299</w:t>
            </w:r>
          </w:p>
        </w:tc>
        <w:tc>
          <w:tcPr>
            <w:tcW w:w="40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152,343</w:t>
            </w:r>
          </w:p>
        </w:tc>
      </w:tr>
      <w:tr>
        <w:trPr>
          <w:trHeight w:val="20"/>
        </w:trPr>
        <w:tc>
          <w:tcPr>
            <w:tcW w:w="3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-132715</wp:posOffset>
            </wp:positionV>
            <wp:extent cx="12001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0015"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Each share of convertible preferred stock is convertible at any time, at the option of the stockholder into a number of shares of the Company’s common stock determined by dividing the original issue price of the respective series of preferred stock by the conversion price of the respective series of preferred stock in effect at the time of conversion (conversion ratio). The conversion price is subject to certain customary adjustments, including those resulting from the triggering of down-round features during the year ended December 31, 2024 as a result of the issuance of the Series E Preferred Stock in connection with the Series E Initial Closing. As of December 31, 2024 and 2025, the conversion ratio for Series A Preferred Stock was 1.08 to 1, the conversion ratio for Series B Preferred Stock was 1.34 to 1, the conversion ratio for Series C Preferred Stock was 1.36 to 1, the conversion ratio for Series D Preferred Stock was 1.18 to 1, and the conversion ratio for Series E Preferred Stock was 1 to 1.</w:t>
      </w:r>
    </w:p>
    <w:p>
      <w:pPr>
        <w:spacing w:after="0" w:line="145" w:lineRule="exact"/>
        <w:rPr>
          <w:sz w:val="20"/>
          <w:szCs w:val="20"/>
          <w:color w:val="auto"/>
        </w:rPr>
      </w:pPr>
    </w:p>
    <w:p>
      <w:pPr>
        <w:jc w:val="both"/>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Pursuant to the Company’s certificate of incorporation in effect as of December 31, 2025, the shares of all series of convertible preferred stock would automatically convert into shares of the Company’s common stock at the conversion ratio then in effect in the event of (i) an initial public offering of the Company’s common stock at a price of at least $7.4737 per share and resulting in at least $50.0 million in gross proceeds to the Company, or (ii) a vote or written consent of the holders of at least 70% of the then issued and outstanding shares convertible preferred stock, voting on an as-converted basis and together as a single class.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3"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The holders of all series of convertible preferred stock do not have the option to demand redemption except in the case of a liquidation or Deemed Liquidation Event (defined below), nor does the Company have the right to call the shares.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winding-up of the Company, or in a Deemed Liquidation Event, the holders of convertible preferred stock then outstanding are entitled to be paid out of the assets of the Company available for distribution to its stockholders before any payment shall be made to holders of common stock in an amount per share equal to the applicable original issue price, plus all accrued but unpaid dividends (the “Preference Amount”). The Preference Amounts are paid first to holders of Series E Preferred Stock, then Series D Preferred Stock, then Series C Preferred Stock, then Series B Preferred Stock, and then Series A Preferred Stock.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8" w:name="page239"/>
    <w:bookmarkEnd w:id="23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After the payment of all Preference Amounts required to be paid to the holders of shares of all series of convertible preferred stock, the remaining assets of the Company available for distribution to its stockholders will be distributed among the holders of the shares of all series of convertible preferred stock and common stock, pro rata, based on the number of shares held by each such holder, treating for this purpose all such securities as if they had been converted to common stock pursuant to the terms of the Company’s certificate of incorporation immediately prior to such liquidation, dissolution or winding-up of the Company.</w:t>
      </w:r>
    </w:p>
    <w:p>
      <w:pPr>
        <w:spacing w:after="0" w:line="144"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Unless each of (i) the holders of at least 70% of the issued and outstanding shares of convertible preferred stock, voting on an as-converted basis and together as a single class, (ii) the holders of at least 66 2/3% of the issued and outstanding shares of Series C Preferred Stock, exclusively and as a separate class, (iii) the holders of a majority of the issued and outstanding shares of Series D Preferred Stock, voting on an as-converted basis and together as a single class, and (iv) the holders of at least 60% of the issued and outstanding shares of Series E Preferred Stock, voting on an as-converted basis and together as a single class elect otherwise, the following events are considered a “Deemed Liquidation Event”: a merger, consolidation, statutory conversion, transfer, domestication, or continuance (other than one in which stockholders of the Company own a majority by voting power of the outstanding shares of the surviving or acquiring corporation) or a sale, lease, transfer, exclusive license or other disposition of all or substantially all of the assets or intellectual property of the Company.</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Protective Rights</w:t>
      </w:r>
    </w:p>
    <w:p>
      <w:pPr>
        <w:spacing w:after="0" w:line="93" w:lineRule="exact"/>
        <w:rPr>
          <w:sz w:val="20"/>
          <w:szCs w:val="20"/>
          <w:color w:val="auto"/>
        </w:rPr>
      </w:pPr>
    </w:p>
    <w:p>
      <w:pPr>
        <w:ind w:left="720" w:right="739" w:firstLine="343"/>
        <w:spacing w:after="0" w:line="261"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protective rights, which require the affirmative vote of 70% of the then issued and outstanding shares of convertible preferred stock, voting on an as-converted basis and together as a single class, for certain corporate actions, which include, but are not limited to the sale of the Company, its liquidation, and the authorization of additional shares of the Company’s capital.</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7. Stockholders’ Deficit</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91" w:lineRule="exact"/>
        <w:rPr>
          <w:sz w:val="20"/>
          <w:szCs w:val="20"/>
          <w:color w:val="auto"/>
        </w:rPr>
      </w:pPr>
    </w:p>
    <w:p>
      <w:pPr>
        <w:ind w:left="720" w:right="839" w:firstLine="343"/>
        <w:spacing w:after="0" w:line="259" w:lineRule="auto"/>
        <w:rPr>
          <w:sz w:val="20"/>
          <w:szCs w:val="20"/>
          <w:color w:val="auto"/>
        </w:rPr>
      </w:pPr>
      <w:r>
        <w:rPr>
          <w:rFonts w:ascii="Times New Roman" w:cs="Times New Roman" w:eastAsia="Times New Roman" w:hAnsi="Times New Roman"/>
          <w:sz w:val="14"/>
          <w:szCs w:val="14"/>
          <w:color w:val="auto"/>
        </w:rPr>
        <w:t xml:space="preserve">The Company issued common stock warrants as part of the Loan Agreement (refer to Note 9, </w:t>
      </w:r>
      <w:r>
        <w:rPr>
          <w:rFonts w:ascii="Times New Roman" w:cs="Times New Roman" w:eastAsia="Times New Roman" w:hAnsi="Times New Roman"/>
          <w:sz w:val="14"/>
          <w:szCs w:val="14"/>
          <w:i w:val="1"/>
          <w:iCs w:val="1"/>
          <w:color w:val="auto"/>
        </w:rPr>
        <w:t>Term Loan</w:t>
      </w:r>
      <w:r>
        <w:rPr>
          <w:rFonts w:ascii="Times New Roman" w:cs="Times New Roman" w:eastAsia="Times New Roman" w:hAnsi="Times New Roman"/>
          <w:sz w:val="14"/>
          <w:szCs w:val="14"/>
          <w:color w:val="auto"/>
        </w:rPr>
        <w:t>) which were determined to be a freestanding instrument and met the criteria for equity classification as they are indexed to the Company’s own common stock and settled in a fixed number of shares for a fixed exercise price, with no cash settlement feature. As of December 31, 2024 and 2025, warrants to purchase 37,169 shares of common stock with an exercise price of $3.13 per share were outstanding. The common stock warrants expire in September 2031.</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common stock are subject to and qualified by the rights, powers, and preferences of the holders of the Company’s convertible preferred stock. Each share of common stock entitles the holder to one vote on all matters submitted to a vote of the Company’s stockholders. Common stockholders are entitled to receive dividends, as may be declared by the Company’s Board of Directors, if any, subject to the preferential dividend rights of holders of all series of convertible preferred stock. As of December 31, 2025, the Company has not declared nor paid any dividends.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Company has reserved shares of common stock for the conversion or exercise of the following securities: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2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60" w:type="dxa"/>
            <w:vAlign w:val="bottom"/>
            <w:tcBorders>
              <w:bottom w:val="single" w:sz="8" w:color="auto"/>
            </w:tcBorders>
          </w:tcPr>
          <w:p>
            <w:pPr>
              <w:jc w:val="right"/>
              <w:ind w:right="4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5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3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126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6,261,931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6,261,931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1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10,064,421</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10,064,421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19,497,429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19,497,429</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1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12,445,024</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23,281,563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tranche rights</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10,836,539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1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37,169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37,169</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13,751,281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14,001,272</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336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Unissued stock-based awards under the 2016 Employee,</w:t>
            </w:r>
          </w:p>
        </w:tc>
        <w:tc>
          <w:tcPr>
            <w:tcW w:w="1260" w:type="dxa"/>
            <w:vAlign w:val="bottom"/>
            <w:shd w:val="clear" w:color="auto" w:fill="CFF0FC"/>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rPr>
              <w:t>202,799</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11"/>
              <w:spacing w:after="0" w:line="153" w:lineRule="exact"/>
              <w:rPr>
                <w:sz w:val="20"/>
                <w:szCs w:val="20"/>
                <w:color w:val="auto"/>
              </w:rPr>
            </w:pPr>
            <w:r>
              <w:rPr>
                <w:rFonts w:ascii="Times New Roman" w:cs="Times New Roman" w:eastAsia="Times New Roman" w:hAnsi="Times New Roman"/>
                <w:sz w:val="14"/>
                <w:szCs w:val="14"/>
                <w:color w:val="auto"/>
              </w:rPr>
              <w:t>1,688,968</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3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Director and Consultant Equity Incentive Plan</w:t>
            </w:r>
          </w:p>
        </w:tc>
        <w:tc>
          <w:tcPr>
            <w:tcW w:w="12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33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74,639,807</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76,375,967</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6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color w:val="auto"/>
              </w:rPr>
              <w:t>F-19</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2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3877945</wp:posOffset>
            </wp:positionH>
            <wp:positionV relativeFrom="paragraph">
              <wp:posOffset>-840740</wp:posOffset>
            </wp:positionV>
            <wp:extent cx="6667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667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9" w:name="page240"/>
    <w:bookmarkEnd w:id="23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8. Equity Incentive Plan</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2016 Employee, Director and Consultant Equity Incentive Plan</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Company’s 2016 Employee, Director and Consultant Equity Incentive Plan, as amended (the “2016 Plan”), provides for the Company to sell or award restricted common stock or to grant incentive and nonqualified stock options for the purchase of common stock (or other stock-based awards) to its founders, employees, officers, directors and consultants. The 2016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144" w:lineRule="exact"/>
        <w:rPr>
          <w:sz w:val="20"/>
          <w:szCs w:val="20"/>
          <w:color w:val="auto"/>
        </w:rPr>
      </w:pPr>
    </w:p>
    <w:p>
      <w:pPr>
        <w:ind w:left="720" w:right="799" w:firstLine="343"/>
        <w:spacing w:after="0" w:line="257" w:lineRule="auto"/>
        <w:rPr>
          <w:sz w:val="20"/>
          <w:szCs w:val="20"/>
          <w:color w:val="auto"/>
        </w:rPr>
      </w:pPr>
      <w:r>
        <w:rPr>
          <w:rFonts w:ascii="Times New Roman" w:cs="Times New Roman" w:eastAsia="Times New Roman" w:hAnsi="Times New Roman"/>
          <w:sz w:val="14"/>
          <w:szCs w:val="14"/>
          <w:color w:val="auto"/>
        </w:rPr>
        <w:t>As of December 31, 2024, 14,896,969 shares of common stock were authorized and reserved for issuance under the 2016 Plan. In January 2025, the Board of Directors further increased the number of shares of common stock authorized and reserved for issuance under the 2016 Plan to 16,660,477 shares. As of December 31, 2025, there were 1,688,968 shares available for future issuance under the 2016 Plan. Shares of unused common stock underlying any awards that are forfeited, canceled or reacquired by the Company will again be available for grant under the 2016 Plan. Upon stock option exercise, the Company delivers newly issued shares to the participant.</w:t>
      </w:r>
    </w:p>
    <w:p>
      <w:pPr>
        <w:spacing w:after="0" w:line="143"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Stock option vesting typically occurs over four years for employees and directors and is at the discretion of the Company’s Board of Directors. Stock options typically have a maximum term of ten years.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 Option Valuation</w:t>
      </w:r>
    </w:p>
    <w:p>
      <w:pPr>
        <w:spacing w:after="0" w:line="93"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The fair value of each stock option granted was estimated on the date of grant using the Black-Scholes option-pricing model and the assumptions summarized in the following table:</w:t>
      </w:r>
    </w:p>
    <w:p>
      <w:pPr>
        <w:spacing w:after="0" w:line="14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920" w:type="dxa"/>
            <w:vAlign w:val="bottom"/>
          </w:tcPr>
          <w:p>
            <w:pPr>
              <w:spacing w:after="0"/>
              <w:rPr>
                <w:sz w:val="9"/>
                <w:szCs w:val="9"/>
                <w:color w:val="auto"/>
              </w:rPr>
            </w:pPr>
          </w:p>
        </w:tc>
        <w:tc>
          <w:tcPr>
            <w:tcW w:w="1140" w:type="dxa"/>
            <w:vAlign w:val="bottom"/>
            <w:tcBorders>
              <w:bottom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9"/>
                <w:szCs w:val="9"/>
                <w:color w:val="auto"/>
              </w:rPr>
            </w:pPr>
          </w:p>
        </w:tc>
        <w:tc>
          <w:tcPr>
            <w:tcW w:w="114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59"/>
        </w:trPr>
        <w:tc>
          <w:tcPr>
            <w:tcW w:w="29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Expected volatility</w:t>
            </w: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93.28%</w:t>
            </w:r>
          </w:p>
        </w:tc>
        <w:tc>
          <w:tcPr>
            <w:tcW w:w="6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- 94.56%</w:t>
            </w:r>
          </w:p>
        </w:tc>
        <w:tc>
          <w:tcPr>
            <w:tcW w:w="1240" w:type="dxa"/>
            <w:vAlign w:val="bottom"/>
            <w:gridSpan w:val="2"/>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91.99% - 93.00%</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6.25</w:t>
            </w:r>
          </w:p>
        </w:tc>
        <w:tc>
          <w:tcPr>
            <w:tcW w:w="12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4"/>
                <w:szCs w:val="14"/>
                <w:color w:val="auto"/>
                <w:w w:val="97"/>
              </w:rPr>
              <w:t>6.25</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- 4.26%</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color w:val="auto"/>
                <w:w w:val="99"/>
              </w:rPr>
              <w:t>3.66% - 4.04%</w:t>
            </w: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$1.24</w:t>
            </w:r>
          </w:p>
        </w:tc>
        <w:tc>
          <w:tcPr>
            <w:tcW w:w="12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4"/>
                <w:szCs w:val="14"/>
                <w:color w:val="auto"/>
              </w:rPr>
              <w:t>$1.57</w:t>
            </w:r>
          </w:p>
        </w:tc>
      </w:tr>
    </w:tbl>
    <w:p>
      <w:pPr>
        <w:spacing w:after="0" w:line="1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presents a summary of all stock option activity under the 2016 Plan:</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0"/>
                <w:szCs w:val="10"/>
                <w:color w:val="auto"/>
              </w:rPr>
            </w:pPr>
          </w:p>
        </w:tc>
        <w:tc>
          <w:tcPr>
            <w:tcW w:w="1000" w:type="dxa"/>
            <w:vAlign w:val="bottom"/>
          </w:tcPr>
          <w:p>
            <w:pPr>
              <w:jc w:val="center"/>
              <w:ind w:right="24"/>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24"/>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0" w:type="dxa"/>
            <w:vAlign w:val="bottom"/>
            <w:vMerge w:val="restart"/>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13"/>
              <w:spacing w:after="0" w:line="116"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80" w:type="dxa"/>
            <w:vAlign w:val="bottom"/>
          </w:tcPr>
          <w:p>
            <w:pPr>
              <w:spacing w:after="0"/>
              <w:rPr>
                <w:sz w:val="10"/>
                <w:szCs w:val="10"/>
                <w:color w:val="auto"/>
              </w:rPr>
            </w:pPr>
          </w:p>
        </w:tc>
        <w:tc>
          <w:tcPr>
            <w:tcW w:w="1000" w:type="dxa"/>
            <w:vAlign w:val="bottom"/>
          </w:tcPr>
          <w:p>
            <w:pPr>
              <w:jc w:val="center"/>
              <w:ind w:right="24"/>
              <w:spacing w:after="0" w:line="116"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36"/>
              <w:spacing w:after="0" w:line="116"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80" w:type="dxa"/>
            <w:vAlign w:val="bottom"/>
          </w:tcPr>
          <w:p>
            <w:pPr>
              <w:spacing w:after="0"/>
              <w:rPr>
                <w:sz w:val="11"/>
                <w:szCs w:val="11"/>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00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13,751,281</w:t>
            </w:r>
          </w:p>
        </w:tc>
        <w:tc>
          <w:tcPr>
            <w:tcW w:w="1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1.74</w:t>
            </w:r>
          </w:p>
        </w:tc>
        <w:tc>
          <w:tcPr>
            <w:tcW w:w="1080" w:type="dxa"/>
            <w:vAlign w:val="bottom"/>
            <w:gridSpan w:val="2"/>
            <w:shd w:val="clear" w:color="auto" w:fill="CFF0FC"/>
          </w:tcPr>
          <w:p>
            <w:pPr>
              <w:jc w:val="right"/>
              <w:ind w:right="24"/>
              <w:spacing w:after="0" w:line="159" w:lineRule="exact"/>
              <w:rPr>
                <w:sz w:val="20"/>
                <w:szCs w:val="20"/>
                <w:color w:val="auto"/>
              </w:rPr>
            </w:pPr>
            <w:r>
              <w:rPr>
                <w:rFonts w:ascii="Times New Roman" w:cs="Times New Roman" w:eastAsia="Times New Roman" w:hAnsi="Times New Roman"/>
                <w:sz w:val="14"/>
                <w:szCs w:val="14"/>
                <w:color w:val="auto"/>
              </w:rPr>
              <w:t>8.54</w:t>
            </w:r>
          </w:p>
        </w:tc>
        <w:tc>
          <w:tcPr>
            <w:tcW w:w="20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953,687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(27,348)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Canceled or 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1000" w:type="dxa"/>
            <w:vAlign w:val="bottom"/>
            <w:tcBorders>
              <w:bottom w:val="single" w:sz="8" w:color="auto"/>
            </w:tcBorders>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14,001,272</w:t>
            </w:r>
          </w:p>
        </w:tc>
        <w:tc>
          <w:tcPr>
            <w:tcW w:w="180" w:type="dxa"/>
            <w:vAlign w:val="bottom"/>
            <w:tcBorders>
              <w:bottom w:val="single" w:sz="8" w:color="CFF0FC"/>
            </w:tcBorders>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1.71</w:t>
            </w:r>
          </w:p>
        </w:tc>
        <w:tc>
          <w:tcPr>
            <w:tcW w:w="1080" w:type="dxa"/>
            <w:vAlign w:val="bottom"/>
            <w:tcBorders>
              <w:bottom w:val="single" w:sz="8" w:color="CFF0FC"/>
            </w:tcBorders>
            <w:gridSpan w:val="2"/>
            <w:shd w:val="clear" w:color="auto" w:fill="CFF0FC"/>
          </w:tcPr>
          <w:p>
            <w:pPr>
              <w:jc w:val="right"/>
              <w:ind w:right="24"/>
              <w:spacing w:after="0" w:line="159" w:lineRule="exact"/>
              <w:rPr>
                <w:sz w:val="20"/>
                <w:szCs w:val="20"/>
                <w:color w:val="auto"/>
              </w:rPr>
            </w:pPr>
            <w:r>
              <w:rPr>
                <w:rFonts w:ascii="Times New Roman" w:cs="Times New Roman" w:eastAsia="Times New Roman" w:hAnsi="Times New Roman"/>
                <w:sz w:val="14"/>
                <w:szCs w:val="14"/>
                <w:color w:val="auto"/>
              </w:rPr>
              <w:t>7.72</w:t>
            </w:r>
          </w:p>
        </w:tc>
        <w:tc>
          <w:tcPr>
            <w:tcW w:w="200" w:type="dxa"/>
            <w:vAlign w:val="bottom"/>
            <w:tcBorders>
              <w:bottom w:val="single" w:sz="8" w:color="CFF0FC"/>
            </w:tcBorders>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Vested and expected to vest at December 31, 2025</w:t>
            </w:r>
          </w:p>
        </w:tc>
        <w:tc>
          <w:tcPr>
            <w:tcW w:w="1000" w:type="dxa"/>
            <w:vAlign w:val="bottom"/>
            <w:tcBorders>
              <w:bottom w:val="single" w:sz="8" w:color="auto"/>
            </w:tcBorders>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14,001,272</w:t>
            </w:r>
          </w:p>
        </w:tc>
        <w:tc>
          <w:tcPr>
            <w:tcW w:w="1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1.71</w:t>
            </w:r>
          </w:p>
        </w:tc>
        <w:tc>
          <w:tcPr>
            <w:tcW w:w="1080" w:type="dxa"/>
            <w:vAlign w:val="bottom"/>
            <w:gridSpan w:val="2"/>
          </w:tcPr>
          <w:p>
            <w:pPr>
              <w:jc w:val="right"/>
              <w:ind w:right="24"/>
              <w:spacing w:after="0" w:line="159" w:lineRule="exact"/>
              <w:rPr>
                <w:sz w:val="20"/>
                <w:szCs w:val="20"/>
                <w:color w:val="auto"/>
              </w:rPr>
            </w:pPr>
            <w:r>
              <w:rPr>
                <w:rFonts w:ascii="Times New Roman" w:cs="Times New Roman" w:eastAsia="Times New Roman" w:hAnsi="Times New Roman"/>
                <w:sz w:val="14"/>
                <w:szCs w:val="14"/>
                <w:color w:val="auto"/>
              </w:rPr>
              <w:t>7.72</w:t>
            </w:r>
          </w:p>
        </w:tc>
        <w:tc>
          <w:tcPr>
            <w:tcW w:w="2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Borders>
              <w:bottom w:val="single" w:sz="8" w:color="CFF0FC"/>
            </w:tcBorders>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Vested and exercisable at December 31, 2025</w:t>
            </w:r>
          </w:p>
        </w:tc>
        <w:tc>
          <w:tcPr>
            <w:tcW w:w="1000" w:type="dxa"/>
            <w:vAlign w:val="bottom"/>
            <w:tcBorders>
              <w:bottom w:val="single" w:sz="8" w:color="auto"/>
            </w:tcBorders>
            <w:shd w:val="clear" w:color="auto" w:fill="CFF0FC"/>
          </w:tcPr>
          <w:p>
            <w:pPr>
              <w:jc w:val="right"/>
              <w:ind w:right="12"/>
              <w:spacing w:after="0" w:line="140" w:lineRule="exact"/>
              <w:rPr>
                <w:sz w:val="20"/>
                <w:szCs w:val="20"/>
                <w:color w:val="auto"/>
              </w:rPr>
            </w:pPr>
            <w:r>
              <w:rPr>
                <w:rFonts w:ascii="Times New Roman" w:cs="Times New Roman" w:eastAsia="Times New Roman" w:hAnsi="Times New Roman"/>
                <w:sz w:val="14"/>
                <w:szCs w:val="14"/>
                <w:color w:val="auto"/>
              </w:rPr>
              <w:t>7,869,744</w:t>
            </w:r>
          </w:p>
        </w:tc>
        <w:tc>
          <w:tcPr>
            <w:tcW w:w="180" w:type="dxa"/>
            <w:vAlign w:val="bottom"/>
            <w:tcBorders>
              <w:bottom w:val="single" w:sz="8" w:color="CFF0FC"/>
            </w:tcBorders>
            <w:gridSpan w:val="2"/>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ind w:right="33"/>
              <w:spacing w:after="0" w:line="140" w:lineRule="exact"/>
              <w:rPr>
                <w:sz w:val="20"/>
                <w:szCs w:val="20"/>
                <w:color w:val="auto"/>
              </w:rPr>
            </w:pPr>
            <w:r>
              <w:rPr>
                <w:rFonts w:ascii="Times New Roman" w:cs="Times New Roman" w:eastAsia="Times New Roman" w:hAnsi="Times New Roman"/>
                <w:sz w:val="14"/>
                <w:szCs w:val="14"/>
                <w:color w:val="auto"/>
              </w:rPr>
              <w:t>1.90</w:t>
            </w:r>
          </w:p>
        </w:tc>
        <w:tc>
          <w:tcPr>
            <w:tcW w:w="1080" w:type="dxa"/>
            <w:vAlign w:val="bottom"/>
            <w:tcBorders>
              <w:bottom w:val="single" w:sz="8" w:color="CFF0FC"/>
            </w:tcBorders>
            <w:gridSpan w:val="2"/>
            <w:shd w:val="clear" w:color="auto" w:fill="CFF0FC"/>
          </w:tcPr>
          <w:p>
            <w:pPr>
              <w:jc w:val="right"/>
              <w:ind w:right="24"/>
              <w:spacing w:after="0" w:line="140" w:lineRule="exact"/>
              <w:rPr>
                <w:sz w:val="20"/>
                <w:szCs w:val="20"/>
                <w:color w:val="auto"/>
              </w:rPr>
            </w:pPr>
            <w:r>
              <w:rPr>
                <w:rFonts w:ascii="Times New Roman" w:cs="Times New Roman" w:eastAsia="Times New Roman" w:hAnsi="Times New Roman"/>
                <w:sz w:val="14"/>
                <w:szCs w:val="14"/>
                <w:color w:val="auto"/>
              </w:rPr>
              <w:t>7.33</w:t>
            </w:r>
          </w:p>
        </w:tc>
        <w:tc>
          <w:tcPr>
            <w:tcW w:w="200" w:type="dxa"/>
            <w:vAlign w:val="bottom"/>
            <w:tcBorders>
              <w:bottom w:val="single" w:sz="8" w:color="CFF0FC"/>
            </w:tcBorders>
            <w:gridSpan w:val="2"/>
            <w:shd w:val="clear" w:color="auto" w:fill="CFF0FC"/>
          </w:tcPr>
          <w:p>
            <w:pPr>
              <w:jc w:val="right"/>
              <w:ind w:right="20"/>
              <w:spacing w:after="0" w:line="140"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ind w:right="36"/>
              <w:spacing w:after="0" w:line="140" w:lineRule="exact"/>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-259715</wp:posOffset>
            </wp:positionV>
            <wp:extent cx="6667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-19685</wp:posOffset>
            </wp:positionV>
            <wp:extent cx="6667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-6350</wp:posOffset>
            </wp:positionV>
            <wp:extent cx="6667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675" cy="6985"/>
                    </a:xfrm>
                    <a:prstGeom prst="rect">
                      <a:avLst/>
                    </a:prstGeom>
                    <a:noFill/>
                  </pic:spPr>
                </pic:pic>
              </a:graphicData>
            </a:graphic>
          </wp:anchor>
        </w:drawing>
      </w:r>
    </w:p>
    <w:p>
      <w:pPr>
        <w:spacing w:after="0" w:line="155"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The weighted-average grant date fair values of stock options granted during the years ended December 31, 2024 and 2025 were $0.68 and $1.23 per share, respectively. The intrinsic values of stock options exercised was less than $0.1 million during each of the years ended December 31, 2024 and 2025.</w:t>
      </w:r>
    </w:p>
    <w:p>
      <w:pPr>
        <w:spacing w:after="0" w:line="136"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Total unrecognized compensation expense related to unvested stock options was approximately $5.4 million as of December 31, 2025, which the Company expects to recognize over a weighted-average period of approximately 2.0 years.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0" w:name="page241"/>
    <w:bookmarkEnd w:id="24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During the year ended December 31, 2024, the Company granted performance-based stock options to an officer for the purchase of 909,398 shares of common stock with vesting contingent upon the achievement of the Series E Second Closing and a four-year service period from the grant date. As of December 31, 2024, the criteria for the performance-based vesting condition was considered probable and was subsequently achieved in January 2025. The Company recognized stock-based compensation expense of $0.3 million and $0.2 million in the years ended December 31, 2024 and 2025, respectively. As of December 31, 2025, the total unrecognized stock-based compensation expense related to these awards was $0.1 million, which is expected to be recognized over the remaining 2.1 years.</w:t>
      </w:r>
    </w:p>
    <w:p>
      <w:pPr>
        <w:spacing w:after="0" w:line="144" w:lineRule="exact"/>
        <w:rPr>
          <w:sz w:val="20"/>
          <w:szCs w:val="20"/>
          <w:color w:val="auto"/>
        </w:rPr>
      </w:pPr>
    </w:p>
    <w:p>
      <w:pPr>
        <w:ind w:left="720" w:right="819" w:firstLine="343"/>
        <w:spacing w:after="0" w:line="278" w:lineRule="auto"/>
        <w:rPr>
          <w:sz w:val="20"/>
          <w:szCs w:val="20"/>
          <w:color w:val="auto"/>
        </w:rPr>
      </w:pPr>
      <w:r>
        <w:rPr>
          <w:rFonts w:ascii="Times New Roman" w:cs="Times New Roman" w:eastAsia="Times New Roman" w:hAnsi="Times New Roman"/>
          <w:sz w:val="13"/>
          <w:szCs w:val="13"/>
          <w:color w:val="auto"/>
        </w:rPr>
        <w:t>During the year ended December 31, 2023, the Company granted stock options to an officer for the purchase of 645,578 shares of common stock with vesting contingent on both a performance and a market condition, specifically the closing of a future financing transaction at a specific price per share. The Company estimated the service period as four years. As of December 31, 2024, the criteria for the performance-based vesting condition was considered probable and was subsequently achieved in January 2025 in connection with the Series E Second Closing. The Company recognized stock-based compensation expense of $0.4 million and $0.2 million in the years ended December 31, 2024 and 2025, respectively. As of December 31, 2025, the total unrecognized stock-based compensation expense related to these awards was $0.3 million, which is expected to be recognized over the remaining 1.2 years.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jc w:val="both"/>
        <w:ind w:left="720" w:right="9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classification of stock-based compensation expense included in the Company’s consolidated statements of operations and comprehensive loss (in thousands):</w:t>
      </w:r>
    </w:p>
    <w:p>
      <w:pPr>
        <w:spacing w:after="0" w:line="14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8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r>
      <w:tr>
        <w:trPr>
          <w:trHeight w:val="106"/>
        </w:trPr>
        <w:tc>
          <w:tcPr>
            <w:tcW w:w="2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9"/>
                <w:szCs w:val="9"/>
                <w:color w:val="auto"/>
              </w:rPr>
            </w:pPr>
          </w:p>
        </w:tc>
      </w:tr>
      <w:tr>
        <w:trPr>
          <w:trHeight w:val="159"/>
        </w:trPr>
        <w:tc>
          <w:tcPr>
            <w:tcW w:w="23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Research and development</w:t>
            </w:r>
          </w:p>
        </w:tc>
        <w:tc>
          <w:tcPr>
            <w:tcW w:w="1440" w:type="dxa"/>
            <w:vAlign w:val="bottom"/>
            <w:gridSpan w:val="2"/>
            <w:shd w:val="clear" w:color="auto" w:fill="CFF0FC"/>
          </w:tcPr>
          <w:p>
            <w:pPr>
              <w:jc w:val="right"/>
              <w:ind w:right="5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845</w:t>
            </w:r>
          </w:p>
        </w:tc>
        <w:tc>
          <w:tcPr>
            <w:tcW w:w="720" w:type="dxa"/>
            <w:vAlign w:val="bottom"/>
            <w:gridSpan w:val="2"/>
            <w:shd w:val="clear" w:color="auto" w:fill="CFF0FC"/>
          </w:tcPr>
          <w:p>
            <w:pPr>
              <w:jc w:val="right"/>
              <w:ind w:right="5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792</w:t>
            </w:r>
          </w:p>
        </w:tc>
      </w:tr>
      <w:tr>
        <w:trPr>
          <w:trHeight w:val="16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3,465</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w:t>
            </w:r>
          </w:p>
        </w:tc>
      </w:tr>
      <w:tr>
        <w:trPr>
          <w:trHeight w:val="179"/>
        </w:trPr>
        <w:tc>
          <w:tcPr>
            <w:tcW w:w="230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440" w:type="dxa"/>
            <w:vAlign w:val="bottom"/>
            <w:gridSpan w:val="2"/>
            <w:shd w:val="clear" w:color="auto" w:fill="CFF0FC"/>
          </w:tcPr>
          <w:p>
            <w:pPr>
              <w:jc w:val="right"/>
              <w:ind w:right="5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4,310</w:t>
            </w:r>
          </w:p>
        </w:tc>
        <w:tc>
          <w:tcPr>
            <w:tcW w:w="720" w:type="dxa"/>
            <w:vAlign w:val="bottom"/>
            <w:gridSpan w:val="2"/>
            <w:shd w:val="clear" w:color="auto" w:fill="CFF0FC"/>
          </w:tcPr>
          <w:p>
            <w:pPr>
              <w:jc w:val="right"/>
              <w:ind w:right="5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3,317</w:t>
            </w: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-19685</wp:posOffset>
            </wp:positionV>
            <wp:extent cx="5334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-6350</wp:posOffset>
            </wp:positionV>
            <wp:extent cx="5334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9. Term Loan</w:t>
      </w:r>
    </w:p>
    <w:p>
      <w:pPr>
        <w:spacing w:after="0" w:line="93" w:lineRule="exact"/>
        <w:rPr>
          <w:sz w:val="20"/>
          <w:szCs w:val="20"/>
          <w:color w:val="auto"/>
        </w:rPr>
      </w:pPr>
    </w:p>
    <w:p>
      <w:pPr>
        <w:jc w:val="both"/>
        <w:ind w:left="720" w:right="9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On September 21, 2021, the Company entered into a Loan and Security Agreement with Silicon Valley Bank (the “Lender”), which was subsequently amended (the “Loan Agreement”), that provided for aggregate term loans of $15.0 million. In connection with the Loan Agreement, the Company also issued common stock warrants to the Lender (refer to Note 7, </w:t>
      </w:r>
      <w:r>
        <w:rPr>
          <w:rFonts w:ascii="Times New Roman" w:cs="Times New Roman" w:eastAsia="Times New Roman" w:hAnsi="Times New Roman"/>
          <w:sz w:val="14"/>
          <w:szCs w:val="14"/>
          <w:i w:val="1"/>
          <w:iCs w:val="1"/>
          <w:color w:val="auto"/>
        </w:rPr>
        <w:t>Stockholders’ Deficit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On November 22, 2024, the Company and the Lender executed an amendment to the Loan Agreement under which the Lender extended the term loan amortization date to April 1, 2025 and added two interest-only extension events that could further extend the term loan amortization date. The amendment also required the Company to maintain the lesser of $60.0 million or 50% of the Company’s consolidated cash within the Company’s primary operating account with the Lender. The amendment was accounted for as a debt modification, rather than an extinguishment, as the difference in the present value of the cash flows under the terms of the original debt agreement and the terms immediately after the amendment was less than 10%. As a result, issuance costs paid to the Lender in connection with the amendment, which were not significant, were recorded as a reduction of the carrying amount of the debt liability. Unamortized issuance costs as of the date of the modification are amortized to interest expense using the effective interest method through the loan maturity date.</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Term loan balances, including final payments, are summarized as follows (in thousands):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7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3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term loan principal</w:t>
            </w:r>
          </w:p>
        </w:tc>
        <w:tc>
          <w:tcPr>
            <w:tcW w:w="56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15,000</w:t>
            </w:r>
          </w:p>
        </w:tc>
        <w:tc>
          <w:tcPr>
            <w:tcW w:w="32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12,500</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Final payments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647</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Unamortized debt discount and issuance costs</w:t>
            </w:r>
          </w:p>
        </w:tc>
        <w:tc>
          <w:tcPr>
            <w:tcW w:w="4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3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Term loan, net of discount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15,288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13,077</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current portion</w:t>
            </w:r>
          </w:p>
        </w:tc>
        <w:tc>
          <w:tcPr>
            <w:tcW w:w="4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3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Term loan, net of discount and current portion</w:t>
            </w:r>
          </w:p>
        </w:tc>
        <w:tc>
          <w:tcPr>
            <w:tcW w:w="5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12,788</w:t>
            </w:r>
          </w:p>
        </w:tc>
        <w:tc>
          <w:tcPr>
            <w:tcW w:w="3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18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color w:val="auto"/>
              </w:rPr>
              <w:t>F-21</w:t>
            </w: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6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6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-1060450</wp:posOffset>
            </wp:positionV>
            <wp:extent cx="5334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-840740</wp:posOffset>
            </wp:positionV>
            <wp:extent cx="5334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1" w:name="page242"/>
    <w:bookmarkEnd w:id="24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term loan matures on October 1, 2026. After triggering an interest-only extension upon the Series E Second Closing in January 2025, which extended the interest-only period on the term loan, the Company began paying principal in 12 equal monthly payments of approximately $1.3 million each on November 1, 2025. The term loan bears interest at a floating rate equal to the greater of (i) 6.75% and (ii) the prime rate plus a margin; provided that the interest rate will not exceed 6.75%. The term loan calls for an additional final payment equal to 4.5% of the aggregate principal amount borrowed, as well as a fee of approximately $0.1 million, due upon (a) the term loan maturity date, (b) the repayment of the term loan in full, (c) as required pursuant to permitted prepayment or mandatory prepayment upon an acceleration, or (d) the termination of the Loan Agreement. The Company may, at its option, prepay the term loan in full or in part at any time prior to maturity, subject to a prepayment fee ranging between 0% and 3% of the outstanding principal amount of the term loan. The prepayment fee would also be due and payable in the event of an acceleration of the principal amount of the loan due to an event of default. The Loan Agreement contains affirmative covenants and certain restrictive covenants. The Company is in compliance with all financial and nonfinancial covenants as of December 31, 2025.</w:t>
      </w:r>
    </w:p>
    <w:p>
      <w:pPr>
        <w:spacing w:after="0" w:line="144"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In addition, the Company is accreting the final payments over the term of the Loan Agreement as interest expense using the effective interest method. As of December 31, 2024 and 2025, the Company accreted a cumulative final payment of $0.5 million and $0.6 million, respectively, which is presented within term loan, net of discount and current portion, and current portion of term loan, net of discount, respectively, on its consolidated balance sheets.</w:t>
      </w:r>
    </w:p>
    <w:p>
      <w:pPr>
        <w:spacing w:after="0" w:line="14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As of December 31, 2025, the effective interest rate of the term loan is 8.8%.</w:t>
      </w:r>
    </w:p>
    <w:p>
      <w:pPr>
        <w:spacing w:after="0" w:line="175"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term loan includes an embedded derivative related to the payment of interest upon an event of default. The Company determined the estimated fair value of the embedded derivative was not material to the consolidated financial statements. Additionally, the term loan includes contingent payment features which also represent an embedded derivative which requires bifurcation from the debt host. As of December 31, 2025, the Company determined the estimated fair value of the contingent payment features embedded derivative was not material to the consolidated financial statements. The Company will reassess the probability of these contingent payment events and the estimated fair value of the related embedded derivatives at each reporting period and revise the estimated fair value of the derivative in the Company’s consolidated financial statements.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10. Leases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30 Acorn Park Drive</w:t>
      </w:r>
    </w:p>
    <w:p>
      <w:pPr>
        <w:spacing w:after="0" w:line="93" w:lineRule="exact"/>
        <w:rPr>
          <w:sz w:val="20"/>
          <w:szCs w:val="20"/>
          <w:color w:val="auto"/>
        </w:rPr>
      </w:pPr>
    </w:p>
    <w:p>
      <w:pPr>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On April 23, 2019, the Company entered into a non-cancelable operating lease for office, research and manufacturing space located at 30 Acorn Park Drive in Cambridge, Massachusetts through February 28, 2031. The lease commenced in January 2020 and includes two five-year lease renewal options.</w:t>
      </w:r>
    </w:p>
    <w:p>
      <w:pPr>
        <w:spacing w:after="0" w:line="136" w:lineRule="exact"/>
        <w:rPr>
          <w:sz w:val="20"/>
          <w:szCs w:val="20"/>
          <w:color w:val="auto"/>
        </w:rPr>
      </w:pPr>
    </w:p>
    <w:p>
      <w:pPr>
        <w:ind w:left="720" w:right="799" w:firstLine="343"/>
        <w:spacing w:after="0" w:line="283" w:lineRule="auto"/>
        <w:rPr>
          <w:sz w:val="20"/>
          <w:szCs w:val="20"/>
          <w:color w:val="auto"/>
        </w:rPr>
      </w:pPr>
      <w:r>
        <w:rPr>
          <w:rFonts w:ascii="Times New Roman" w:cs="Times New Roman" w:eastAsia="Times New Roman" w:hAnsi="Times New Roman"/>
          <w:sz w:val="14"/>
          <w:szCs w:val="14"/>
          <w:color w:val="auto"/>
        </w:rPr>
        <w:t>The lease also includes certain free rentals and rent escalations over the term of the lease, which are deferred and recognized on a straight-line basis as rent expense over the term of the lease.</w:t>
      </w:r>
    </w:p>
    <w:p>
      <w:pPr>
        <w:spacing w:after="0" w:line="125" w:lineRule="exact"/>
        <w:rPr>
          <w:sz w:val="20"/>
          <w:szCs w:val="20"/>
          <w:color w:val="auto"/>
        </w:rPr>
      </w:pPr>
    </w:p>
    <w:p>
      <w:pPr>
        <w:jc w:val="both"/>
        <w:ind w:left="720" w:right="95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the lease agreement, the Company provided a security deposit to the lessor in the form of a bank letter of credit, which is supported by $2.9 million of restricted cash. The letter of credit automatically renews annually until the lease ends. The Company is also responsible for its utilities and a proportional share of property taxes and other operating costs.</w:t>
      </w:r>
    </w:p>
    <w:p>
      <w:pPr>
        <w:spacing w:after="0" w:line="136"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Rent expense for the leased space at 30 Acorn Park Drive amounted to $9.1 million for each of the years ended December 31, 2024 and 2025.</w:t>
      </w:r>
    </w:p>
    <w:p>
      <w:pPr>
        <w:spacing w:after="0" w:line="123"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As discussed in Note 14,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in December 2019, the Company entered into a non-cancelable sublease arrangement with a related party to sublease approximately 50% of the leased space through February 2025. In January 2024, the Company and the sublessee amended the sublease arrangement to extend the sublease date through December 2025. Sublease rental income amounted to $4.2 million during each of the years ended December 31, 2024 and 2025, and is reflected in the consolidated statements of operations and comprehensive loss with the caption sublease income—related party. The sublease expired in December 2025.</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Vivarium Facility #1</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Company leased space at a vivarium facility which is classified as an operating lease. In December 2025, the lease expired.</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Rent expense for the lease amounted to $0.6 million for each of the years ended December 31, 2024 and 2025.</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2" w:name="page243"/>
    <w:bookmarkEnd w:id="24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i w:val="1"/>
          <w:iCs w:val="1"/>
          <w:color w:val="auto"/>
        </w:rPr>
        <w:t>Vivarium Facility #2</w:t>
      </w:r>
    </w:p>
    <w:p>
      <w:pPr>
        <w:spacing w:after="0" w:line="93"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On November 1, 2025, the Company entered into a non-cancelable operating lease for two private animal suites in order to conduct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studies. The lease, which commenced in November 2025, includes two free months of rent and is otherwise subject to rental payments of approximately $0.1 million per month over the lease term. The lease term extends through December 2027 and the lease includes an extension option subject to mutual agreement between the parties.</w:t>
      </w:r>
    </w:p>
    <w:p>
      <w:pPr>
        <w:spacing w:after="0" w:line="141" w:lineRule="exact"/>
        <w:rPr>
          <w:sz w:val="20"/>
          <w:szCs w:val="20"/>
          <w:color w:val="auto"/>
        </w:rPr>
      </w:pPr>
    </w:p>
    <w:p>
      <w:pPr>
        <w:ind w:left="720" w:right="799" w:firstLine="343"/>
        <w:spacing w:after="0" w:line="296" w:lineRule="auto"/>
        <w:rPr>
          <w:sz w:val="20"/>
          <w:szCs w:val="20"/>
          <w:color w:val="auto"/>
        </w:rPr>
      </w:pPr>
      <w:r>
        <w:rPr>
          <w:rFonts w:ascii="Times New Roman" w:cs="Times New Roman" w:eastAsia="Times New Roman" w:hAnsi="Times New Roman"/>
          <w:sz w:val="13"/>
          <w:szCs w:val="13"/>
          <w:color w:val="auto"/>
        </w:rPr>
        <w:t>Upon the lease commencement date, the Company recorded an operating lease liability and operating lease right-of-use asset of $1.6 million each. Additionally, the Company provided a refundable cash deposit to the lessor of $0.2 million which is classified in other assets as of December 31, 2025. Rent expense for the lease amounted to $0.1 million during the year ended December 31, 2025.</w:t>
      </w:r>
    </w:p>
    <w:p>
      <w:pPr>
        <w:spacing w:after="0" w:line="1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components of operating lease expense were as follows (in thousands):</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lease cost</w:t>
            </w:r>
          </w:p>
        </w:tc>
        <w:tc>
          <w:tcPr>
            <w:tcW w:w="12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9,657</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9,813</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1,900</w:t>
            </w:r>
          </w:p>
        </w:tc>
      </w:tr>
      <w:tr>
        <w:trPr>
          <w:trHeight w:val="168"/>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w:t>
            </w:r>
          </w:p>
        </w:tc>
      </w:tr>
      <w:tr>
        <w:trPr>
          <w:trHeight w:val="179"/>
        </w:trPr>
        <w:tc>
          <w:tcPr>
            <w:tcW w:w="2460" w:type="dxa"/>
            <w:vAlign w:val="bottom"/>
            <w:shd w:val="clear" w:color="auto" w:fill="CFF0FC"/>
          </w:tcPr>
          <w:p>
            <w:pPr>
              <w:ind w:left="60"/>
              <w:spacing w:after="0" w:line="159" w:lineRule="exact"/>
              <w:rPr>
                <w:sz w:val="20"/>
                <w:szCs w:val="20"/>
                <w:color w:val="auto"/>
              </w:rPr>
            </w:pPr>
            <w:r>
              <w:rPr>
                <w:rFonts w:ascii="Times New Roman" w:cs="Times New Roman" w:eastAsia="Times New Roman" w:hAnsi="Times New Roman"/>
                <w:sz w:val="14"/>
                <w:szCs w:val="14"/>
                <w:color w:val="auto"/>
              </w:rPr>
              <w:t>Total net lease expense</w:t>
            </w:r>
          </w:p>
        </w:tc>
        <w:tc>
          <w:tcPr>
            <w:tcW w:w="12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7,288</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7,485</w:t>
            </w: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-19685</wp:posOffset>
            </wp:positionV>
            <wp:extent cx="5334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5334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Expected future minimum operating lease payments as of December 31, 2025 are as follows (in thousands):</w:t>
      </w:r>
    </w:p>
    <w:p>
      <w:pPr>
        <w:spacing w:after="0" w:line="192" w:lineRule="exact"/>
        <w:rPr>
          <w:sz w:val="20"/>
          <w:szCs w:val="20"/>
          <w:color w:val="auto"/>
        </w:rPr>
      </w:pPr>
    </w:p>
    <w:tbl>
      <w:tblPr>
        <w:tblLayout w:type="fixed"/>
        <w:tblInd w:w="224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06"/>
        </w:trPr>
        <w:tc>
          <w:tcPr>
            <w:tcW w:w="36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168"/>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10,174</w:t>
            </w:r>
          </w:p>
        </w:tc>
      </w:tr>
      <w:tr>
        <w:trPr>
          <w:trHeight w:val="168"/>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10,510</w:t>
            </w:r>
          </w:p>
        </w:tc>
      </w:tr>
      <w:tr>
        <w:trPr>
          <w:trHeight w:val="168"/>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4"/>
                <w:szCs w:val="14"/>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9,822</w:t>
            </w:r>
          </w:p>
        </w:tc>
      </w:tr>
      <w:tr>
        <w:trPr>
          <w:trHeight w:val="168"/>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10,068</w:t>
            </w:r>
          </w:p>
        </w:tc>
      </w:tr>
      <w:tr>
        <w:trPr>
          <w:trHeight w:val="168"/>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4"/>
                <w:szCs w:val="14"/>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10,320</w:t>
            </w:r>
          </w:p>
        </w:tc>
      </w:tr>
      <w:tr>
        <w:trPr>
          <w:trHeight w:val="168"/>
        </w:trPr>
        <w:tc>
          <w:tcPr>
            <w:tcW w:w="3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1,727</w:t>
            </w:r>
          </w:p>
        </w:tc>
      </w:tr>
      <w:tr>
        <w:trPr>
          <w:trHeight w:val="159"/>
        </w:trPr>
        <w:tc>
          <w:tcPr>
            <w:tcW w:w="368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future minimum lease payments</w:t>
            </w:r>
          </w:p>
        </w:tc>
        <w:tc>
          <w:tcPr>
            <w:tcW w:w="120" w:type="dxa"/>
            <w:vAlign w:val="bottom"/>
          </w:tcPr>
          <w:p>
            <w:pPr>
              <w:spacing w:after="0"/>
              <w:rPr>
                <w:sz w:val="13"/>
                <w:szCs w:val="13"/>
                <w:color w:val="auto"/>
              </w:rPr>
            </w:pPr>
          </w:p>
        </w:tc>
        <w:tc>
          <w:tcPr>
            <w:tcW w:w="74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52,621</w:t>
            </w:r>
          </w:p>
        </w:tc>
      </w:tr>
      <w:tr>
        <w:trPr>
          <w:trHeight w:val="168"/>
        </w:trPr>
        <w:tc>
          <w:tcPr>
            <w:tcW w:w="3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(9,106)</w:t>
            </w:r>
          </w:p>
        </w:tc>
      </w:tr>
      <w:tr>
        <w:trPr>
          <w:trHeight w:val="159"/>
        </w:trPr>
        <w:tc>
          <w:tcPr>
            <w:tcW w:w="368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43,515</w:t>
            </w: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20" w:right="1059" w:firstLine="343"/>
        <w:spacing w:after="0" w:line="267" w:lineRule="auto"/>
        <w:rPr>
          <w:sz w:val="20"/>
          <w:szCs w:val="20"/>
          <w:color w:val="auto"/>
        </w:rPr>
      </w:pPr>
      <w:r>
        <w:rPr>
          <w:rFonts w:ascii="Times New Roman" w:cs="Times New Roman" w:eastAsia="Times New Roman" w:hAnsi="Times New Roman"/>
          <w:sz w:val="14"/>
          <w:szCs w:val="14"/>
          <w:color w:val="auto"/>
        </w:rPr>
        <w:t>The weighted-average remaining lease term and incremental borrowing rate for the year ended December 31, 2024 was 6.1 years and 8.0%, respectively. The weighted-average remaining lease term and incremental borrowing rate for the year ended December 31, 2025 was 5.0 years and 8.0%, respectively.</w:t>
      </w:r>
    </w:p>
    <w:p>
      <w:pPr>
        <w:spacing w:after="0" w:line="136" w:lineRule="exact"/>
        <w:rPr>
          <w:sz w:val="20"/>
          <w:szCs w:val="20"/>
          <w:color w:val="auto"/>
        </w:rPr>
      </w:pPr>
    </w:p>
    <w:p>
      <w:pPr>
        <w:ind w:left="720" w:right="9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supplemental disclosure of cash flow information related to the Company’s operating leases (in thousands):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1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5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7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40" w:type="dxa"/>
            <w:vAlign w:val="bottom"/>
          </w:tcPr>
          <w:p>
            <w:pPr>
              <w:spacing w:after="0"/>
              <w:rPr>
                <w:sz w:val="9"/>
                <w:szCs w:val="9"/>
                <w:color w:val="auto"/>
              </w:rPr>
            </w:pPr>
          </w:p>
        </w:tc>
      </w:tr>
      <w:tr>
        <w:trPr>
          <w:trHeight w:val="159"/>
        </w:trPr>
        <w:tc>
          <w:tcPr>
            <w:tcW w:w="1660" w:type="dxa"/>
            <w:vAlign w:val="bottom"/>
          </w:tcPr>
          <w:p>
            <w:pPr>
              <w:spacing w:after="0"/>
              <w:rPr>
                <w:sz w:val="13"/>
                <w:szCs w:val="13"/>
                <w:color w:val="auto"/>
              </w:rPr>
            </w:pPr>
          </w:p>
        </w:tc>
        <w:tc>
          <w:tcPr>
            <w:tcW w:w="25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cash used for operating leases</w:t>
            </w:r>
          </w:p>
        </w:tc>
        <w:tc>
          <w:tcPr>
            <w:tcW w:w="1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9,404</w:t>
            </w:r>
          </w:p>
        </w:tc>
        <w:tc>
          <w:tcPr>
            <w:tcW w:w="24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9,816</w:t>
            </w:r>
          </w:p>
        </w:tc>
        <w:tc>
          <w:tcPr>
            <w:tcW w:w="1640" w:type="dxa"/>
            <w:vAlign w:val="bottom"/>
          </w:tcPr>
          <w:p>
            <w:pPr>
              <w:spacing w:after="0"/>
              <w:rPr>
                <w:sz w:val="13"/>
                <w:szCs w:val="13"/>
                <w:color w:val="auto"/>
              </w:rPr>
            </w:pPr>
          </w:p>
        </w:tc>
      </w:tr>
      <w:tr>
        <w:trPr>
          <w:trHeight w:val="153"/>
        </w:trPr>
        <w:tc>
          <w:tcPr>
            <w:tcW w:w="1660" w:type="dxa"/>
            <w:vAlign w:val="bottom"/>
          </w:tcPr>
          <w:p>
            <w:pPr>
              <w:spacing w:after="0"/>
              <w:rPr>
                <w:sz w:val="13"/>
                <w:szCs w:val="13"/>
                <w:color w:val="auto"/>
              </w:rPr>
            </w:pPr>
          </w:p>
        </w:tc>
        <w:tc>
          <w:tcPr>
            <w:tcW w:w="25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9"/>
              </w:rPr>
              <w:t>Right-of-use assets obtained in exchange 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1660" w:type="dxa"/>
            <w:vAlign w:val="bottom"/>
          </w:tcPr>
          <w:p>
            <w:pPr>
              <w:spacing w:after="0"/>
              <w:rPr>
                <w:sz w:val="15"/>
                <w:szCs w:val="15"/>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640" w:type="dxa"/>
            <w:vAlign w:val="bottom"/>
          </w:tcPr>
          <w:p>
            <w:pPr>
              <w:spacing w:after="0"/>
              <w:rPr>
                <w:sz w:val="15"/>
                <w:szCs w:val="15"/>
                <w:color w:val="auto"/>
              </w:rPr>
            </w:pPr>
          </w:p>
        </w:tc>
      </w:tr>
      <w:tr>
        <w:trPr>
          <w:trHeight w:val="505"/>
        </w:trPr>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w w:val="98"/>
              </w:rPr>
              <w:t>F-23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90"/>
        </w:trPr>
        <w:tc>
          <w:tcPr>
            <w:tcW w:w="16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3" w:name="page244"/>
    <w:bookmarkEnd w:id="24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Finance Leases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Company entered into finance lease agreements for laboratory equipment during the year ended December 31, 2024, which mature in December 2028. The following table summarizes the Company’s finance lease costs and other information, including supplemental disclosure of cash flow information related to the Company’s finance leases (in thousands, except for lease term and borrowing rate):</w:t>
      </w:r>
    </w:p>
    <w:p>
      <w:pPr>
        <w:spacing w:after="0" w:line="15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1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15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9"/>
        </w:trPr>
        <w:tc>
          <w:tcPr>
            <w:tcW w:w="300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Finance Lease Cost:</w:t>
            </w:r>
          </w:p>
        </w:tc>
        <w:tc>
          <w:tcPr>
            <w:tcW w:w="4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finance lease right-of-use assets</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expense on finance lease liabilities</w:t>
            </w:r>
          </w:p>
        </w:tc>
        <w:tc>
          <w:tcPr>
            <w:tcW w:w="210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Total finance lease cost</w:t>
            </w: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gridSpan w:val="3"/>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140</w:t>
            </w:r>
          </w:p>
        </w:tc>
        <w:tc>
          <w:tcPr>
            <w:tcW w:w="3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1"/>
              <w:spacing w:after="0" w:line="159"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0" w:type="dxa"/>
            <w:vAlign w:val="bottom"/>
            <w:gridSpan w:val="2"/>
            <w:shd w:val="clear" w:color="auto" w:fill="CFF0FC"/>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4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cash used for finance leases</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Financing cash used for finance leases</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53"/>
        </w:trPr>
        <w:tc>
          <w:tcPr>
            <w:tcW w:w="300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Right-of use assets obtained in exchange for</w:t>
            </w: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finance</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lease liabilities</w:t>
            </w:r>
          </w:p>
        </w:tc>
        <w:tc>
          <w:tcPr>
            <w:tcW w:w="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3"/>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Weighted-average incremental borrowing rate</w:t>
            </w:r>
          </w:p>
        </w:tc>
        <w:tc>
          <w:tcPr>
            <w:tcW w:w="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343"/>
        </w:trPr>
        <w:tc>
          <w:tcPr>
            <w:tcW w:w="6340" w:type="dxa"/>
            <w:vAlign w:val="bottom"/>
            <w:gridSpan w:val="9"/>
          </w:tcPr>
          <w:p>
            <w:pPr>
              <w:ind w:left="340"/>
              <w:spacing w:after="0"/>
              <w:rPr>
                <w:sz w:val="20"/>
                <w:szCs w:val="20"/>
                <w:color w:val="auto"/>
              </w:rPr>
            </w:pPr>
            <w:r>
              <w:rPr>
                <w:rFonts w:ascii="Times New Roman" w:cs="Times New Roman" w:eastAsia="Times New Roman" w:hAnsi="Times New Roman"/>
                <w:sz w:val="14"/>
                <w:szCs w:val="14"/>
                <w:color w:val="auto"/>
              </w:rPr>
              <w:t>Maturities of finance lease liabilities as of December 31, 2025 were as follows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20" w:type="dxa"/>
            <w:vAlign w:val="bottom"/>
          </w:tcPr>
          <w:p>
            <w:pPr>
              <w:spacing w:after="0"/>
              <w:rPr>
                <w:sz w:val="9"/>
                <w:szCs w:val="9"/>
                <w:color w:val="auto"/>
              </w:rPr>
            </w:pPr>
          </w:p>
        </w:tc>
        <w:tc>
          <w:tcPr>
            <w:tcW w:w="1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0" w:type="dxa"/>
            <w:vAlign w:val="bottom"/>
            <w:shd w:val="clear" w:color="auto" w:fill="CFF0FC"/>
          </w:tcPr>
          <w:p>
            <w:pPr>
              <w:spacing w:after="0"/>
              <w:rPr>
                <w:sz w:val="9"/>
                <w:szCs w:val="9"/>
                <w:color w:val="auto"/>
              </w:rPr>
            </w:pPr>
          </w:p>
        </w:tc>
        <w:tc>
          <w:tcPr>
            <w:tcW w:w="2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809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809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809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3580" w:type="dxa"/>
            <w:vAlign w:val="bottom"/>
            <w:gridSpan w:val="3"/>
            <w:shd w:val="clear" w:color="auto" w:fill="CFF0FC"/>
          </w:tcPr>
          <w:p>
            <w:pPr>
              <w:ind w:left="200"/>
              <w:spacing w:after="0" w:line="159" w:lineRule="exact"/>
              <w:rPr>
                <w:sz w:val="20"/>
                <w:szCs w:val="20"/>
                <w:color w:val="auto"/>
              </w:rPr>
            </w:pPr>
            <w:r>
              <w:rPr>
                <w:rFonts w:ascii="Times New Roman" w:cs="Times New Roman" w:eastAsia="Times New Roman" w:hAnsi="Times New Roman"/>
                <w:sz w:val="14"/>
                <w:szCs w:val="14"/>
                <w:color w:val="auto"/>
              </w:rPr>
              <w:t>Total future minimum lease payments</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2,427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rPr>
                <w:sz w:val="17"/>
                <w:szCs w:val="17"/>
                <w:color w:val="auto"/>
              </w:rPr>
            </w:pPr>
          </w:p>
        </w:tc>
        <w:tc>
          <w:tcPr>
            <w:tcW w:w="3580" w:type="dxa"/>
            <w:vAlign w:val="bottom"/>
            <w:tcBorders>
              <w:bottom w:val="single" w:sz="8" w:color="CFF0FC"/>
            </w:tcBorders>
            <w:gridSpan w:val="3"/>
            <w:shd w:val="clear" w:color="auto" w:fill="CFF0FC"/>
          </w:tcPr>
          <w:p>
            <w:pPr>
              <w:ind w:left="200"/>
              <w:spacing w:after="0" w:line="159" w:lineRule="exact"/>
              <w:rPr>
                <w:sz w:val="20"/>
                <w:szCs w:val="20"/>
                <w:color w:val="auto"/>
              </w:rPr>
            </w:pPr>
            <w:r>
              <w:rPr>
                <w:rFonts w:ascii="Times New Roman" w:cs="Times New Roman" w:eastAsia="Times New Roman" w:hAnsi="Times New Roman"/>
                <w:sz w:val="14"/>
                <w:szCs w:val="14"/>
                <w:color w:val="auto"/>
              </w:rPr>
              <w:t>Total finance lease liabilities</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2,108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-2162175</wp:posOffset>
            </wp:positionV>
            <wp:extent cx="7366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366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Harvard Agreement</w:t>
      </w:r>
    </w:p>
    <w:p>
      <w:pPr>
        <w:spacing w:after="0" w:line="93"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In August 2017, the Company entered into a license agreement, as amended (the “Harvard Agreement”), with the President and Fellows of Harvard College (“Harvard”), to obtain a worldwide, exclusive, royalty-bearing license to certain intellectual property which was developed by the Company’s founder.</w:t>
      </w:r>
    </w:p>
    <w:p>
      <w:pPr>
        <w:spacing w:after="0" w:line="136"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Under the terms of the Harvard Agreement, the Company is required to make payments to Harvard upon the achievement of certain development, regulatory and sales milestones up to an aggregate of $18.3 million, as well as future royalty payments, based on a percentage of aggregate net sales ranging in the low single digits. In addition, the Company is required to make payments to Harvard for non-royalty income received under sublicenses or strategic partnerships with third parties, with the applicable payment based on the stage of development of the first licensed product at the time the Company enters into such agreement (before or after enrollment of the first patient in a Phase 2 clinical study of a licensed product), ranging from a single-digit percentage to a mid-teens percentage. During the year ended December 31, 2025, the Company met one milestone of $0.2 million. The Company recorded $0.2 million of research and development expense for the milestone which is included in accounts payable on the consolidated balance sheet as of December 31, 2025. As of December 31, 2025, the Company has achieved milestones totaling $0.3 million under the Harvard Agreement. None of the remaining milestones were deemed probable of achievement as of December 31, 2025.</w:t>
      </w:r>
    </w:p>
    <w:p>
      <w:pPr>
        <w:spacing w:after="0" w:line="146"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The Company is also required to pay a low six-digit annual maintenance fee for the duration of the Harvard Agreement, which can be credited against future royalty payments.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4" w:name="page245"/>
    <w:bookmarkEnd w:id="24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720" w:right="859" w:firstLine="343"/>
        <w:spacing w:after="0" w:line="261" w:lineRule="auto"/>
        <w:rPr>
          <w:sz w:val="20"/>
          <w:szCs w:val="20"/>
          <w:color w:val="auto"/>
        </w:rPr>
      </w:pPr>
      <w:r>
        <w:rPr>
          <w:rFonts w:ascii="Times New Roman" w:cs="Times New Roman" w:eastAsia="Times New Roman" w:hAnsi="Times New Roman"/>
          <w:sz w:val="14"/>
          <w:szCs w:val="14"/>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Legal fees and other costs associated with such proceedings are expensed as incurred. As of December 31, 2024 and 2025, the Company was not a party to any material legal proceedings or claims.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2024 and 2025.</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12. Collaboration Agreement</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May 2024, the Company entered into a research collaboration agreement with ARTBIO, Inc. (“ARTBIO”) to co-develop multiple Helicon-enabled alpha particle radioligand therapies (HEARTs) for the treatment of cancer. Under the terms of this agreement, the Company is responsible for equally participating on joint committees and carrying out at least four research programs with respect to each collaboration target. The Company and ARTBIO share in the costs of the research programs equally, with ARTBIO responsible for funding the first $10.0 million of development costs incurred by both parties and the Company responsible for funding the next $10.0 million of development costs. Any further development costs beyond these initial funding amounts will also be shared equally by both parties. Under certain circumstances, either party can terminate the agreement, and the Company may be obligated to refund, to ARTBIO, amounts received during the initial funding periods, such that the total costs incurred through the effective date of termination would be shared equally.</w:t>
      </w:r>
    </w:p>
    <w:p>
      <w:pPr>
        <w:spacing w:after="0" w:line="149" w:lineRule="exact"/>
        <w:rPr>
          <w:sz w:val="20"/>
          <w:szCs w:val="20"/>
          <w:color w:val="auto"/>
        </w:rPr>
      </w:pPr>
    </w:p>
    <w:p>
      <w:pPr>
        <w:jc w:val="both"/>
        <w:ind w:left="720" w:right="979" w:firstLine="343"/>
        <w:spacing w:after="0" w:line="267" w:lineRule="auto"/>
        <w:rPr>
          <w:sz w:val="20"/>
          <w:szCs w:val="20"/>
          <w:color w:val="auto"/>
        </w:rPr>
      </w:pPr>
      <w:r>
        <w:rPr>
          <w:rFonts w:ascii="Times New Roman" w:cs="Times New Roman" w:eastAsia="Times New Roman" w:hAnsi="Times New Roman"/>
          <w:sz w:val="14"/>
          <w:szCs w:val="14"/>
          <w:color w:val="auto"/>
        </w:rPr>
        <w:t>Upon later regulatory approval and commercialization of related product(s), the parties will share equally in all net profits or losses. The agreement expires upon (1) the date on which products arising from the collaboration are no longer commercialized or developed for commercialization, or (2) termination by one or both parties.</w:t>
      </w:r>
    </w:p>
    <w:p>
      <w:pPr>
        <w:spacing w:after="0" w:line="136"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Company determined the agreement was a collaboration arrangement under ASC 808. The Company and ARTBIO are jointly overseeing and are active participants in the research and development activities under the agreement. In addition, both parties are exposed to the significant risks and potential rewards under the agreement.</w:t>
      </w:r>
    </w:p>
    <w:p>
      <w:pPr>
        <w:spacing w:after="0" w:line="136"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During the years ended December 31, 2024 and 2025, the Company incurred $2.6 million and $2.4 million, respectively, in costs related to the research programs within the scope of the agreement, which have been fully reimbursed by ARTBIO. Pursuant to the contract termination and funding provisions noted above, and based on the current development plan, the Company has recorded a long-term liability of $1.3 million and $2.7 million as of December 31, 2024 and 2025, respectively, to represent its portion of the research and development expense incurred to date. The Company recorded the remaining amounts, totaling $1.3 million and $1.0 million, as a reduction of research and development expenses within the statements of operations and comprehensive loss for the years ended December 31, 2024 and 2025, respectively. In addition, the Company had a receivable due from ARTBIO with respect to the reimbursement of development costs totaling $1.4 million, which was recorded within prepaid expenses and other current assets on the consolidated balance sheet at December 31, 2024.</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93"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No provision for income taxes was recorded for the years ended December 31, 2024 and 2025 due to the Company incurring net losses and maintaining a full valuation allowance against its net deferred tax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5" w:name="page246"/>
    <w:bookmarkEnd w:id="24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following table summarizes the loss before income tax expense by jurisdiction for the periods indicated (in thousands): </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7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Domestic</w:t>
            </w:r>
          </w:p>
        </w:tc>
        <w:tc>
          <w:tcPr>
            <w:tcW w:w="9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24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276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Loss before income tax expense</w:t>
            </w:r>
          </w:p>
        </w:tc>
        <w:tc>
          <w:tcPr>
            <w:tcW w:w="9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24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-19685</wp:posOffset>
            </wp:positionV>
            <wp:extent cx="5334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-6350</wp:posOffset>
            </wp:positionV>
            <wp:extent cx="5334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ind w:left="720" w:right="1179" w:firstLine="343"/>
        <w:spacing w:after="0" w:line="283" w:lineRule="auto"/>
        <w:rPr>
          <w:sz w:val="20"/>
          <w:szCs w:val="20"/>
          <w:color w:val="auto"/>
        </w:rPr>
      </w:pPr>
      <w:r>
        <w:rPr>
          <w:rFonts w:ascii="Times New Roman" w:cs="Times New Roman" w:eastAsia="Times New Roman" w:hAnsi="Times New Roman"/>
          <w:sz w:val="14"/>
          <w:szCs w:val="14"/>
          <w:color w:val="auto"/>
        </w:rPr>
        <w:t>A reconciliation of the U.S. federal statutory income tax rate to the Company’s effective income tax rate is as follows (in thousands):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3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1"/>
                <w:szCs w:val="11"/>
                <w:color w:val="auto"/>
              </w:rPr>
            </w:pPr>
          </w:p>
        </w:tc>
      </w:tr>
      <w:tr>
        <w:trPr>
          <w:trHeight w:val="106"/>
        </w:trPr>
        <w:tc>
          <w:tcPr>
            <w:tcW w:w="3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3"/>
          </w:tcPr>
          <w:p>
            <w:pPr>
              <w:jc w:val="right"/>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9"/>
                <w:szCs w:val="9"/>
                <w:color w:val="auto"/>
              </w:rPr>
            </w:pPr>
          </w:p>
        </w:tc>
      </w:tr>
      <w:tr>
        <w:trPr>
          <w:trHeight w:val="106"/>
        </w:trPr>
        <w:tc>
          <w:tcPr>
            <w:tcW w:w="3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13"/>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53"/>
              <w:spacing w:after="0" w:line="106" w:lineRule="exact"/>
              <w:rPr>
                <w:sz w:val="20"/>
                <w:szCs w:val="20"/>
                <w:color w:val="auto"/>
              </w:rPr>
            </w:pPr>
            <w:r>
              <w:rPr>
                <w:rFonts w:ascii="Times New Roman" w:cs="Times New Roman" w:eastAsia="Times New Roman" w:hAnsi="Times New Roman"/>
                <w:sz w:val="11"/>
                <w:szCs w:val="11"/>
                <w:b w:val="1"/>
                <w:bCs w:val="1"/>
                <w:color w:val="auto"/>
              </w:rPr>
              <w:t>Rate</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72"/>
              <w:spacing w:after="0" w:line="106" w:lineRule="exact"/>
              <w:rPr>
                <w:sz w:val="20"/>
                <w:szCs w:val="20"/>
                <w:color w:val="auto"/>
              </w:rPr>
            </w:pPr>
            <w:r>
              <w:rPr>
                <w:rFonts w:ascii="Times New Roman" w:cs="Times New Roman" w:eastAsia="Times New Roman" w:hAnsi="Times New Roman"/>
                <w:sz w:val="11"/>
                <w:szCs w:val="11"/>
                <w:b w:val="1"/>
                <w:bCs w:val="1"/>
                <w:color w:val="auto"/>
              </w:rPr>
              <w:t>Rate</w:t>
            </w:r>
          </w:p>
        </w:tc>
      </w:tr>
      <w:tr>
        <w:trPr>
          <w:trHeight w:val="159"/>
        </w:trPr>
        <w:tc>
          <w:tcPr>
            <w:tcW w:w="30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U.S. federal statutory income tax rate</w:t>
            </w:r>
          </w:p>
        </w:tc>
        <w:tc>
          <w:tcPr>
            <w:tcW w:w="4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(24,762)</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(30,637)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21.0%</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Tax credits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Nontaxable and nondeductible items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68"/>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28,690</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taxes, net of federal effect</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30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FF0FC"/>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-19685</wp:posOffset>
            </wp:positionV>
            <wp:extent cx="4000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-6350</wp:posOffset>
            </wp:positionV>
            <wp:extent cx="4000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-19685</wp:posOffset>
            </wp:positionV>
            <wp:extent cx="4699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-6350</wp:posOffset>
            </wp:positionV>
            <wp:extent cx="4699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-19685</wp:posOffset>
            </wp:positionV>
            <wp:extent cx="4000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4425315</wp:posOffset>
            </wp:positionH>
            <wp:positionV relativeFrom="paragraph">
              <wp:posOffset>-6350</wp:posOffset>
            </wp:positionV>
            <wp:extent cx="4000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There were no income taxes paid (net of refunds received) for the years ended December 31, 2024 and 2025.</w:t>
      </w:r>
    </w:p>
    <w:p>
      <w:pPr>
        <w:spacing w:after="0" w:line="1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components of the Company’s deferred tax assets and liabilities are as follows (in thousands):</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7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0" w:type="dxa"/>
            <w:vAlign w:val="bottom"/>
          </w:tcPr>
          <w:p>
            <w:pPr>
              <w:spacing w:after="0"/>
              <w:rPr>
                <w:sz w:val="13"/>
                <w:szCs w:val="13"/>
                <w:color w:val="auto"/>
              </w:rPr>
            </w:pPr>
          </w:p>
        </w:tc>
        <w:tc>
          <w:tcPr>
            <w:tcW w:w="3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Deferred tax assets:</w:t>
            </w: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53,563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97,074</w:t>
            </w:r>
          </w:p>
        </w:tc>
      </w:tr>
      <w:tr>
        <w:trPr>
          <w:trHeight w:val="168"/>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17,537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23,287</w:t>
            </w: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3,522</w:t>
            </w:r>
          </w:p>
        </w:tc>
      </w:tr>
      <w:tr>
        <w:trPr>
          <w:trHeight w:val="168"/>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12,968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11,630</w:t>
            </w: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Capitalized research and development expenses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46,553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39,519</w:t>
            </w:r>
          </w:p>
        </w:tc>
      </w:tr>
      <w:tr>
        <w:trPr>
          <w:trHeight w:val="168"/>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2,251</w:t>
            </w: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361</w:t>
            </w:r>
          </w:p>
        </w:tc>
      </w:tr>
      <w:tr>
        <w:trPr>
          <w:trHeight w:val="159"/>
        </w:trPr>
        <w:tc>
          <w:tcPr>
            <w:tcW w:w="20" w:type="dxa"/>
            <w:vAlign w:val="bottom"/>
          </w:tcPr>
          <w:p>
            <w:pPr>
              <w:spacing w:after="0"/>
              <w:rPr>
                <w:sz w:val="13"/>
                <w:szCs w:val="13"/>
                <w:color w:val="auto"/>
              </w:rPr>
            </w:pPr>
          </w:p>
        </w:tc>
        <w:tc>
          <w:tcPr>
            <w:tcW w:w="3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deferred tax assets</w:t>
            </w: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134,811</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177,644</w:t>
            </w:r>
          </w:p>
        </w:tc>
      </w:tr>
      <w:tr>
        <w:trPr>
          <w:trHeight w:val="168"/>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Less valuation allowance</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(122,217)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(166,536)</w:t>
            </w:r>
          </w:p>
        </w:tc>
      </w:tr>
      <w:tr>
        <w:trPr>
          <w:trHeight w:val="159"/>
        </w:trPr>
        <w:tc>
          <w:tcPr>
            <w:tcW w:w="20" w:type="dxa"/>
            <w:vAlign w:val="bottom"/>
          </w:tcPr>
          <w:p>
            <w:pPr>
              <w:spacing w:after="0"/>
              <w:rPr>
                <w:sz w:val="13"/>
                <w:szCs w:val="13"/>
                <w:color w:val="auto"/>
              </w:rPr>
            </w:pPr>
          </w:p>
        </w:tc>
        <w:tc>
          <w:tcPr>
            <w:tcW w:w="3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deferred tax assets, net</w:t>
            </w: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12,594</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11,108</w:t>
            </w:r>
          </w:p>
        </w:tc>
      </w:tr>
      <w:tr>
        <w:trPr>
          <w:trHeight w:val="168"/>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Right-of-use lease assets</w:t>
            </w:r>
          </w:p>
        </w:tc>
        <w:tc>
          <w:tcPr>
            <w:tcW w:w="3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(12,594)</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(11,108)</w:t>
            </w:r>
          </w:p>
        </w:tc>
      </w:tr>
      <w:tr>
        <w:trPr>
          <w:trHeight w:val="159"/>
        </w:trPr>
        <w:tc>
          <w:tcPr>
            <w:tcW w:w="20" w:type="dxa"/>
            <w:vAlign w:val="bottom"/>
          </w:tcPr>
          <w:p>
            <w:pPr>
              <w:spacing w:after="0"/>
              <w:rPr>
                <w:sz w:val="13"/>
                <w:szCs w:val="13"/>
                <w:color w:val="auto"/>
              </w:rPr>
            </w:pPr>
          </w:p>
        </w:tc>
        <w:tc>
          <w:tcPr>
            <w:tcW w:w="3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deferred tax liabilities</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(12,594)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(11,108)</w:t>
            </w:r>
          </w:p>
        </w:tc>
      </w:tr>
      <w:tr>
        <w:trPr>
          <w:trHeight w:val="179"/>
        </w:trPr>
        <w:tc>
          <w:tcPr>
            <w:tcW w:w="20" w:type="dxa"/>
            <w:vAlign w:val="bottom"/>
          </w:tcPr>
          <w:p>
            <w:pPr>
              <w:spacing w:after="0"/>
              <w:rPr>
                <w:sz w:val="15"/>
                <w:szCs w:val="15"/>
                <w:color w:val="auto"/>
              </w:rPr>
            </w:pPr>
          </w:p>
        </w:tc>
        <w:tc>
          <w:tcPr>
            <w:tcW w:w="3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deferred tax asset</w:t>
            </w:r>
          </w:p>
        </w:tc>
        <w:tc>
          <w:tcPr>
            <w:tcW w:w="5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-246380</wp:posOffset>
            </wp:positionV>
            <wp:extent cx="5334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-19685</wp:posOffset>
            </wp:positionV>
            <wp:extent cx="5334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-6350</wp:posOffset>
            </wp:positionV>
            <wp:extent cx="5334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As of December 31, 2025, the Company had net operating loss carryforwards for federal income tax purposes of $357.9 million, of which $348.9 million can be carried forward indefinitely and the remainder of which begin to expire in 2036. In addition, as of December 31, 2025 the Company had state net operating loss carryforwards of $347.4 million, of which $2.7 million can be carried forward indefinitely and the remainder of which begin to expire in 2036. As of December 31, 2025, the Company had federal and state research and development tax credit carryforwards of $17.2 million and $7.7 million, respectively, which are available to reduce future tax liabilities, and which begin to expire in 2030.</w:t>
      </w:r>
    </w:p>
    <w:p>
      <w:pPr>
        <w:spacing w:after="0" w:line="143"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To date, the Company has not yet conducted a study to determine if any such changes have occurred that could limit its ability to use its net operating loss and tax credit carryforwards.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6" w:name="page247"/>
    <w:bookmarkEnd w:id="24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Company has not yet conducted a study of its research and development credit carryforwards. This study may result in an increase or decrease to the Company’s credit carryforwards; however, until a study is completed, and any adjustment is known, no amounts are being presented as an uncertain tax position. A full valuation allowance has been provided against the Company’s credits; therefore, there would be no impact to the consolidated statements of operations and comprehensive loss or consolidated statements of cash flows if an adjustment were required.</w:t>
      </w:r>
    </w:p>
    <w:p>
      <w:pPr>
        <w:spacing w:after="0" w:line="144" w:lineRule="exact"/>
        <w:rPr>
          <w:sz w:val="20"/>
          <w:szCs w:val="20"/>
          <w:color w:val="auto"/>
        </w:rPr>
      </w:pPr>
    </w:p>
    <w:p>
      <w:pPr>
        <w:ind w:left="720" w:right="779" w:firstLine="343"/>
        <w:spacing w:after="0" w:line="258" w:lineRule="auto"/>
        <w:rPr>
          <w:sz w:val="20"/>
          <w:szCs w:val="20"/>
          <w:color w:val="auto"/>
        </w:rPr>
      </w:pPr>
      <w:r>
        <w:rPr>
          <w:rFonts w:ascii="Times New Roman" w:cs="Times New Roman" w:eastAsia="Times New Roman" w:hAnsi="Times New Roman"/>
          <w:sz w:val="14"/>
          <w:szCs w:val="14"/>
          <w:color w:val="auto"/>
        </w:rPr>
        <w:t>The Company has recorded a valuation allowance against its deferred tax assets as of December 31, 2024 and 2025, because the Company’s management believes that it is more likely than not that these assets will not be realized. The valuation allowance increased by approximately $36.6 million and $44.3 million during the years ended December 31, 2024 and 2025, respectively, primarily as a result of operating losses incurred, research and development credits generated, and capitalized research expenditures incurred during the respective years.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 (in thousands):</w:t>
      </w:r>
    </w:p>
    <w:p>
      <w:pPr>
        <w:spacing w:after="0" w:line="19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7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85,622</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122,217</w:t>
            </w:r>
          </w:p>
        </w:tc>
      </w:tr>
      <w:tr>
        <w:trPr>
          <w:trHeight w:val="168"/>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36,595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44,319</w:t>
            </w:r>
          </w:p>
        </w:tc>
      </w:tr>
      <w:tr>
        <w:trPr>
          <w:trHeight w:val="179"/>
        </w:trPr>
        <w:tc>
          <w:tcPr>
            <w:tcW w:w="27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Ending balance</w:t>
            </w:r>
          </w:p>
        </w:tc>
        <w:tc>
          <w:tcPr>
            <w:tcW w:w="10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122,217</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166,536</w:t>
            </w: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-19685</wp:posOffset>
            </wp:positionV>
            <wp:extent cx="5334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-6350</wp:posOffset>
            </wp:positionV>
            <wp:extent cx="5334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jc w:val="both"/>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The Company had no unrecognized tax benefits or related interest and penalties accrued as of December 31, 2024 and 2025. The Company’s accounting policy is to recognize any interest and penalties related to uncertain tax positions as components of income tax expense.</w:t>
      </w:r>
    </w:p>
    <w:p>
      <w:pPr>
        <w:spacing w:after="0" w:line="136"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The Company is subject to U.S. federal income tax as well as state income tax in various U.S. states. The statutes of limitations for assessment by the IRS and state tax authorities are open for the tax years since 2021. Currently, no federal or state income tax returns are under examination by the respective taxing authorities. All tax years remain open to examination by these jurisdictions, as carryforward attributes generated in past years may be adjusted in a future period.</w:t>
      </w:r>
    </w:p>
    <w:p>
      <w:pPr>
        <w:spacing w:after="0" w:line="141"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On July 4, 2025, the U.S. government enacted The One Big Beautiful Bill Act of 2025 (“OBBBA”) which includes, among other provisions, changes to the U.S. corporate income tax system.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740, the Company recognized the effects of the new tax law in the period that includes the enactment date. While OBBBA did not have a material impact on the Company’s consolidated financial statements as of and for year ended December 31, 2025, the Company will continue to assess the changes. However, the Company does not expect such changes will have a material effect on its consolidated financial statements in future periods.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91" w:lineRule="exact"/>
        <w:rPr>
          <w:sz w:val="20"/>
          <w:szCs w:val="20"/>
          <w:color w:val="auto"/>
        </w:rPr>
      </w:pPr>
    </w:p>
    <w:p>
      <w:pPr>
        <w:ind w:left="720" w:right="799" w:firstLine="343"/>
        <w:spacing w:after="0" w:line="268" w:lineRule="auto"/>
        <w:rPr>
          <w:sz w:val="20"/>
          <w:szCs w:val="20"/>
          <w:color w:val="auto"/>
        </w:rPr>
      </w:pPr>
      <w:r>
        <w:rPr>
          <w:rFonts w:ascii="Times New Roman" w:cs="Times New Roman" w:eastAsia="Times New Roman" w:hAnsi="Times New Roman"/>
          <w:sz w:val="14"/>
          <w:szCs w:val="14"/>
          <w:color w:val="auto"/>
        </w:rPr>
        <w:t xml:space="preserve">The Company subleased a portion of the 30 Acorn Park Drive property discussed in Note 10,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a subtenant that is considered a related party due to common board members and stockholders. The related party is required to make lease payments and payments for its proportionate share of related occupancy costs to the Company.</w:t>
      </w:r>
    </w:p>
    <w:p>
      <w:pPr>
        <w:spacing w:after="0" w:line="135" w:lineRule="exact"/>
        <w:rPr>
          <w:sz w:val="20"/>
          <w:szCs w:val="20"/>
          <w:color w:val="auto"/>
        </w:rPr>
      </w:pPr>
    </w:p>
    <w:p>
      <w:pPr>
        <w:ind w:left="720" w:right="859" w:firstLine="343"/>
        <w:spacing w:after="0" w:line="257" w:lineRule="auto"/>
        <w:rPr>
          <w:sz w:val="20"/>
          <w:szCs w:val="20"/>
          <w:color w:val="auto"/>
        </w:rPr>
      </w:pPr>
      <w:r>
        <w:rPr>
          <w:rFonts w:ascii="Times New Roman" w:cs="Times New Roman" w:eastAsia="Times New Roman" w:hAnsi="Times New Roman"/>
          <w:sz w:val="14"/>
          <w:szCs w:val="14"/>
          <w:color w:val="auto"/>
        </w:rPr>
        <w:t>The Company recorded sublease income of $4.2 million for each of the years ended December 31, 2024 and 2025. In addition, the Company received payments from the related party of $2.3 million and $2.0 million during the years ended December 31, 2024 and 2025, respectively, representing the related party’s share of occupancy costs. Of the amounts received, $2.1 million and $1.8 million were recorded as a reduction of research and development expense for the years ended December 31, 2024 and 2025, respectively, and $0.2 million was recorded as a reduction of general and administrative expense for each of the years ended December 31, 2024 and 2025 in the consolidated statements of operations and comprehensive loss.</w:t>
      </w:r>
    </w:p>
    <w:p>
      <w:pPr>
        <w:spacing w:after="0" w:line="14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2024, there was $0.1 million due from the related party on the consolidated balance sheet related to rent and occupancy costs. The Company recorded a rent receivable from the related party of $0.3 million as of December 31, 2024 which was classified as current on the consolidated balance sheet. The sublease expired in December 2025.</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15. Retirement Plan</w:t>
      </w:r>
    </w:p>
    <w:p>
      <w:pPr>
        <w:spacing w:after="0" w:line="93"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The Company has a U.S. tax-qualified employee savings and retirement 401(k) plan, covering all qualified employees. Participants may elect a salary deferral up to the statutorily prescribed annual limit for tax-deferred contributions. The Company may make matching contributions to each eligible participant’s account based on a percentage of the participant’s elective deferral contribution. Matching contributions were $0.9 million and $1.2 million during the years ended December 31, 2024 and 2025, respectively.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7" w:name="page248"/>
    <w:bookmarkEnd w:id="24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16. Net Loss Per Share</w:t>
      </w:r>
    </w:p>
    <w:p>
      <w:pPr>
        <w:spacing w:after="0" w:line="9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the outstanding shares of common stock equivalents, presented based on amounts outstanding at each period end, that were excluded from the calculation of diluted net loss per share allocable to common stockholders for the periods indicated because including them would have been anti-dilutive:</w:t>
      </w:r>
    </w:p>
    <w:p>
      <w:pPr>
        <w:spacing w:after="0" w:line="13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620" w:type="dxa"/>
            <w:vAlign w:val="bottom"/>
          </w:tcPr>
          <w:p>
            <w:pPr>
              <w:spacing w:after="0"/>
              <w:rPr>
                <w:sz w:val="11"/>
                <w:szCs w:val="11"/>
                <w:color w:val="auto"/>
              </w:rPr>
            </w:pPr>
          </w:p>
        </w:tc>
        <w:tc>
          <w:tcPr>
            <w:tcW w:w="168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620" w:type="dxa"/>
            <w:vAlign w:val="bottom"/>
          </w:tcPr>
          <w:p>
            <w:pPr>
              <w:spacing w:after="0"/>
              <w:rPr>
                <w:sz w:val="9"/>
                <w:szCs w:val="9"/>
                <w:color w:val="auto"/>
              </w:rPr>
            </w:pPr>
          </w:p>
        </w:tc>
        <w:tc>
          <w:tcPr>
            <w:tcW w:w="820" w:type="dxa"/>
            <w:vAlign w:val="bottom"/>
            <w:tcBorders>
              <w:bottom w:val="single" w:sz="8" w:color="auto"/>
            </w:tcBorders>
          </w:tcPr>
          <w:p>
            <w:pPr>
              <w:jc w:val="right"/>
              <w:ind w:right="27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820" w:type="dxa"/>
            <w:vAlign w:val="bottom"/>
            <w:tcBorders>
              <w:bottom w:val="single" w:sz="8" w:color="auto"/>
            </w:tcBorders>
          </w:tcPr>
          <w:p>
            <w:pPr>
              <w:jc w:val="right"/>
              <w:ind w:right="2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36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1,543,214</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6,261,931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6,261,931</w:t>
            </w:r>
          </w:p>
        </w:tc>
      </w:tr>
      <w:tr>
        <w:trPr>
          <w:trHeight w:val="168"/>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10,064,421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10,064,421</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19,497,429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19,497,429</w:t>
            </w:r>
          </w:p>
        </w:tc>
      </w:tr>
      <w:tr>
        <w:trPr>
          <w:trHeight w:val="168"/>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12,445,024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23,281,563</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37,169</w:t>
            </w:r>
          </w:p>
        </w:tc>
      </w:tr>
      <w:tr>
        <w:trPr>
          <w:trHeight w:val="168"/>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12,196,305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12,446,296</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tranche rights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10,836,539</w:t>
            </w:r>
          </w:p>
        </w:tc>
        <w:tc>
          <w:tcPr>
            <w:tcW w:w="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bottom w:val="single" w:sz="8" w:color="CFF0FC"/>
            </w:tcBorders>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72,882,032</w:t>
            </w:r>
          </w:p>
        </w:tc>
        <w:tc>
          <w:tcPr>
            <w:tcW w:w="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73,132,023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-19685</wp:posOffset>
            </wp:positionV>
            <wp:extent cx="3365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-6350</wp:posOffset>
            </wp:positionV>
            <wp:extent cx="3365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133" w:lineRule="exact"/>
        <w:rPr>
          <w:sz w:val="20"/>
          <w:szCs w:val="20"/>
          <w:color w:val="auto"/>
        </w:rPr>
      </w:pPr>
    </w:p>
    <w:p>
      <w:pPr>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The amounts of outstanding stock options in the table above for the years ended December 31, 2024 and 2025 exclude 1,554,976 potentially dilutive securities as these outstanding stock options relate to contingently issuable shares for which the market condition was not satisfied as of the respective period end.</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17. Segment Reporting</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Company manages its operations as a single operating and reportable segment that is focused on developing Helicon medicines targeting historically undruggable proteins. The CODM manages the Company’s operations on a consolidated basis and uses consolidated net loss to assess financial performance and allocate resources.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review assets in evaluating the results of the segments, and therefore, such information is not presented.</w:t>
      </w:r>
    </w:p>
    <w:p>
      <w:pPr>
        <w:spacing w:after="0" w:line="143" w:lineRule="exact"/>
        <w:rPr>
          <w:sz w:val="20"/>
          <w:szCs w:val="20"/>
          <w:color w:val="auto"/>
        </w:rPr>
      </w:pPr>
    </w:p>
    <w:p>
      <w:pPr>
        <w:ind w:left="720" w:right="12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(in thousands):</w:t>
      </w:r>
    </w:p>
    <w:p>
      <w:pPr>
        <w:spacing w:after="0" w:line="120"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0" w:type="dxa"/>
            <w:vAlign w:val="bottom"/>
          </w:tcPr>
          <w:p>
            <w:pPr>
              <w:spacing w:after="0"/>
              <w:rPr>
                <w:sz w:val="13"/>
                <w:szCs w:val="13"/>
                <w:color w:val="auto"/>
              </w:rPr>
            </w:pPr>
          </w:p>
        </w:tc>
        <w:tc>
          <w:tcPr>
            <w:tcW w:w="35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5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External research and development expense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Zolucatetide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41,798</w:t>
            </w:r>
          </w:p>
        </w:tc>
      </w:tr>
      <w:tr>
        <w:trPr>
          <w:trHeight w:val="154"/>
        </w:trPr>
        <w:tc>
          <w:tcPr>
            <w:tcW w:w="20" w:type="dxa"/>
            <w:vAlign w:val="bottom"/>
          </w:tcPr>
          <w:p>
            <w:pPr>
              <w:spacing w:after="0"/>
              <w:rPr>
                <w:sz w:val="13"/>
                <w:szCs w:val="13"/>
                <w:color w:val="auto"/>
              </w:rPr>
            </w:pPr>
          </w:p>
        </w:tc>
        <w:tc>
          <w:tcPr>
            <w:tcW w:w="3540" w:type="dxa"/>
            <w:vAlign w:val="bottom"/>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External research and development expense</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 ß-Catenin Degrader</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w:t>
            </w:r>
          </w:p>
        </w:tc>
      </w:tr>
      <w:tr>
        <w:trPr>
          <w:trHeight w:val="168"/>
        </w:trPr>
        <w:tc>
          <w:tcPr>
            <w:tcW w:w="20" w:type="dxa"/>
            <w:vAlign w:val="bottom"/>
          </w:tcPr>
          <w:p>
            <w:pPr>
              <w:spacing w:after="0"/>
              <w:rPr>
                <w:sz w:val="14"/>
                <w:szCs w:val="14"/>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External research and development expense - ERG</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7,355</w:t>
            </w:r>
          </w:p>
        </w:tc>
      </w:tr>
      <w:tr>
        <w:trPr>
          <w:trHeight w:val="168"/>
        </w:trPr>
        <w:tc>
          <w:tcPr>
            <w:tcW w:w="20" w:type="dxa"/>
            <w:vAlign w:val="bottom"/>
          </w:tcPr>
          <w:p>
            <w:pPr>
              <w:spacing w:after="0"/>
              <w:rPr>
                <w:sz w:val="14"/>
                <w:szCs w:val="14"/>
                <w:color w:val="auto"/>
              </w:rPr>
            </w:pPr>
          </w:p>
        </w:tc>
        <w:tc>
          <w:tcPr>
            <w:tcW w:w="354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4"/>
                <w:szCs w:val="14"/>
                <w:color w:val="auto"/>
              </w:rPr>
              <w:t>External research and development expense - AR</w:t>
            </w:r>
            <w:r>
              <w:rPr>
                <w:rFonts w:ascii="Times New Roman" w:cs="Times New Roman" w:eastAsia="Times New Roman" w:hAnsi="Times New Roman"/>
                <w:sz w:val="18"/>
                <w:szCs w:val="18"/>
                <w:color w:val="auto"/>
                <w:vertAlign w:val="superscript"/>
              </w:rPr>
              <w:t>ON</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4,043</w:t>
            </w:r>
          </w:p>
        </w:tc>
      </w:tr>
      <w:tr>
        <w:trPr>
          <w:trHeight w:val="153"/>
        </w:trPr>
        <w:tc>
          <w:tcPr>
            <w:tcW w:w="20" w:type="dxa"/>
            <w:vAlign w:val="bottom"/>
          </w:tcPr>
          <w:p>
            <w:pPr>
              <w:spacing w:after="0"/>
              <w:rPr>
                <w:sz w:val="13"/>
                <w:szCs w:val="13"/>
                <w:color w:val="auto"/>
              </w:rPr>
            </w:pPr>
          </w:p>
        </w:tc>
        <w:tc>
          <w:tcPr>
            <w:tcW w:w="35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External research and development expense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Early discovery and other programs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w:t>
            </w:r>
          </w:p>
        </w:tc>
      </w:tr>
      <w:tr>
        <w:trPr>
          <w:trHeight w:val="168"/>
        </w:trPr>
        <w:tc>
          <w:tcPr>
            <w:tcW w:w="20" w:type="dxa"/>
            <w:vAlign w:val="bottom"/>
          </w:tcPr>
          <w:p>
            <w:pPr>
              <w:spacing w:after="0"/>
              <w:rPr>
                <w:sz w:val="14"/>
                <w:szCs w:val="14"/>
                <w:color w:val="auto"/>
              </w:rPr>
            </w:pPr>
          </w:p>
        </w:tc>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28,758</w:t>
            </w:r>
          </w:p>
        </w:tc>
      </w:tr>
      <w:tr>
        <w:trPr>
          <w:trHeight w:val="153"/>
        </w:trPr>
        <w:tc>
          <w:tcPr>
            <w:tcW w:w="20" w:type="dxa"/>
            <w:vAlign w:val="bottom"/>
          </w:tcPr>
          <w:p>
            <w:pPr>
              <w:spacing w:after="0"/>
              <w:rPr>
                <w:sz w:val="13"/>
                <w:szCs w:val="13"/>
                <w:color w:val="auto"/>
              </w:rPr>
            </w:pPr>
          </w:p>
        </w:tc>
        <w:tc>
          <w:tcPr>
            <w:tcW w:w="35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Personnel-related research and development expenses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(excluding stock-based compensation expense)</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34,555</w:t>
            </w:r>
          </w:p>
        </w:tc>
      </w:tr>
      <w:tr>
        <w:trPr>
          <w:trHeight w:val="154"/>
        </w:trPr>
        <w:tc>
          <w:tcPr>
            <w:tcW w:w="20" w:type="dxa"/>
            <w:vAlign w:val="bottom"/>
          </w:tcPr>
          <w:p>
            <w:pPr>
              <w:spacing w:after="0"/>
              <w:rPr>
                <w:sz w:val="13"/>
                <w:szCs w:val="13"/>
                <w:color w:val="auto"/>
              </w:rPr>
            </w:pPr>
          </w:p>
        </w:tc>
        <w:tc>
          <w:tcPr>
            <w:tcW w:w="3540" w:type="dxa"/>
            <w:vAlign w:val="bottom"/>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Personnel-related general and administrative expenses</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(excluding stock-based compensation expense)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9,115</w:t>
            </w:r>
          </w:p>
        </w:tc>
      </w:tr>
      <w:tr>
        <w:trPr>
          <w:trHeight w:val="168"/>
        </w:trPr>
        <w:tc>
          <w:tcPr>
            <w:tcW w:w="20" w:type="dxa"/>
            <w:vAlign w:val="bottom"/>
          </w:tcPr>
          <w:p>
            <w:pPr>
              <w:spacing w:after="0"/>
              <w:rPr>
                <w:sz w:val="14"/>
                <w:szCs w:val="14"/>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14,739</w:t>
            </w:r>
          </w:p>
        </w:tc>
      </w:tr>
      <w:tr>
        <w:trPr>
          <w:trHeight w:val="168"/>
        </w:trPr>
        <w:tc>
          <w:tcPr>
            <w:tcW w:w="20" w:type="dxa"/>
            <w:vAlign w:val="bottom"/>
          </w:tcPr>
          <w:p>
            <w:pPr>
              <w:spacing w:after="0"/>
              <w:rPr>
                <w:sz w:val="14"/>
                <w:szCs w:val="14"/>
                <w:color w:val="auto"/>
              </w:rPr>
            </w:pPr>
          </w:p>
        </w:tc>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w:t>
            </w:r>
          </w:p>
        </w:tc>
      </w:tr>
      <w:tr>
        <w:trPr>
          <w:trHeight w:val="168"/>
        </w:trPr>
        <w:tc>
          <w:tcPr>
            <w:tcW w:w="20" w:type="dxa"/>
            <w:vAlign w:val="bottom"/>
          </w:tcPr>
          <w:p>
            <w:pPr>
              <w:spacing w:after="0"/>
              <w:rPr>
                <w:sz w:val="14"/>
                <w:szCs w:val="14"/>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r>
      <w:tr>
        <w:trPr>
          <w:trHeight w:val="168"/>
        </w:trPr>
        <w:tc>
          <w:tcPr>
            <w:tcW w:w="20" w:type="dxa"/>
            <w:vAlign w:val="bottom"/>
          </w:tcPr>
          <w:p>
            <w:pPr>
              <w:spacing w:after="0"/>
              <w:rPr>
                <w:sz w:val="14"/>
                <w:szCs w:val="14"/>
                <w:color w:val="auto"/>
              </w:rPr>
            </w:pPr>
          </w:p>
        </w:tc>
        <w:tc>
          <w:tcPr>
            <w:tcW w:w="35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(1)</w:t>
            </w: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(6,190)</w:t>
            </w:r>
          </w:p>
        </w:tc>
      </w:tr>
      <w:tr>
        <w:trPr>
          <w:trHeight w:val="159"/>
        </w:trPr>
        <w:tc>
          <w:tcPr>
            <w:tcW w:w="20" w:type="dxa"/>
            <w:vAlign w:val="bottom"/>
          </w:tcPr>
          <w:p>
            <w:pPr>
              <w:spacing w:after="0"/>
              <w:rPr>
                <w:sz w:val="13"/>
                <w:szCs w:val="13"/>
                <w:color w:val="auto"/>
              </w:rPr>
            </w:pPr>
          </w:p>
        </w:tc>
        <w:tc>
          <w:tcPr>
            <w:tcW w:w="35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Consolidated net loss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117,914</w:t>
            </w:r>
          </w:p>
        </w:tc>
        <w:tc>
          <w:tcPr>
            <w:tcW w:w="34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145,889</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-132715</wp:posOffset>
            </wp:positionV>
            <wp:extent cx="11366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2" w:lineRule="exact"/>
        <w:rPr>
          <w:sz w:val="20"/>
          <w:szCs w:val="20"/>
          <w:color w:val="auto"/>
        </w:rPr>
      </w:pPr>
    </w:p>
    <w:p>
      <w:pPr>
        <w:ind w:left="2080" w:right="839" w:hanging="250"/>
        <w:spacing w:after="0" w:line="261" w:lineRule="auto"/>
        <w:tabs>
          <w:tab w:leader="none" w:pos="20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interest income, interest expense, sublease income – related party, changes in fair value of preferred stock tranche right liability and other income.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8" w:name="page249"/>
    <w:bookmarkEnd w:id="24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93" w:lineRule="exact"/>
        <w:rPr>
          <w:sz w:val="20"/>
          <w:szCs w:val="20"/>
          <w:color w:val="auto"/>
        </w:rPr>
      </w:pPr>
    </w:p>
    <w:p>
      <w:pPr>
        <w:jc w:val="both"/>
        <w:ind w:left="720" w:right="1019" w:firstLine="343"/>
        <w:spacing w:after="0" w:line="267" w:lineRule="auto"/>
        <w:rPr>
          <w:sz w:val="20"/>
          <w:szCs w:val="20"/>
          <w:color w:val="auto"/>
        </w:rPr>
      </w:pPr>
      <w:r>
        <w:rPr>
          <w:rFonts w:ascii="Times New Roman" w:cs="Times New Roman" w:eastAsia="Times New Roman" w:hAnsi="Times New Roman"/>
          <w:sz w:val="14"/>
          <w:szCs w:val="14"/>
          <w:color w:val="auto"/>
        </w:rPr>
        <w:t>The Company has evaluated subsequent events through April 2, 2026, the date these consolidated financial statements were available to be issued and has concluded that no events or transactions have occurred that require disclosure in the accompanying consolidated financial statements, except as follows: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Series F Preferred Stock</w:t>
      </w:r>
    </w:p>
    <w:p>
      <w:pPr>
        <w:spacing w:after="0" w:line="93" w:lineRule="exact"/>
        <w:rPr>
          <w:sz w:val="20"/>
          <w:szCs w:val="20"/>
          <w:color w:val="auto"/>
        </w:rPr>
      </w:pPr>
    </w:p>
    <w:p>
      <w:pPr>
        <w:ind w:left="720" w:right="859" w:firstLine="343"/>
        <w:spacing w:after="0" w:line="258" w:lineRule="auto"/>
        <w:rPr>
          <w:sz w:val="20"/>
          <w:szCs w:val="20"/>
          <w:color w:val="auto"/>
        </w:rPr>
      </w:pPr>
      <w:r>
        <w:rPr>
          <w:rFonts w:ascii="Times New Roman" w:cs="Times New Roman" w:eastAsia="Times New Roman" w:hAnsi="Times New Roman"/>
          <w:sz w:val="14"/>
          <w:szCs w:val="14"/>
          <w:color w:val="auto"/>
        </w:rPr>
        <w:t>On January 6, 2026, the Company entered into the Series F Preferred Stock Purchase Agreement (the “Series F Agreement”) and issued to investors an aggregate of 49,518,175 shares of Series F Preferred Stock at a purchase price of $6.16 per share for gross proceeds of $305.2 million. The issuance of the Series F Preferred Stock triggered adjustments to the respective conversion prices of the Series A Preferred Stock, Series B Preferred Stock, Series C Preferred Stock, Series D Preferred Stock and Series E Preferred Stock.</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2026 Stock Option and Grant Plan</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On January 6, 2026, the Company’s Board of Directors and stockholders approved the 2026 Stock Option and Grant Plan (the “January 2026 Plan”). The January 2026 Plan provides for the grant of incentive stock options, nonqualified stock options, restricted stock awards and other stock-based awards. The number of shares of common stock authorized and reserved for issuance under the January 2026 Plan is 13,655,004 shares. The shares of common stock underlying any awards that are forfeited, canceled, reacquired by the Company prior to vesting, satisfied without the issuance of common stock or otherwise terminated and shares that are withheld upon exercise of an option or settlement of an award to satisfy the exercise price or tax withholding under the 2016 Plan and January 2026 Plan will be added back to the shares of common stock available for issuance under the January 2026 Plan. No further grants will be made under the 2016 Plan.</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Grants of Stock Options</w:t>
      </w:r>
    </w:p>
    <w:p>
      <w:pPr>
        <w:spacing w:after="0" w:line="93" w:lineRule="exact"/>
        <w:rPr>
          <w:sz w:val="20"/>
          <w:szCs w:val="20"/>
          <w:color w:val="auto"/>
        </w:rPr>
      </w:pPr>
    </w:p>
    <w:p>
      <w:pPr>
        <w:jc w:val="both"/>
        <w:ind w:left="720" w:right="979" w:firstLine="343"/>
        <w:spacing w:after="0" w:line="267" w:lineRule="auto"/>
        <w:rPr>
          <w:sz w:val="20"/>
          <w:szCs w:val="20"/>
          <w:color w:val="auto"/>
        </w:rPr>
      </w:pPr>
      <w:r>
        <w:rPr>
          <w:rFonts w:ascii="Times New Roman" w:cs="Times New Roman" w:eastAsia="Times New Roman" w:hAnsi="Times New Roman"/>
          <w:sz w:val="14"/>
          <w:szCs w:val="14"/>
          <w:color w:val="auto"/>
        </w:rPr>
        <w:t>In February 2026, the Company granted stock options to purchase an aggregate of 9,205,300 shares of common stock, at an exercise price of $2.04 per share. In March 2026, the Company granted stock options to purchase an aggregate of 71,700 shares of common stock, at an exercise price of $2.66 per share. The stock options are expected to vest over a four-year period.</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Simple Agreement for Future Equity</w:t>
      </w:r>
    </w:p>
    <w:p>
      <w:pPr>
        <w:spacing w:after="0" w:line="93"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On March 27, 2026, the Company issued a SAFE for gross proceeds of $50.0 million. The amount invested by the investor in the SAFE is automatically convertible into either shares of common stock upon the closing of an initial public offering or in connection with a direct listing, or shares of preferred stock in connection with an equity financing. The number of shares to be received by the SAFE investor upon conversion is based on a 10% discount to the pricing in the applicable initial public offering, direct listing, or equity financing, subject to certain adjustments.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9" w:name="page250"/>
    <w:bookmarkEnd w:id="24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Condensed Consolidated Balance Sheets</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(unaudited)</w: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27,711</w:t>
            </w:r>
          </w:p>
        </w:tc>
        <w:tc>
          <w:tcPr>
            <w:tcW w:w="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329,039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3,033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29,358</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332,072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6,658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39,360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37,697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4,891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80,820</w:t>
            </w:r>
          </w:p>
        </w:tc>
        <w:tc>
          <w:tcPr>
            <w:tcW w:w="280" w:type="dxa"/>
            <w:vAlign w:val="bottom"/>
            <w:gridSpan w:val="2"/>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384,173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4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17,272</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15,038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Due to related party</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18,630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21,557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7,174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7,380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 liabilities, current portion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Term loan, net of discount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13,077</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9,401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56,791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54,240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36,341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34,412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97,344</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139,953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Commitments and contingencies (Note 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Convertible preferred stock, $0.0001 par value; 53,296,426 and 102,814,601 shares</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authorized at December 31, 2025 and March 31, 2026, respectively; 53,296,426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and 102,814,601 shares issued and outstanding at December 31, 2025 and</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March 31, 2026, respectively (liquidation preference of $658,972 and $989,587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at December 31, 2025 and March 31, 2026, respectively)</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509,971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814,540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Common stock, $0.0001 par value; 81,000,000 and 150,132,000 shares authorized</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at December 31, 2025 and March 31, 2026, respectively; 3,132,248 and</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3,274,905 shares issued and outstanding at December 31, 2025 and</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March 31, 2026, respectively</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15,009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(541,504)</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(586,820)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stockholders’ deficit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(526,495)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(570,320)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80,820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384,173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-3390265</wp:posOffset>
            </wp:positionV>
            <wp:extent cx="7366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-2295525</wp:posOffset>
            </wp:positionV>
            <wp:extent cx="7366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-1641475</wp:posOffset>
            </wp:positionV>
            <wp:extent cx="7366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-246380</wp:posOffset>
            </wp:positionV>
            <wp:extent cx="7366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-19685</wp:posOffset>
            </wp:positionV>
            <wp:extent cx="7366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-6350</wp:posOffset>
            </wp:positionV>
            <wp:extent cx="7366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660"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condensed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0" w:name="page251"/>
    <w:bookmarkEnd w:id="25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Condensed Consolidated Statements of Operations and Comprehensive Loss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33,905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37,753</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6,336</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9,700</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47,453</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(40,241)</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(47,453)</w:t>
            </w: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2,429</w:t>
            </w: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Sublease income - related party</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other income, net</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1,915</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2,137</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(38,326)</w:t>
            </w:r>
          </w:p>
        </w:tc>
        <w:tc>
          <w:tcPr>
            <w:tcW w:w="340" w:type="dxa"/>
            <w:vAlign w:val="bottom"/>
            <w:gridSpan w:val="2"/>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(45,316)</w:t>
            </w:r>
          </w:p>
        </w:tc>
      </w:tr>
      <w:tr>
        <w:trPr>
          <w:trHeight w:val="159"/>
        </w:trPr>
        <w:tc>
          <w:tcPr>
            <w:tcW w:w="20" w:type="dxa"/>
            <w:vAlign w:val="bottom"/>
          </w:tcPr>
          <w:p>
            <w:pPr>
              <w:spacing w:after="0"/>
              <w:rPr>
                <w:sz w:val="13"/>
                <w:szCs w:val="13"/>
                <w:color w:val="auto"/>
              </w:rPr>
            </w:pPr>
          </w:p>
        </w:tc>
        <w:tc>
          <w:tcPr>
            <w:tcW w:w="5180" w:type="dxa"/>
            <w:vAlign w:val="bottom"/>
            <w:tcBorders>
              <w:top w:val="single" w:sz="8" w:color="CFF0FC"/>
            </w:tcBorders>
          </w:tcPr>
          <w:p>
            <w:pPr>
              <w:ind w:left="120"/>
              <w:spacing w:after="0" w:line="159" w:lineRule="exact"/>
              <w:rPr>
                <w:sz w:val="20"/>
                <w:szCs w:val="20"/>
                <w:color w:val="auto"/>
              </w:rPr>
            </w:pPr>
            <w:r>
              <w:rPr>
                <w:rFonts w:ascii="Times New Roman" w:cs="Times New Roman" w:eastAsia="Times New Roman" w:hAnsi="Times New Roman"/>
                <w:sz w:val="14"/>
                <w:szCs w:val="14"/>
                <w:color w:val="auto"/>
              </w:rPr>
              <w:t>Cumulative dividends on convertible preferred stock</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(9,781)</w:t>
            </w: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(17,689)</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Deemed dividend upon down-round of convertible preferred stock</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(7,875)</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allocable to common stockholders</w:t>
            </w:r>
          </w:p>
        </w:tc>
        <w:tc>
          <w:tcPr>
            <w:tcW w:w="220" w:type="dxa"/>
            <w:vAlign w:val="bottom"/>
            <w:tcBorders>
              <w:bottom w:val="single" w:sz="8" w:color="auto"/>
            </w:tcBorders>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(48,107)</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(70,880)</w:t>
            </w:r>
          </w:p>
        </w:tc>
      </w:tr>
      <w:tr>
        <w:trPr>
          <w:trHeight w:val="159"/>
        </w:trPr>
        <w:tc>
          <w:tcPr>
            <w:tcW w:w="20" w:type="dxa"/>
            <w:vAlign w:val="bottom"/>
          </w:tcPr>
          <w:p>
            <w:pPr>
              <w:spacing w:after="0"/>
              <w:rPr>
                <w:sz w:val="13"/>
                <w:szCs w:val="13"/>
                <w:color w:val="auto"/>
              </w:rPr>
            </w:pPr>
          </w:p>
        </w:tc>
        <w:tc>
          <w:tcPr>
            <w:tcW w:w="5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per share allocable to common stockholders, basic and diluted</w:t>
            </w:r>
          </w:p>
        </w:tc>
        <w:tc>
          <w:tcPr>
            <w:tcW w:w="220" w:type="dxa"/>
            <w:vAlign w:val="bottom"/>
            <w:shd w:val="clear" w:color="auto" w:fill="CFF0FC"/>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(15.49)</w:t>
            </w:r>
          </w:p>
        </w:tc>
        <w:tc>
          <w:tcPr>
            <w:tcW w:w="340" w:type="dxa"/>
            <w:vAlign w:val="bottom"/>
            <w:gridSpan w:val="2"/>
            <w:shd w:val="clear" w:color="auto" w:fill="CFF0FC"/>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(22.47)</w:t>
            </w:r>
          </w:p>
        </w:tc>
      </w:tr>
      <w:tr>
        <w:trPr>
          <w:trHeight w:val="159"/>
        </w:trPr>
        <w:tc>
          <w:tcPr>
            <w:tcW w:w="20" w:type="dxa"/>
            <w:vAlign w:val="bottom"/>
          </w:tcPr>
          <w:p>
            <w:pPr>
              <w:spacing w:after="0"/>
              <w:rPr>
                <w:sz w:val="13"/>
                <w:szCs w:val="13"/>
                <w:color w:val="auto"/>
              </w:rPr>
            </w:pPr>
          </w:p>
        </w:tc>
        <w:tc>
          <w:tcPr>
            <w:tcW w:w="518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Weighted average common shares outstanding, basic and diluted</w:t>
            </w: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3,104,900</w:t>
            </w: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
              <w:spacing w:after="0" w:line="159" w:lineRule="exact"/>
              <w:rPr>
                <w:sz w:val="20"/>
                <w:szCs w:val="20"/>
                <w:color w:val="auto"/>
              </w:rPr>
            </w:pPr>
            <w:r>
              <w:rPr>
                <w:rFonts w:ascii="Times New Roman" w:cs="Times New Roman" w:eastAsia="Times New Roman" w:hAnsi="Times New Roman"/>
                <w:sz w:val="14"/>
                <w:szCs w:val="14"/>
                <w:color w:val="auto"/>
              </w:rPr>
              <w:t>3,154,788</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(38,326)</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(45,316)</w:t>
            </w:r>
          </w:p>
        </w:tc>
      </w:tr>
      <w:tr>
        <w:trPr>
          <w:trHeight w:val="168"/>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unrealized gain on marketable securities</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20" w:type="dxa"/>
            <w:vAlign w:val="bottom"/>
          </w:tcPr>
          <w:p>
            <w:pPr>
              <w:spacing w:after="0"/>
              <w:rPr>
                <w:sz w:val="13"/>
                <w:szCs w:val="13"/>
                <w:color w:val="auto"/>
              </w:rPr>
            </w:pPr>
          </w:p>
        </w:tc>
        <w:tc>
          <w:tcPr>
            <w:tcW w:w="5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(38,342)</w:t>
            </w:r>
          </w:p>
        </w:tc>
        <w:tc>
          <w:tcPr>
            <w:tcW w:w="340" w:type="dxa"/>
            <w:vAlign w:val="bottom"/>
            <w:gridSpan w:val="2"/>
          </w:tcPr>
          <w:p>
            <w:pPr>
              <w:jc w:val="right"/>
              <w:ind w:right="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(45,316)</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-1915160</wp:posOffset>
            </wp:positionV>
            <wp:extent cx="7366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-1261110</wp:posOffset>
            </wp:positionV>
            <wp:extent cx="7366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-1033780</wp:posOffset>
            </wp:positionV>
            <wp:extent cx="7366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-814070</wp:posOffset>
            </wp:positionV>
            <wp:extent cx="7366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-586740</wp:posOffset>
            </wp:positionV>
            <wp:extent cx="7366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-132715</wp:posOffset>
            </wp:positionV>
            <wp:extent cx="7366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660"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condensed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1" w:name="page252"/>
    <w:bookmarkEnd w:id="25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Statements of Convertible Preferred Stock and Stockholders’ Deficit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111760</wp:posOffset>
            </wp:positionV>
            <wp:extent cx="32385" cy="2990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385" cy="299085"/>
                    </a:xfrm>
                    <a:prstGeom prst="rect">
                      <a:avLst/>
                    </a:prstGeom>
                    <a:noFill/>
                  </pic:spPr>
                </pic:pic>
              </a:graphicData>
            </a:graphic>
          </wp:anchor>
        </w:drawing>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5"/>
            <w:vMerge w:val="restart"/>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80" w:type="dxa"/>
            <w:vAlign w:val="bottom"/>
          </w:tcPr>
          <w:p>
            <w:pPr>
              <w:spacing w:after="0"/>
              <w:rPr>
                <w:sz w:val="9"/>
                <w:szCs w:val="9"/>
                <w:color w:val="auto"/>
              </w:rPr>
            </w:pPr>
          </w:p>
        </w:tc>
        <w:tc>
          <w:tcPr>
            <w:tcW w:w="12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9"/>
                <w:szCs w:val="9"/>
                <w:color w:val="auto"/>
              </w:rPr>
            </w:pPr>
          </w:p>
        </w:tc>
        <w:tc>
          <w:tcPr>
            <w:tcW w:w="600" w:type="dxa"/>
            <w:vAlign w:val="bottom"/>
            <w:gridSpan w:val="2"/>
          </w:tcPr>
          <w:p>
            <w:pPr>
              <w:jc w:val="center"/>
              <w:ind w:right="31"/>
              <w:spacing w:after="0" w:line="105"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jc w:val="center"/>
              <w:ind w:right="91"/>
              <w:spacing w:after="0" w:line="105"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191"/>
              <w:spacing w:after="0" w:line="10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131"/>
              <w:spacing w:after="0" w:line="11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80" w:type="dxa"/>
            <w:vAlign w:val="bottom"/>
          </w:tcPr>
          <w:p>
            <w:pPr>
              <w:spacing w:after="0"/>
              <w:rPr>
                <w:sz w:val="9"/>
                <w:szCs w:val="9"/>
                <w:color w:val="auto"/>
              </w:rPr>
            </w:pPr>
          </w:p>
        </w:tc>
        <w:tc>
          <w:tcPr>
            <w:tcW w:w="74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9"/>
                <w:szCs w:val="9"/>
                <w:color w:val="auto"/>
              </w:rPr>
            </w:pPr>
          </w:p>
        </w:tc>
        <w:tc>
          <w:tcPr>
            <w:tcW w:w="68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60" w:type="dxa"/>
            <w:vAlign w:val="bottom"/>
          </w:tcPr>
          <w:p>
            <w:pPr>
              <w:spacing w:after="0"/>
              <w:rPr>
                <w:sz w:val="9"/>
                <w:szCs w:val="9"/>
                <w:color w:val="auto"/>
              </w:rPr>
            </w:pPr>
          </w:p>
        </w:tc>
        <w:tc>
          <w:tcPr>
            <w:tcW w:w="76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171"/>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1"/>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8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151"/>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91"/>
              <w:spacing w:after="0" w:line="96" w:lineRule="exact"/>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51"/>
              <w:spacing w:after="0" w:line="96" w:lineRule="exact"/>
              <w:rPr>
                <w:sz w:val="20"/>
                <w:szCs w:val="20"/>
                <w:color w:val="auto"/>
              </w:rPr>
            </w:pPr>
            <w:r>
              <w:rPr>
                <w:rFonts w:ascii="Times New Roman" w:cs="Times New Roman" w:eastAsia="Times New Roman" w:hAnsi="Times New Roman"/>
                <w:sz w:val="10"/>
                <w:szCs w:val="10"/>
                <w:b w:val="1"/>
                <w:bCs w:val="1"/>
                <w:color w:val="auto"/>
                <w:w w:val="91"/>
              </w:rPr>
              <w:t>Deficit</w:t>
            </w: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151"/>
              <w:spacing w:after="0" w:line="96"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800" w:type="dxa"/>
            <w:vAlign w:val="bottom"/>
            <w:gridSpan w:val="2"/>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42,459,887</w:t>
            </w:r>
          </w:p>
        </w:tc>
        <w:tc>
          <w:tcPr>
            <w:tcW w:w="12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right w:val="single" w:sz="8" w:color="auto"/>
            </w:tcBorders>
            <w:shd w:val="clear" w:color="auto" w:fill="CFF0FC"/>
          </w:tcPr>
          <w:p>
            <w:pPr>
              <w:jc w:val="right"/>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440,375</w:t>
            </w:r>
          </w:p>
        </w:tc>
        <w:tc>
          <w:tcPr>
            <w:tcW w:w="680" w:type="dxa"/>
            <w:vAlign w:val="bottom"/>
            <w:gridSpan w:val="2"/>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3,104,900</w:t>
            </w:r>
          </w:p>
        </w:tc>
        <w:tc>
          <w:tcPr>
            <w:tcW w:w="140" w:type="dxa"/>
            <w:vAlign w:val="bottom"/>
            <w:gridSpan w:val="2"/>
            <w:shd w:val="clear" w:color="auto" w:fill="CFF0FC"/>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FF0FC"/>
          </w:tcPr>
          <w:p>
            <w:pPr>
              <w:ind w:left="3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FF0FC"/>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11,658</w:t>
            </w:r>
          </w:p>
        </w:tc>
        <w:tc>
          <w:tcPr>
            <w:tcW w:w="12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21</w:t>
            </w:r>
          </w:p>
        </w:tc>
        <w:tc>
          <w:tcPr>
            <w:tcW w:w="180" w:type="dxa"/>
            <w:vAlign w:val="bottom"/>
            <w:gridSpan w:val="2"/>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(395,615)</w:t>
            </w:r>
          </w:p>
        </w:tc>
        <w:tc>
          <w:tcPr>
            <w:tcW w:w="180" w:type="dxa"/>
            <w:vAlign w:val="bottom"/>
            <w:gridSpan w:val="2"/>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(383,936)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6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auto"/>
              </w:rPr>
              <w:t>Issuance of Series E convertible</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preferred stock, inclusive of</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preferred stock tranche right</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liability of $2,167, net of issuance</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costs of $62</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10,836,539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right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rPr>
              <w:t>69,596</w:t>
            </w:r>
          </w:p>
        </w:tc>
        <w:tc>
          <w:tcPr>
            <w:tcW w:w="80" w:type="dxa"/>
            <w:vAlign w:val="bottom"/>
          </w:tcPr>
          <w:p>
            <w:pPr>
              <w:spacing w:after="0"/>
              <w:rPr>
                <w:sz w:val="10"/>
                <w:szCs w:val="1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tcBorders>
              <w:right w:val="single" w:sz="8" w:color="auto"/>
            </w:tcBorders>
            <w:shd w:val="clear" w:color="auto" w:fill="CFF0FC"/>
          </w:tcPr>
          <w:p>
            <w:pPr>
              <w:jc w:val="right"/>
              <w:ind w:right="11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852</w:t>
            </w: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00" w:type="dxa"/>
            <w:vAlign w:val="bottom"/>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852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6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auto"/>
              </w:rPr>
              <w:t>Change in unrealized gain on</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marketable securities</w:t>
            </w:r>
          </w:p>
        </w:tc>
        <w:tc>
          <w:tcPr>
            <w:tcW w:w="160" w:type="dxa"/>
            <w:vAlign w:val="bottom"/>
          </w:tcPr>
          <w:p>
            <w:pPr>
              <w:spacing w:after="0"/>
              <w:rPr>
                <w:sz w:val="10"/>
                <w:szCs w:val="1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right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Borders>
              <w:bottom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Net loss</w:t>
            </w:r>
          </w:p>
        </w:tc>
        <w:tc>
          <w:tcPr>
            <w:tcW w:w="16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right w:val="single" w:sz="8" w:color="CFF0FC"/>
            </w:tcBorders>
            <w:shd w:val="clear" w:color="auto" w:fill="CFF0FC"/>
          </w:tcPr>
          <w:p>
            <w:pPr>
              <w:jc w:val="right"/>
              <w:ind w:right="11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jc w:val="right"/>
              <w:ind w:right="11"/>
              <w:spacing w:after="0" w:line="105" w:lineRule="exact"/>
              <w:rPr>
                <w:sz w:val="20"/>
                <w:szCs w:val="20"/>
                <w:color w:val="auto"/>
              </w:rPr>
            </w:pPr>
            <w:r>
              <w:rPr>
                <w:rFonts w:ascii="Times New Roman" w:cs="Times New Roman" w:eastAsia="Times New Roman" w:hAnsi="Times New Roman"/>
                <w:sz w:val="10"/>
                <w:szCs w:val="10"/>
                <w:color w:val="auto"/>
              </w:rPr>
              <w:t>(38,326)</w:t>
            </w:r>
          </w:p>
        </w:tc>
        <w:tc>
          <w:tcPr>
            <w:tcW w:w="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11"/>
              <w:spacing w:after="0" w:line="105" w:lineRule="exact"/>
              <w:rPr>
                <w:sz w:val="20"/>
                <w:szCs w:val="20"/>
                <w:color w:val="auto"/>
              </w:rPr>
            </w:pPr>
            <w:r>
              <w:rPr>
                <w:rFonts w:ascii="Times New Roman" w:cs="Times New Roman" w:eastAsia="Times New Roman" w:hAnsi="Times New Roman"/>
                <w:sz w:val="10"/>
                <w:szCs w:val="10"/>
                <w:color w:val="auto"/>
              </w:rPr>
              <w:t>(38,326)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March 31, 2025</w:t>
            </w:r>
          </w:p>
        </w:tc>
        <w:tc>
          <w:tcPr>
            <w:tcW w:w="800" w:type="dxa"/>
            <w:vAlign w:val="bottom"/>
            <w:gridSpan w:val="2"/>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53,296,426</w:t>
            </w:r>
          </w:p>
        </w:tc>
        <w:tc>
          <w:tcPr>
            <w:tcW w:w="1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509,971</w:t>
            </w:r>
          </w:p>
        </w:tc>
        <w:tc>
          <w:tcPr>
            <w:tcW w:w="680" w:type="dxa"/>
            <w:vAlign w:val="bottom"/>
            <w:gridSpan w:val="2"/>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3,104,900</w:t>
            </w:r>
          </w:p>
        </w:tc>
        <w:tc>
          <w:tcPr>
            <w:tcW w:w="140" w:type="dxa"/>
            <w:vAlign w:val="bottom"/>
            <w:gridSpan w:val="2"/>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Pr>
          <w:p>
            <w:pPr>
              <w:ind w:left="3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12,510</w:t>
            </w:r>
          </w:p>
        </w:tc>
        <w:tc>
          <w:tcPr>
            <w:tcW w:w="1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5</w:t>
            </w:r>
          </w:p>
        </w:tc>
        <w:tc>
          <w:tcPr>
            <w:tcW w:w="180" w:type="dxa"/>
            <w:vAlign w:val="bottom"/>
            <w:gridSpan w:val="2"/>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(433,941)</w:t>
            </w:r>
          </w:p>
        </w:tc>
        <w:tc>
          <w:tcPr>
            <w:tcW w:w="180" w:type="dxa"/>
            <w:vAlign w:val="bottom"/>
            <w:gridSpan w:val="2"/>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(421,426)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5"/>
            <w:vMerge w:val="restart"/>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80" w:type="dxa"/>
            <w:vAlign w:val="bottom"/>
          </w:tcPr>
          <w:p>
            <w:pPr>
              <w:spacing w:after="0"/>
              <w:rPr>
                <w:sz w:val="9"/>
                <w:szCs w:val="9"/>
                <w:color w:val="auto"/>
              </w:rPr>
            </w:pPr>
          </w:p>
        </w:tc>
        <w:tc>
          <w:tcPr>
            <w:tcW w:w="12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9"/>
                <w:szCs w:val="9"/>
                <w:color w:val="auto"/>
              </w:rPr>
            </w:pPr>
          </w:p>
        </w:tc>
        <w:tc>
          <w:tcPr>
            <w:tcW w:w="600" w:type="dxa"/>
            <w:vAlign w:val="bottom"/>
            <w:gridSpan w:val="2"/>
          </w:tcPr>
          <w:p>
            <w:pPr>
              <w:jc w:val="center"/>
              <w:ind w:right="31"/>
              <w:spacing w:after="0" w:line="105"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jc w:val="center"/>
              <w:ind w:right="91"/>
              <w:spacing w:after="0" w:line="105"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191"/>
              <w:spacing w:after="0" w:line="10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131"/>
              <w:spacing w:after="0" w:line="11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80" w:type="dxa"/>
            <w:vAlign w:val="bottom"/>
          </w:tcPr>
          <w:p>
            <w:pPr>
              <w:spacing w:after="0"/>
              <w:rPr>
                <w:sz w:val="9"/>
                <w:szCs w:val="9"/>
                <w:color w:val="auto"/>
              </w:rPr>
            </w:pPr>
          </w:p>
        </w:tc>
        <w:tc>
          <w:tcPr>
            <w:tcW w:w="74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9"/>
                <w:szCs w:val="9"/>
                <w:color w:val="auto"/>
              </w:rPr>
            </w:pPr>
          </w:p>
        </w:tc>
        <w:tc>
          <w:tcPr>
            <w:tcW w:w="68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60" w:type="dxa"/>
            <w:vAlign w:val="bottom"/>
          </w:tcPr>
          <w:p>
            <w:pPr>
              <w:spacing w:after="0"/>
              <w:rPr>
                <w:sz w:val="9"/>
                <w:szCs w:val="9"/>
                <w:color w:val="auto"/>
              </w:rPr>
            </w:pPr>
          </w:p>
        </w:tc>
        <w:tc>
          <w:tcPr>
            <w:tcW w:w="760" w:type="dxa"/>
            <w:vAlign w:val="bottom"/>
            <w:gridSpan w:val="2"/>
          </w:tcPr>
          <w:p>
            <w:pPr>
              <w:jc w:val="center"/>
              <w:ind w:right="51"/>
              <w:spacing w:after="0" w:line="110"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ind w:right="171"/>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1"/>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8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151"/>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91"/>
              <w:spacing w:after="0" w:line="96" w:lineRule="exact"/>
              <w:rPr>
                <w:sz w:val="20"/>
                <w:szCs w:val="20"/>
                <w:color w:val="auto"/>
              </w:rPr>
            </w:pPr>
            <w:r>
              <w:rPr>
                <w:rFonts w:ascii="Times New Roman" w:cs="Times New Roman" w:eastAsia="Times New Roman" w:hAnsi="Times New Roman"/>
                <w:sz w:val="10"/>
                <w:szCs w:val="10"/>
                <w:b w:val="1"/>
                <w:bCs w:val="1"/>
                <w:color w:val="auto"/>
              </w:rPr>
              <w:t>Income</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51"/>
              <w:spacing w:after="0" w:line="96" w:lineRule="exact"/>
              <w:rPr>
                <w:sz w:val="20"/>
                <w:szCs w:val="20"/>
                <w:color w:val="auto"/>
              </w:rPr>
            </w:pPr>
            <w:r>
              <w:rPr>
                <w:rFonts w:ascii="Times New Roman" w:cs="Times New Roman" w:eastAsia="Times New Roman" w:hAnsi="Times New Roman"/>
                <w:sz w:val="10"/>
                <w:szCs w:val="10"/>
                <w:b w:val="1"/>
                <w:bCs w:val="1"/>
                <w:color w:val="auto"/>
                <w:w w:val="91"/>
              </w:rPr>
              <w:t>Deficit</w:t>
            </w: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151"/>
              <w:spacing w:after="0" w:line="96"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December 31, 2025</w:t>
            </w:r>
          </w:p>
        </w:tc>
        <w:tc>
          <w:tcPr>
            <w:tcW w:w="800" w:type="dxa"/>
            <w:vAlign w:val="bottom"/>
            <w:gridSpan w:val="2"/>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53,296,426</w:t>
            </w:r>
          </w:p>
        </w:tc>
        <w:tc>
          <w:tcPr>
            <w:tcW w:w="12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right w:val="single" w:sz="8" w:color="auto"/>
            </w:tcBorders>
            <w:shd w:val="clear" w:color="auto" w:fill="CFF0FC"/>
          </w:tcPr>
          <w:p>
            <w:pPr>
              <w:jc w:val="right"/>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509,971</w:t>
            </w:r>
          </w:p>
        </w:tc>
        <w:tc>
          <w:tcPr>
            <w:tcW w:w="680" w:type="dxa"/>
            <w:vAlign w:val="bottom"/>
            <w:gridSpan w:val="2"/>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3,132,248</w:t>
            </w:r>
          </w:p>
        </w:tc>
        <w:tc>
          <w:tcPr>
            <w:tcW w:w="140" w:type="dxa"/>
            <w:vAlign w:val="bottom"/>
            <w:gridSpan w:val="2"/>
            <w:shd w:val="clear" w:color="auto" w:fill="CFF0FC"/>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FF0FC"/>
          </w:tcPr>
          <w:p>
            <w:pPr>
              <w:ind w:left="3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FF0FC"/>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15,009</w:t>
            </w:r>
          </w:p>
        </w:tc>
        <w:tc>
          <w:tcPr>
            <w:tcW w:w="12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shd w:val="clear" w:color="auto" w:fill="CFF0FC"/>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(541,504)</w:t>
            </w:r>
          </w:p>
        </w:tc>
        <w:tc>
          <w:tcPr>
            <w:tcW w:w="180" w:type="dxa"/>
            <w:vAlign w:val="bottom"/>
            <w:gridSpan w:val="2"/>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shd w:val="clear" w:color="auto" w:fill="CFF0FC"/>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(526,495)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6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auto"/>
              </w:rPr>
              <w:t>Issuance of common stock upon</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60" w:type="dxa"/>
            <w:vAlign w:val="bottom"/>
          </w:tcPr>
          <w:p>
            <w:pPr>
              <w:spacing w:after="0"/>
              <w:rPr>
                <w:sz w:val="10"/>
                <w:szCs w:val="1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right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142,657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187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187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60" w:type="dxa"/>
            <w:vAlign w:val="bottom"/>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Issuance of Series F convertible</w:t>
            </w:r>
          </w:p>
        </w:tc>
        <w:tc>
          <w:tcPr>
            <w:tcW w:w="16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58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preferred stock, net of issuance</w:t>
            </w: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costs of $680</w:t>
            </w:r>
          </w:p>
        </w:tc>
        <w:tc>
          <w:tcPr>
            <w:tcW w:w="8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49,518,175</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tcBorders>
              <w:right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0"/>
                <w:szCs w:val="10"/>
                <w:color w:val="auto"/>
              </w:rPr>
              <w:t>304,569</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160" w:type="dxa"/>
            <w:vAlign w:val="bottom"/>
          </w:tcPr>
          <w:p>
            <w:pPr>
              <w:spacing w:after="0"/>
              <w:rPr>
                <w:sz w:val="9"/>
                <w:szCs w:val="9"/>
                <w:color w:val="auto"/>
              </w:rPr>
            </w:pPr>
          </w:p>
        </w:tc>
        <w:tc>
          <w:tcPr>
            <w:tcW w:w="640" w:type="dxa"/>
            <w:vAlign w:val="bottom"/>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right w:val="single" w:sz="8" w:color="auto"/>
            </w:tcBorders>
          </w:tcPr>
          <w:p>
            <w:pPr>
              <w:jc w:val="right"/>
              <w:ind w:right="11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1,304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1,304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Borders>
              <w:bottom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Net loss</w:t>
            </w:r>
          </w:p>
        </w:tc>
        <w:tc>
          <w:tcPr>
            <w:tcW w:w="16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right w:val="single" w:sz="8" w:color="CFF0FC"/>
            </w:tcBorders>
            <w:shd w:val="clear" w:color="auto" w:fill="CFF0FC"/>
          </w:tcPr>
          <w:p>
            <w:pPr>
              <w:jc w:val="right"/>
              <w:ind w:right="11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ind w:left="3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ind w:right="5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jc w:val="right"/>
              <w:ind w:right="31"/>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jc w:val="right"/>
              <w:ind w:right="11"/>
              <w:spacing w:after="0" w:line="105" w:lineRule="exact"/>
              <w:rPr>
                <w:sz w:val="20"/>
                <w:szCs w:val="20"/>
                <w:color w:val="auto"/>
              </w:rPr>
            </w:pPr>
            <w:r>
              <w:rPr>
                <w:rFonts w:ascii="Times New Roman" w:cs="Times New Roman" w:eastAsia="Times New Roman" w:hAnsi="Times New Roman"/>
                <w:sz w:val="10"/>
                <w:szCs w:val="10"/>
                <w:color w:val="auto"/>
              </w:rPr>
              <w:t>(45,316)</w:t>
            </w:r>
          </w:p>
        </w:tc>
        <w:tc>
          <w:tcPr>
            <w:tcW w:w="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11"/>
              <w:spacing w:after="0" w:line="105" w:lineRule="exact"/>
              <w:rPr>
                <w:sz w:val="20"/>
                <w:szCs w:val="20"/>
                <w:color w:val="auto"/>
              </w:rPr>
            </w:pPr>
            <w:r>
              <w:rPr>
                <w:rFonts w:ascii="Times New Roman" w:cs="Times New Roman" w:eastAsia="Times New Roman" w:hAnsi="Times New Roman"/>
                <w:sz w:val="10"/>
                <w:szCs w:val="10"/>
                <w:color w:val="auto"/>
              </w:rPr>
              <w:t>(45,316)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6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Balance at March 31, 2026</w:t>
            </w:r>
          </w:p>
        </w:tc>
        <w:tc>
          <w:tcPr>
            <w:tcW w:w="800" w:type="dxa"/>
            <w:vAlign w:val="bottom"/>
            <w:gridSpan w:val="2"/>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102,814,601</w:t>
            </w:r>
          </w:p>
        </w:tc>
        <w:tc>
          <w:tcPr>
            <w:tcW w:w="1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111"/>
              <w:spacing w:after="0" w:line="96" w:lineRule="exact"/>
              <w:rPr>
                <w:sz w:val="20"/>
                <w:szCs w:val="20"/>
                <w:color w:val="auto"/>
              </w:rPr>
            </w:pPr>
            <w:r>
              <w:rPr>
                <w:rFonts w:ascii="Times New Roman" w:cs="Times New Roman" w:eastAsia="Times New Roman" w:hAnsi="Times New Roman"/>
                <w:sz w:val="10"/>
                <w:szCs w:val="10"/>
                <w:b w:val="1"/>
                <w:bCs w:val="1"/>
                <w:color w:val="auto"/>
              </w:rPr>
              <w:t>814,540</w:t>
            </w:r>
          </w:p>
        </w:tc>
        <w:tc>
          <w:tcPr>
            <w:tcW w:w="680" w:type="dxa"/>
            <w:vAlign w:val="bottom"/>
            <w:gridSpan w:val="2"/>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3,274,905</w:t>
            </w:r>
          </w:p>
        </w:tc>
        <w:tc>
          <w:tcPr>
            <w:tcW w:w="140" w:type="dxa"/>
            <w:vAlign w:val="bottom"/>
            <w:gridSpan w:val="2"/>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Pr>
          <w:p>
            <w:pPr>
              <w:ind w:left="3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Pr>
          <w:p>
            <w:pPr>
              <w:jc w:val="right"/>
              <w:ind w:right="51"/>
              <w:spacing w:after="0" w:line="96" w:lineRule="exact"/>
              <w:rPr>
                <w:sz w:val="20"/>
                <w:szCs w:val="20"/>
                <w:color w:val="auto"/>
              </w:rPr>
            </w:pPr>
            <w:r>
              <w:rPr>
                <w:rFonts w:ascii="Times New Roman" w:cs="Times New Roman" w:eastAsia="Times New Roman" w:hAnsi="Times New Roman"/>
                <w:sz w:val="10"/>
                <w:szCs w:val="10"/>
                <w:b w:val="1"/>
                <w:bCs w:val="1"/>
                <w:color w:val="auto"/>
              </w:rPr>
              <w:t>16,500</w:t>
            </w:r>
          </w:p>
        </w:tc>
        <w:tc>
          <w:tcPr>
            <w:tcW w:w="1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ind w:right="3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(586,820)</w:t>
            </w:r>
          </w:p>
        </w:tc>
        <w:tc>
          <w:tcPr>
            <w:tcW w:w="180" w:type="dxa"/>
            <w:vAlign w:val="bottom"/>
            <w:gridSpan w:val="2"/>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Pr>
          <w:p>
            <w:pPr>
              <w:jc w:val="right"/>
              <w:ind w:right="11"/>
              <w:spacing w:after="0" w:line="96" w:lineRule="exact"/>
              <w:rPr>
                <w:sz w:val="20"/>
                <w:szCs w:val="20"/>
                <w:color w:val="auto"/>
              </w:rPr>
            </w:pPr>
            <w:r>
              <w:rPr>
                <w:rFonts w:ascii="Times New Roman" w:cs="Times New Roman" w:eastAsia="Times New Roman" w:hAnsi="Times New Roman"/>
                <w:sz w:val="10"/>
                <w:szCs w:val="10"/>
                <w:b w:val="1"/>
                <w:bCs w:val="1"/>
                <w:color w:val="auto"/>
              </w:rPr>
              <w:t>(570,320)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-1114425</wp:posOffset>
            </wp:positionV>
            <wp:extent cx="4699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-1114425</wp:posOffset>
            </wp:positionV>
            <wp:extent cx="4699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-1114425</wp:posOffset>
            </wp:positionV>
            <wp:extent cx="46990"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-1114425</wp:posOffset>
            </wp:positionV>
            <wp:extent cx="4699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-1114425</wp:posOffset>
            </wp:positionV>
            <wp:extent cx="4699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-1114425</wp:posOffset>
            </wp:positionV>
            <wp:extent cx="4699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-1193800</wp:posOffset>
            </wp:positionV>
            <wp:extent cx="59690" cy="1854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9690" cy="18542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-913130</wp:posOffset>
            </wp:positionV>
            <wp:extent cx="32385" cy="2990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2385" cy="29908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-92710</wp:posOffset>
            </wp:positionV>
            <wp:extent cx="4699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-92710</wp:posOffset>
            </wp:positionV>
            <wp:extent cx="4699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-92710</wp:posOffset>
            </wp:positionV>
            <wp:extent cx="4699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-92710</wp:posOffset>
            </wp:positionV>
            <wp:extent cx="4699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-92710</wp:posOffset>
            </wp:positionV>
            <wp:extent cx="4699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-92710</wp:posOffset>
            </wp:positionV>
            <wp:extent cx="4699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-172085</wp:posOffset>
            </wp:positionV>
            <wp:extent cx="59690" cy="1854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9690" cy="185420"/>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condensed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2" w:name="page253"/>
    <w:bookmarkEnd w:id="25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77"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5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Rent receivable - related party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Due from related party</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3,440</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(34,154)</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(49,200)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23,427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6,689</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Proceeds from issuance of Series E convertible preferred stock and preferred stock</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tranche right liability</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67,491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F convertible preferred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305,249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Payments of convertible preferred stock issuance costs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simple agreement for future equity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67,289</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350,897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Increase in cash, cash equivalents and restricted cash</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39,824</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301,328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50,139</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30,566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20" w:type="dxa"/>
            <w:vAlign w:val="bottom"/>
            <w:gridSpan w:val="2"/>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89,963</w:t>
            </w:r>
          </w:p>
        </w:tc>
        <w:tc>
          <w:tcPr>
            <w:tcW w:w="36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rPr>
              <w:t>331,894</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0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expenses</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preferred stock issuance costs included in accounts payable</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Settlement of Series E preferred stock tranche right liability</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2,167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-3163570</wp:posOffset>
            </wp:positionV>
            <wp:extent cx="7366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-2509520</wp:posOffset>
            </wp:positionV>
            <wp:extent cx="7366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-1320800</wp:posOffset>
            </wp:positionV>
            <wp:extent cx="7366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-873760</wp:posOffset>
            </wp:positionV>
            <wp:extent cx="73660"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-860425</wp:posOffset>
            </wp:positionV>
            <wp:extent cx="7366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3660" cy="698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 condensed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3" w:name="page254"/>
    <w:bookmarkEnd w:id="25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 Nature of the Business and Basis of Presentation</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Nature of Business</w:t>
      </w:r>
    </w:p>
    <w:p>
      <w:pPr>
        <w:spacing w:after="0" w:line="93"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Parabilis Medicines, Inc. (the “Company”) is a clinical-stage biopharmaceutical company developing medicines addressing some of the most consequential, yet historically undruggable, protein targets driving human disease. The Company leverages its platform to pioneer a therapeutic modality, Helicons, which are stabilized helical peptides engineered to bind and precisely modulate proteins. The Company, formerly known as FOG Pharmaceuticals, Inc., was incorporated in Delaware on July 10, 2015. On October 25, 2024, the Company changed its name from FOG Pharmaceuticals, Inc. to Parabilis Medicines, Inc. The Company is developing preclinical and clinical drug candidates, primarily operates in the United States of America, and, to date, has devoted substantially all its efforts on research and development and fundraising activities.</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Risk and Uncertainties</w:t>
      </w:r>
    </w:p>
    <w:p>
      <w:pPr>
        <w:spacing w:after="0" w:line="93"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The Company is subject to risks and uncertainties common to clinical-stage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resulting from the Company’s current discovery efforts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 reporting capabilities. Even if the Company’s product development efforts are successful, it is uncertain when, if ever, the Company will realize significant revenue from product sales.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Company’s condensed consolidated financial statements have been prepared on the basis of continuity of operations, the realization of assets and satisfaction of liabilities in the ordinary course of business. From its inception through March 31, 2026, the Company has received aggregate gross proceeds of $811.8 million from sales of convertible preferred stock, $15.0 million from borrowings under a term loan, and $50.0 million of gross proceeds from the sale of a simple agreement for future equity (“SAFE”). Additionally, under the terms of the License and Collaboration Agreement (the “Regeneron Agreement”) which the Company entered into with Regeneron Pharmaceuticals, Inc. (“Regeneron”) in May 2026, the Company will receive a $50.0 million upfront payment, and Regeneron has also agreed to invest $75.0 million in the Company’s next equity financing, subject to certain conditions, which includes a private placement of common stock concurrent with the Company’s initial public offering (see Note 17, </w:t>
      </w:r>
      <w:r>
        <w:rPr>
          <w:rFonts w:ascii="Times New Roman" w:cs="Times New Roman" w:eastAsia="Times New Roman" w:hAnsi="Times New Roman"/>
          <w:sz w:val="14"/>
          <w:szCs w:val="14"/>
          <w:i w:val="1"/>
          <w:iCs w:val="1"/>
          <w:color w:val="auto"/>
        </w:rPr>
        <w:t>Subsequent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w:t>
      </w:r>
      <w:r>
        <w:rPr>
          <w:rFonts w:ascii="Times New Roman" w:cs="Times New Roman" w:eastAsia="Times New Roman" w:hAnsi="Times New Roman"/>
          <w:sz w:val="14"/>
          <w:szCs w:val="14"/>
          <w:color w:val="auto"/>
        </w:rPr>
        <w:t>). The Company has incurred net losses and negative operating cash flows since inception and has an accumulated deficit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$586.8 million at March 31, 2026. The Company expects that its cash and cash equivalents will be sufficient to fund its operations through at least twelve months from the date the condensed consolidated financial statements were available to be issued.</w:t>
      </w:r>
    </w:p>
    <w:p>
      <w:pPr>
        <w:spacing w:after="0" w:line="144" w:lineRule="exact"/>
        <w:rPr>
          <w:sz w:val="20"/>
          <w:szCs w:val="20"/>
          <w:color w:val="auto"/>
        </w:rPr>
      </w:pPr>
    </w:p>
    <w:p>
      <w:pPr>
        <w:ind w:left="720" w:right="7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The Company is seeking to complete an initial public offering (“IPO”) of its common stock. Upon the completion of a qualified public offering on specified terms, the Company’s outstanding convertible preferred stock will be automatically converted into shares of common stock (see Note 6, </w:t>
      </w:r>
      <w:r>
        <w:rPr>
          <w:rFonts w:ascii="Times New Roman" w:cs="Times New Roman" w:eastAsia="Times New Roman" w:hAnsi="Times New Roman"/>
          <w:sz w:val="14"/>
          <w:szCs w:val="14"/>
          <w:i w:val="1"/>
          <w:iCs w:val="1"/>
          <w:color w:val="auto"/>
        </w:rPr>
        <w:t>Convertible Preferred Stock</w:t>
      </w:r>
      <w:r>
        <w:rPr>
          <w:rFonts w:ascii="Times New Roman" w:cs="Times New Roman" w:eastAsia="Times New Roman" w:hAnsi="Times New Roman"/>
          <w:sz w:val="14"/>
          <w:szCs w:val="14"/>
          <w:color w:val="auto"/>
        </w:rPr>
        <w:t xml:space="preserve">). Additionally, the Company’s outstanding SAFE will be automatically converted into shares of common stock upon an IPO (see Note 10, </w:t>
      </w:r>
      <w:r>
        <w:rPr>
          <w:rFonts w:ascii="Times New Roman" w:cs="Times New Roman" w:eastAsia="Times New Roman" w:hAnsi="Times New Roman"/>
          <w:sz w:val="14"/>
          <w:szCs w:val="14"/>
          <w:i w:val="1"/>
          <w:iCs w:val="1"/>
          <w:color w:val="auto"/>
        </w:rPr>
        <w:t>Simple Agreement for Future Equity</w:t>
      </w:r>
      <w:r>
        <w:rPr>
          <w:rFonts w:ascii="Times New Roman" w:cs="Times New Roman" w:eastAsia="Times New Roman" w:hAnsi="Times New Roman"/>
          <w:sz w:val="14"/>
          <w:szCs w:val="14"/>
          <w:color w:val="auto"/>
        </w:rPr>
        <w:t>). In the event the Company does not complete an IPO, the Company expects to finance its cash needs through a combination of equity offerings, debt or royalty financings, and collaborations.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raise additional funds through these sources or other sources of funding when needed,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3" w:lineRule="exact"/>
        <w:rPr>
          <w:sz w:val="20"/>
          <w:szCs w:val="20"/>
          <w:color w:val="auto"/>
        </w:rPr>
      </w:pPr>
    </w:p>
    <w:p>
      <w:pPr>
        <w:ind w:left="720" w:right="739" w:firstLine="343"/>
        <w:spacing w:after="0" w:line="267"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the Company and its wholly owned subsidiaries, Parabilis Security Corporation, formerly known as FOG Security Corporation, and Parabilis Medicines (Shanghai) Ltd. Co. All intercompany accounts and transactions have been eliminated in consolidation.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4" w:name="page255"/>
    <w:bookmarkEnd w:id="25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720" w:right="1019" w:firstLine="343"/>
        <w:spacing w:after="0" w:line="258" w:lineRule="auto"/>
        <w:rPr>
          <w:sz w:val="20"/>
          <w:szCs w:val="20"/>
          <w:color w:val="auto"/>
        </w:rPr>
      </w:pPr>
      <w:r>
        <w:rPr>
          <w:rFonts w:ascii="Times New Roman" w:cs="Times New Roman" w:eastAsia="Times New Roman" w:hAnsi="Times New Roman"/>
          <w:sz w:val="14"/>
          <w:szCs w:val="14"/>
          <w:color w:val="auto"/>
        </w:rPr>
        <w:t>The Company’s unaudited condensed consolidated financial statements have been prepared in conformity with accounting principles generally accepted in the United States of America (“GAAP”) for interim reporting and as required by Regulation S-X, Rule 10-01. Any reference in these notes to applicable guidance is meant to refer to the authoritative GAAP as found in the Accounting Standards Codification (“ASC”) and Accounting Standards Updates (“ASU”) of the Financial Accounting Standards Board (“FASB”).</w:t>
      </w:r>
    </w:p>
    <w:p>
      <w:pPr>
        <w:spacing w:after="0" w:line="144" w:lineRule="exact"/>
        <w:rPr>
          <w:sz w:val="20"/>
          <w:szCs w:val="20"/>
          <w:color w:val="auto"/>
        </w:rPr>
      </w:pPr>
    </w:p>
    <w:p>
      <w:pPr>
        <w:ind w:left="720" w:right="759" w:firstLine="343"/>
        <w:spacing w:after="0" w:line="256" w:lineRule="auto"/>
        <w:rPr>
          <w:sz w:val="20"/>
          <w:szCs w:val="20"/>
          <w:color w:val="auto"/>
        </w:rPr>
      </w:pPr>
      <w:r>
        <w:rPr>
          <w:rFonts w:ascii="Times New Roman" w:cs="Times New Roman" w:eastAsia="Times New Roman" w:hAnsi="Times New Roman"/>
          <w:sz w:val="14"/>
          <w:szCs w:val="14"/>
          <w:color w:val="auto"/>
        </w:rPr>
        <w:t>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March 31, 2026, and the results of its operations and cash flows for the three months ended March 31, 2025 and 2026. The condensed balance sheet as of December 31, 2025 was derived from audited annual financial statements but does not include all disclosures required by GAAP. The results of operations for the interim periods are not necessarily indicative of results to be expected for the year ending December 31, 2026, any other interim periods, or any future year or period.</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3" w:lineRule="exact"/>
        <w:rPr>
          <w:sz w:val="20"/>
          <w:szCs w:val="20"/>
          <w:color w:val="auto"/>
        </w:rPr>
      </w:pPr>
    </w:p>
    <w:p>
      <w:pPr>
        <w:jc w:val="both"/>
        <w:ind w:left="720" w:right="879" w:firstLine="343"/>
        <w:spacing w:after="0" w:line="267" w:lineRule="auto"/>
        <w:rPr>
          <w:sz w:val="20"/>
          <w:szCs w:val="20"/>
          <w:color w:val="auto"/>
        </w:rPr>
      </w:pPr>
      <w:r>
        <w:rPr>
          <w:rFonts w:ascii="Times New Roman" w:cs="Times New Roman" w:eastAsia="Times New Roman" w:hAnsi="Times New Roman"/>
          <w:sz w:val="14"/>
          <w:szCs w:val="14"/>
          <w:color w:val="auto"/>
        </w:rPr>
        <w:t>The Company’s significant accounting policies are disclosed in Note 2 of the “Notes to Consolidated Financial Statements” in the audited annual financial statements included elsewhere in this prospectus. During the three months ended March 31, 2026, there were no material changes to the Company’s significant accounting policies.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in conformity with GAAP requires management to make estimates, judgments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reflected within these condensed consolidated financial statements include the estimated fair value of the Company’s common stock utilized in the determination of stock-based compensation expense, the determination of the incremental borrowing rate for leases, the estimated fair value of the preferred stock tranche right liability, convertible preferred stock and SAFE, as well as accrued research and development expenses.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at the date of purchase to be cash equivalents. The Company’s cash equivalents consist of funds deposited in money market mutual funds and are recorded at fair value.</w:t>
      </w:r>
    </w:p>
    <w:p>
      <w:pPr>
        <w:spacing w:after="0" w:line="136"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A reconciliation of the cash, cash equivalents, and restricted cash reported within the condensed consolidated balance sheets that sum to the total of the same amounts shown in the condensed consolidated statements of cash flows is as follows (in thousands):</w:t>
      </w:r>
    </w:p>
    <w:p>
      <w:pPr>
        <w:spacing w:after="0" w:line="14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bottom w:val="single" w:sz="8" w:color="auto"/>
            </w:tcBorders>
          </w:tcPr>
          <w:p>
            <w:pPr>
              <w:spacing w:after="0"/>
              <w:rPr>
                <w:sz w:val="11"/>
                <w:szCs w:val="11"/>
                <w:color w:val="auto"/>
              </w:rPr>
            </w:pPr>
          </w:p>
        </w:tc>
      </w:tr>
      <w:tr>
        <w:trPr>
          <w:trHeight w:val="106"/>
        </w:trPr>
        <w:tc>
          <w:tcPr>
            <w:tcW w:w="3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7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31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6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87,108</w:t>
            </w:r>
          </w:p>
        </w:tc>
        <w:tc>
          <w:tcPr>
            <w:tcW w:w="300" w:type="dxa"/>
            <w:vAlign w:val="bottom"/>
            <w:gridSpan w:val="2"/>
            <w:shd w:val="clear" w:color="auto" w:fill="CFF0FC"/>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329,039</w:t>
            </w:r>
          </w:p>
        </w:tc>
      </w:tr>
      <w:tr>
        <w:trPr>
          <w:trHeight w:val="168"/>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 long-term</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r>
      <w:tr>
        <w:trPr>
          <w:trHeight w:val="179"/>
        </w:trPr>
        <w:tc>
          <w:tcPr>
            <w:tcW w:w="31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6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89,963</w:t>
            </w:r>
          </w:p>
        </w:tc>
        <w:tc>
          <w:tcPr>
            <w:tcW w:w="300" w:type="dxa"/>
            <w:vAlign w:val="bottom"/>
            <w:gridSpan w:val="2"/>
            <w:shd w:val="clear" w:color="auto" w:fill="CFF0FC"/>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331,894</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-19685</wp:posOffset>
            </wp:positionV>
            <wp:extent cx="5334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-6350</wp:posOffset>
            </wp:positionV>
            <wp:extent cx="5334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3" w:lineRule="exact"/>
        <w:rPr>
          <w:sz w:val="20"/>
          <w:szCs w:val="20"/>
          <w:color w:val="auto"/>
        </w:rPr>
      </w:pPr>
    </w:p>
    <w:p>
      <w:pPr>
        <w:ind w:left="720" w:right="83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2025 and March 31, 2026, restricted cash consists of $2.9 million serving as collateral for a letter of credit required under the Company’s facility lease arrangement.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5" w:name="page256"/>
    <w:bookmarkEnd w:id="25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Financial instruments that potentially subject the Company to credit risk consist of cash and cash equivalents, and marketable securities. The Company’s cash deposits generally do not exceed Federal Deposit Insurance Corporation (“FDIC”) limits. The Company’s cash equivalents consist of money market funds that are not insured by the FDIC; however, the Company has not experienced any losses in such accounts and believes that such funds are not exposed to any significant credit or concentration risk beyond the risks associated with commercial banking relationships. </w:t>
      </w:r>
      <w:r>
        <w:rPr>
          <w:rFonts w:ascii="Times New Roman" w:cs="Times New Roman" w:eastAsia="Times New Roman" w:hAnsi="Times New Roman"/>
          <w:sz w:val="14"/>
          <w:szCs w:val="14"/>
          <w:color w:val="1E1E1E"/>
        </w:rPr>
        <w:t>The Company maintains each of its cash and cash equivalents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E1E1E"/>
        </w:rPr>
        <w:t>balances with financial institutions that management believes are creditworthy</w:t>
      </w:r>
      <w:r>
        <w:rPr>
          <w:rFonts w:ascii="Times New Roman" w:cs="Times New Roman" w:eastAsia="Times New Roman" w:hAnsi="Times New Roman"/>
          <w:sz w:val="14"/>
          <w:szCs w:val="14"/>
          <w:color w:val="515151"/>
        </w:rPr>
        <w:t>.</w:t>
      </w:r>
      <w:r>
        <w:rPr>
          <w:rFonts w:ascii="Times New Roman" w:cs="Times New Roman" w:eastAsia="Times New Roman" w:hAnsi="Times New Roman"/>
          <w:sz w:val="14"/>
          <w:szCs w:val="14"/>
          <w:color w:val="1E1E1E"/>
        </w:rPr>
        <w:t xml:space="preserve"> The Company’s investment policy includes guidelines on the quality of the financial institutions and financial instruments and defines allowable investments that the Company believes minimizes the exposure to concentration of credit risk</w:t>
      </w:r>
      <w:r>
        <w:rPr>
          <w:rFonts w:ascii="Times New Roman" w:cs="Times New Roman" w:eastAsia="Times New Roman" w:hAnsi="Times New Roman"/>
          <w:sz w:val="14"/>
          <w:szCs w:val="14"/>
          <w:color w:val="515151"/>
        </w:rPr>
        <w:t>.</w:t>
      </w:r>
      <w:r>
        <w:rPr>
          <w:rFonts w:ascii="Times New Roman" w:cs="Times New Roman" w:eastAsia="Times New Roman" w:hAnsi="Times New Roman"/>
          <w:sz w:val="14"/>
          <w:szCs w:val="14"/>
          <w:color w:val="1E1E1E"/>
        </w:rPr>
        <w:t xml:space="preserve"> </w:t>
      </w:r>
      <w:r>
        <w:rPr>
          <w:rFonts w:ascii="Times New Roman" w:cs="Times New Roman" w:eastAsia="Times New Roman" w:hAnsi="Times New Roman"/>
          <w:sz w:val="14"/>
          <w:szCs w:val="14"/>
          <w:color w:val="000000"/>
        </w:rPr>
        <w:t>The Company’s marketable securities consist of U.S. Treasury bills. The</w:t>
      </w:r>
      <w:r>
        <w:rPr>
          <w:rFonts w:ascii="Times New Roman" w:cs="Times New Roman" w:eastAsia="Times New Roman" w:hAnsi="Times New Roman"/>
          <w:sz w:val="14"/>
          <w:szCs w:val="14"/>
          <w:color w:val="1E1E1E"/>
        </w:rPr>
        <w:t xml:space="preserve"> </w:t>
      </w:r>
      <w:r>
        <w:rPr>
          <w:rFonts w:ascii="Times New Roman" w:cs="Times New Roman" w:eastAsia="Times New Roman" w:hAnsi="Times New Roman"/>
          <w:sz w:val="14"/>
          <w:szCs w:val="14"/>
          <w:color w:val="000000"/>
        </w:rPr>
        <w:t>Company believes these investments present minimal credit risk.</w:t>
      </w:r>
    </w:p>
    <w:p>
      <w:pPr>
        <w:spacing w:after="0" w:line="149" w:lineRule="exact"/>
        <w:rPr>
          <w:sz w:val="20"/>
          <w:szCs w:val="20"/>
          <w:color w:val="auto"/>
        </w:rPr>
      </w:pPr>
    </w:p>
    <w:p>
      <w:pPr>
        <w:ind w:left="720" w:right="799" w:firstLine="343"/>
        <w:spacing w:after="0" w:line="261" w:lineRule="auto"/>
        <w:rPr>
          <w:sz w:val="20"/>
          <w:szCs w:val="20"/>
          <w:color w:val="auto"/>
        </w:rPr>
      </w:pPr>
      <w:r>
        <w:rPr>
          <w:rFonts w:ascii="Times New Roman" w:cs="Times New Roman" w:eastAsia="Times New Roman" w:hAnsi="Times New Roman"/>
          <w:sz w:val="14"/>
          <w:szCs w:val="14"/>
          <w:color w:val="auto"/>
        </w:rPr>
        <w:t>The Company relies, and expects to continue to rely, on a small number of vendors and contract research organizations to manufacture certain supplies and raw materials for its research and development programs and to conduct clinical trials. These programs could be adversely affected by a significant interruption in these manufacturing services or the availability of raw materials, or an interruption in the provision of services provided by the Company’s contract research organizations.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The Company measures all stock options and other stock-based awards granted to employees, directors and non-employees based on the award’s fair value on the date of the grant and recognizes compensation expense related to those awards over the requisite service period, which is generally the vesting period of the respective award. The Company primarily issues stock options with only service-based vesting conditions and records the expense for these awards using the straight-line method. To a lesser extent, the Company has also granted awards with either service and performance-based vesting conditions or market and performance-based vesting conditions, and records expense based on the grant-date fair value over the requisite service period using the accelerated attribution method if the achievement of the performance condition is considered probable. At each reporting date, the Company estimates the probability that specified performance criteria will be achieved and does not begin to recognize compensation expense until it is probable that the performance-based vesting condition will be achieved.</w:t>
      </w:r>
    </w:p>
    <w:p>
      <w:pPr>
        <w:spacing w:after="0" w:line="149" w:lineRule="exact"/>
        <w:rPr>
          <w:sz w:val="20"/>
          <w:szCs w:val="20"/>
          <w:color w:val="auto"/>
        </w:rPr>
      </w:pPr>
    </w:p>
    <w:p>
      <w:pPr>
        <w:ind w:left="720" w:right="1299" w:firstLine="343"/>
        <w:spacing w:after="0" w:line="283"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condensed consolidated statements of operations and comprehensive loss in the same manner in which the award recipient’s payroll costs or service payments are classified.</w:t>
      </w:r>
    </w:p>
    <w:p>
      <w:pPr>
        <w:spacing w:after="0" w:line="125" w:lineRule="exact"/>
        <w:rPr>
          <w:sz w:val="20"/>
          <w:szCs w:val="20"/>
          <w:color w:val="auto"/>
        </w:rPr>
      </w:pPr>
    </w:p>
    <w:p>
      <w:pPr>
        <w:ind w:left="720" w:right="759" w:firstLine="343"/>
        <w:spacing w:after="0" w:line="253" w:lineRule="auto"/>
        <w:rPr>
          <w:sz w:val="20"/>
          <w:szCs w:val="20"/>
          <w:color w:val="auto"/>
        </w:rPr>
      </w:pPr>
      <w:r>
        <w:rPr>
          <w:rFonts w:ascii="Times New Roman" w:cs="Times New Roman" w:eastAsia="Times New Roman" w:hAnsi="Times New Roman"/>
          <w:sz w:val="14"/>
          <w:szCs w:val="14"/>
          <w:color w:val="auto"/>
        </w:rPr>
        <w:t>The fair values of stock options with only service-based or performance-based conditions are estimated using the Black-Scholes option-pricing model. The Company’s board of directors (the “Board of Directors”) determines the fair value of the Company’s common stock, with input from management, considering the Company’s most recently available third-party valuations of common stock, as well as additional factors which may have changed since the date of the most recent valuation through the date of grant. The Company is a private company and lacks company-specific historical and implied volatility information. Therefore, it estimates its expected stock volatility based on the historical volatility of a set of publicly-traded peer companies. The expected term of the Company’s stock options granted has been determined utilizing the “simplified” method for awards that qualify as “plain-vanilla” options, which is presumed to be the midpoint between the vesting date and the end of the contractual term. If vesting is subject to a performance condition, the expected term is based on the mid-point between the explicit service period and the contractual term of the option. The risk-free interest rate is determined by reference to the U.S. Treasury yield curve in effect at the time of grant of the award for time periods approximately equal to the expected term of the award. The expected dividend yield is zero, because the Company has never paid cash dividends on common stock and does not expect to pay any such dividends in the foreseeable future. The Company accounts for forfeitures of share-based compensation awards as they occur.</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720" w:right="819" w:firstLine="343"/>
        <w:spacing w:after="0" w:line="278" w:lineRule="auto"/>
        <w:rPr>
          <w:sz w:val="20"/>
          <w:szCs w:val="20"/>
          <w:color w:val="auto"/>
        </w:rPr>
      </w:pPr>
      <w:r>
        <w:rPr>
          <w:rFonts w:ascii="Times New Roman" w:cs="Times New Roman" w:eastAsia="Times New Roman" w:hAnsi="Times New Roman"/>
          <w:sz w:val="13"/>
          <w:szCs w:val="13"/>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convertible preferred stock or in stockholders’ deficit as a reduction of additional paid-in capital. Should the planned equity financing be abandoned, the deferred offering costs are expensed immediately as a charge to operating expenses in the condensed consolidated statements of operations and comprehensive loss. As of December 31, 2025 and March 31, 2026, the Company had $0.6 million and $1.5 million, respectively, of deferred offering costs included in other assets on the condensed consolidated balance sheets.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6" w:name="page257"/>
    <w:bookmarkEnd w:id="25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ind w:left="720" w:right="779" w:firstLine="343"/>
        <w:spacing w:after="0" w:line="256" w:lineRule="auto"/>
        <w:rPr>
          <w:sz w:val="20"/>
          <w:szCs w:val="20"/>
          <w:color w:val="auto"/>
        </w:rPr>
      </w:pPr>
      <w:r>
        <w:rPr>
          <w:rFonts w:ascii="Times New Roman" w:cs="Times New Roman" w:eastAsia="Times New Roman" w:hAnsi="Times New Roman"/>
          <w:sz w:val="14"/>
          <w:szCs w:val="14"/>
          <w:color w:val="auto"/>
        </w:rPr>
        <w:t>Basic net loss per common share is calculated by dividing net loss adjusted for cumulative dividends on convertible preferred stock accrued during the period, whether or not declared, and the value of any deemed dividends resulting from down-round adjustments to convertible preferred stock, where applicable, by the weighted-average number of shares of common stock outstanding during the period, without consideration of potentially dilutive securities. Diluted net loss per share is computed by dividing the net loss allocable to common stockholders by the weighted-average number of shares of common stock and potentially dilutive securities outstanding for the period. For purposes of the diluted net loss per share calculation, the convertible preferred stock, common stock warrants, preferred stock tranche rights, stock options, and SAFE are considered potentially dilutive securities.</w:t>
      </w:r>
    </w:p>
    <w:p>
      <w:pPr>
        <w:spacing w:after="0" w:line="144" w:lineRule="exact"/>
        <w:rPr>
          <w:sz w:val="20"/>
          <w:szCs w:val="20"/>
          <w:color w:val="auto"/>
        </w:rPr>
      </w:pPr>
    </w:p>
    <w:p>
      <w:pPr>
        <w:ind w:left="720" w:right="899" w:firstLine="343"/>
        <w:spacing w:after="0" w:line="261" w:lineRule="auto"/>
        <w:rPr>
          <w:sz w:val="20"/>
          <w:szCs w:val="20"/>
          <w:color w:val="auto"/>
        </w:rPr>
      </w:pPr>
      <w:r>
        <w:rPr>
          <w:rFonts w:ascii="Times New Roman" w:cs="Times New Roman" w:eastAsia="Times New Roman" w:hAnsi="Times New Roman"/>
          <w:sz w:val="14"/>
          <w:szCs w:val="14"/>
          <w:color w:val="auto"/>
        </w:rPr>
        <w:t>Basic and diluted net loss allocable to common stockholders per share is presented in conformity with the two-class method required for participating securities as all series of convertible preferred stock and SAFE are considered participating securities. The Company’s participating securities do not have a contractual obligation to share in the Company’s losses. As such, the net loss was attributed entirely to common stockholders.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ind w:left="720" w:right="9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for which separate and discrete information is available for evaluation by the chief operating decision-maker (“CODM”), in deciding how to allocate resources and assess performance. The Company's CODM, its chief executive officer, manages the Company’s operations on a consolidated basis for the purpose of allocating resources. All of the Company’s long-lived assets are held in the United States. Refer to Note 16,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further disclosure regarding the Company’s segment information.</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w:t>
      </w:r>
    </w:p>
    <w:p>
      <w:pPr>
        <w:spacing w:after="0" w:line="2" w:lineRule="exact"/>
        <w:rPr>
          <w:sz w:val="20"/>
          <w:szCs w:val="20"/>
          <w:color w:val="auto"/>
        </w:rPr>
      </w:pPr>
    </w:p>
    <w:p>
      <w:pPr>
        <w:ind w:left="720" w:right="819"/>
        <w:spacing w:after="0" w:line="261" w:lineRule="auto"/>
        <w:tabs>
          <w:tab w:leader="none" w:pos="926"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longer qualifies as an emerging growth company. The Company may choose to adopt any new or revised accounting standards early whenever such early adoption is permitted for non-public companies.</w:t>
      </w:r>
    </w:p>
    <w:p>
      <w:pPr>
        <w:spacing w:after="0" w:line="138"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Disaggregation of Income Statement Expenses </w:t>
      </w:r>
      <w:r>
        <w:rPr>
          <w:rFonts w:ascii="Times New Roman" w:cs="Times New Roman" w:eastAsia="Times New Roman" w:hAnsi="Times New Roman"/>
          <w:sz w:val="14"/>
          <w:szCs w:val="14"/>
          <w:color w:val="auto"/>
        </w:rPr>
        <w:t>(“ASU 2024-03”). ASU 2024-03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requires certain amounts already disclosed under existing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with early adoption permitted. The standard may be applied prospectively or retrospectively. The Company is currently evaluating the impact of adopting ASU 2024-03.</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93"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The carrying values of cash, prepaid expenses and other current assets, accounts payable, due to related party and accrued expenses and other current liabilities approximate their fair values due to their short-term nature. The carrying value of the Company’s term debt (refer to Note 9, </w:t>
      </w:r>
      <w:r>
        <w:rPr>
          <w:rFonts w:ascii="Times New Roman" w:cs="Times New Roman" w:eastAsia="Times New Roman" w:hAnsi="Times New Roman"/>
          <w:sz w:val="14"/>
          <w:szCs w:val="14"/>
          <w:i w:val="1"/>
          <w:iCs w:val="1"/>
          <w:color w:val="auto"/>
        </w:rPr>
        <w:t>Term Loan</w:t>
      </w:r>
      <w:r>
        <w:rPr>
          <w:rFonts w:ascii="Times New Roman" w:cs="Times New Roman" w:eastAsia="Times New Roman" w:hAnsi="Times New Roman"/>
          <w:sz w:val="14"/>
          <w:szCs w:val="14"/>
          <w:color w:val="auto"/>
        </w:rPr>
        <w:t>) approximates its fair value due to its time to maturity.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7" w:name="page258"/>
    <w:bookmarkEnd w:id="25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720" w:right="119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5"/>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Fair Value Measurements as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80" w:type="dxa"/>
            <w:vAlign w:val="bottom"/>
            <w:gridSpan w:val="3"/>
            <w:shd w:val="clear" w:color="auto" w:fill="CFF0FC"/>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3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Cash equivalents: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27,133</w:t>
            </w:r>
          </w:p>
        </w:tc>
        <w:tc>
          <w:tcPr>
            <w:tcW w:w="600" w:type="dxa"/>
            <w:vAlign w:val="bottom"/>
            <w:gridSpan w:val="2"/>
            <w:shd w:val="clear" w:color="auto" w:fill="CFF0FC"/>
          </w:tcPr>
          <w:p>
            <w:pPr>
              <w:jc w:val="right"/>
              <w:ind w:right="404"/>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27,133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3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27,133</w:t>
            </w:r>
          </w:p>
        </w:tc>
        <w:tc>
          <w:tcPr>
            <w:tcW w:w="600" w:type="dxa"/>
            <w:vAlign w:val="bottom"/>
            <w:gridSpan w:val="2"/>
          </w:tcPr>
          <w:p>
            <w:pPr>
              <w:jc w:val="right"/>
              <w:ind w:right="404"/>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27,133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gridSpan w:val="5"/>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Fair Value Measurements as of</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3"/>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80" w:type="dxa"/>
            <w:vAlign w:val="bottom"/>
            <w:gridSpan w:val="3"/>
            <w:shd w:val="clear" w:color="auto" w:fill="CFF0FC"/>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3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Cash equivalents: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328,463</w:t>
            </w:r>
          </w:p>
        </w:tc>
        <w:tc>
          <w:tcPr>
            <w:tcW w:w="600" w:type="dxa"/>
            <w:vAlign w:val="bottom"/>
            <w:gridSpan w:val="2"/>
            <w:shd w:val="clear" w:color="auto" w:fill="CFF0FC"/>
          </w:tcPr>
          <w:p>
            <w:pPr>
              <w:jc w:val="right"/>
              <w:ind w:right="404"/>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328,463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3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328,463</w:t>
            </w:r>
          </w:p>
        </w:tc>
        <w:tc>
          <w:tcPr>
            <w:tcW w:w="600" w:type="dxa"/>
            <w:vAlign w:val="bottom"/>
            <w:gridSpan w:val="2"/>
          </w:tcPr>
          <w:p>
            <w:pPr>
              <w:jc w:val="right"/>
              <w:ind w:right="404"/>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328,463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80" w:type="dxa"/>
            <w:vAlign w:val="bottom"/>
            <w:gridSpan w:val="3"/>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rPr>
              <w:t>Liabilities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spacing w:after="0" w:line="160" w:lineRule="exact"/>
              <w:rPr>
                <w:sz w:val="20"/>
                <w:szCs w:val="20"/>
                <w:color w:val="auto"/>
              </w:rPr>
            </w:pPr>
            <w:r>
              <w:rPr>
                <w:rFonts w:ascii="Times New Roman" w:cs="Times New Roman" w:eastAsia="Times New Roman" w:hAnsi="Times New Roman"/>
                <w:sz w:val="14"/>
                <w:szCs w:val="14"/>
                <w:color w:val="auto"/>
              </w:rPr>
              <w:t>SAFE</w:t>
            </w:r>
          </w:p>
        </w:tc>
        <w:tc>
          <w:tcPr>
            <w:tcW w:w="1840" w:type="dxa"/>
            <w:vAlign w:val="bottom"/>
            <w:tcBorders>
              <w:top w:val="single" w:sz="8" w:color="CFF0FC"/>
            </w:tcBorders>
          </w:tcPr>
          <w:p>
            <w:pPr>
              <w:spacing w:after="0"/>
              <w:rPr>
                <w:sz w:val="13"/>
                <w:szCs w:val="13"/>
                <w:color w:val="auto"/>
              </w:rPr>
            </w:pPr>
          </w:p>
        </w:tc>
        <w:tc>
          <w:tcPr>
            <w:tcW w:w="1240" w:type="dxa"/>
            <w:vAlign w:val="bottom"/>
            <w:tcBorders>
              <w:top w:val="single" w:sz="8" w:color="CFF0FC"/>
            </w:tcBorders>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tcBorders>
          </w:tcPr>
          <w:p>
            <w:pPr>
              <w:jc w:val="right"/>
              <w:ind w:right="13"/>
              <w:spacing w:after="0" w:line="16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FF0FC"/>
            </w:tcBorders>
            <w:gridSpan w:val="2"/>
          </w:tcPr>
          <w:p>
            <w:pPr>
              <w:jc w:val="right"/>
              <w:ind w:right="404"/>
              <w:spacing w:after="0" w:line="16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tcBorders>
          </w:tcPr>
          <w:p>
            <w:pPr>
              <w:jc w:val="right"/>
              <w:ind w:right="13"/>
              <w:spacing w:after="0" w:line="160" w:lineRule="exact"/>
              <w:rPr>
                <w:sz w:val="20"/>
                <w:szCs w:val="20"/>
                <w:color w:val="auto"/>
              </w:rPr>
            </w:pPr>
            <w:r>
              <w:rPr>
                <w:rFonts w:ascii="Times New Roman" w:cs="Times New Roman" w:eastAsia="Times New Roman" w:hAnsi="Times New Roman"/>
                <w:sz w:val="14"/>
                <w:szCs w:val="14"/>
                <w:color w:val="auto"/>
              </w:rPr>
              <w:t>50,000</w:t>
            </w:r>
          </w:p>
        </w:tc>
        <w:tc>
          <w:tcPr>
            <w:tcW w:w="220" w:type="dxa"/>
            <w:vAlign w:val="bottom"/>
            <w:tcBorders>
              <w:top w:val="single" w:sz="8" w:color="CFF0FC"/>
            </w:tcBorders>
            <w:gridSpan w:val="2"/>
          </w:tcPr>
          <w:p>
            <w:pPr>
              <w:jc w:val="right"/>
              <w:ind w:right="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tcBorders>
          </w:tcPr>
          <w:p>
            <w:pPr>
              <w:jc w:val="right"/>
              <w:ind w:right="33"/>
              <w:spacing w:after="0" w:line="160" w:lineRule="exact"/>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2380" w:type="dxa"/>
            <w:vAlign w:val="bottom"/>
            <w:gridSpan w:val="3"/>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liabilities</w:t>
            </w:r>
          </w:p>
        </w:tc>
        <w:tc>
          <w:tcPr>
            <w:tcW w:w="12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404"/>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50,000</w:t>
            </w:r>
          </w:p>
        </w:tc>
        <w:tc>
          <w:tcPr>
            <w:tcW w:w="22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-1287780</wp:posOffset>
            </wp:positionV>
            <wp:extent cx="4699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-1287780</wp:posOffset>
            </wp:positionV>
            <wp:extent cx="4699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-1287780</wp:posOffset>
            </wp:positionV>
            <wp:extent cx="4699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-480060</wp:posOffset>
            </wp:positionV>
            <wp:extent cx="4699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-480060</wp:posOffset>
            </wp:positionV>
            <wp:extent cx="4699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-480060</wp:posOffset>
            </wp:positionV>
            <wp:extent cx="4699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-19685</wp:posOffset>
            </wp:positionV>
            <wp:extent cx="4699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-6350</wp:posOffset>
            </wp:positionV>
            <wp:extent cx="4699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-19685</wp:posOffset>
            </wp:positionV>
            <wp:extent cx="4699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-6350</wp:posOffset>
            </wp:positionV>
            <wp:extent cx="4699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-19685</wp:posOffset>
            </wp:positionV>
            <wp:extent cx="4699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-6350</wp:posOffset>
            </wp:positionV>
            <wp:extent cx="4699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jc w:val="both"/>
        <w:ind w:left="720" w:right="1119" w:firstLine="343"/>
        <w:spacing w:after="0" w:line="283" w:lineRule="auto"/>
        <w:rPr>
          <w:sz w:val="20"/>
          <w:szCs w:val="20"/>
          <w:color w:val="auto"/>
        </w:rPr>
      </w:pPr>
      <w:r>
        <w:rPr>
          <w:rFonts w:ascii="Times New Roman" w:cs="Times New Roman" w:eastAsia="Times New Roman" w:hAnsi="Times New Roman"/>
          <w:sz w:val="14"/>
          <w:szCs w:val="14"/>
          <w:color w:val="auto"/>
        </w:rPr>
        <w:t>During the three months ended March 31, 2025 and 2026, there were no transfers among the Level 1, Level 2 and Level 3 categories.</w:t>
      </w:r>
    </w:p>
    <w:p>
      <w:pPr>
        <w:spacing w:after="0" w:line="125" w:lineRule="exact"/>
        <w:rPr>
          <w:sz w:val="20"/>
          <w:szCs w:val="20"/>
          <w:color w:val="auto"/>
        </w:rPr>
      </w:pPr>
    </w:p>
    <w:p>
      <w:pPr>
        <w:ind w:left="720" w:right="959" w:firstLine="343"/>
        <w:spacing w:after="0" w:line="283" w:lineRule="auto"/>
        <w:rPr>
          <w:sz w:val="20"/>
          <w:szCs w:val="20"/>
          <w:color w:val="auto"/>
        </w:rPr>
      </w:pPr>
      <w:r>
        <w:rPr>
          <w:rFonts w:ascii="Times New Roman" w:cs="Times New Roman" w:eastAsia="Times New Roman" w:hAnsi="Times New Roman"/>
          <w:sz w:val="14"/>
          <w:szCs w:val="14"/>
          <w:color w:val="auto"/>
        </w:rPr>
        <w:t>The Company’s cash equivalents are classified within Level 1 of the fair value hierarchy as they are invested in highly liquid money market funds which are based on a quoted price with a net asset value of $1 per share.</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Valuation of Preferred Stock Tranche Right Liability</w:t>
      </w:r>
    </w:p>
    <w:p>
      <w:pPr>
        <w:spacing w:after="0" w:line="93" w:lineRule="exact"/>
        <w:rPr>
          <w:sz w:val="20"/>
          <w:szCs w:val="20"/>
          <w:color w:val="auto"/>
        </w:rPr>
      </w:pPr>
    </w:p>
    <w:p>
      <w:pPr>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The preferred stock tranche right liability represents the fair value of an obligation to issue shares of Series E convertible preferred stock. The fair value of the preferred stock tranche right liability was determined based on significant inputs not observable in the market, which represented a Level 3 measurement within the fair value hierarchy.</w:t>
      </w:r>
    </w:p>
    <w:p>
      <w:pPr>
        <w:spacing w:after="0" w:line="136"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The Company estimated the fair value of the preferred stock tranche right liability at the time of issuance and subsequently remeasured its fair value at each reporting period and prior to settlement.</w:t>
      </w:r>
    </w:p>
    <w:p>
      <w:pPr>
        <w:spacing w:after="0" w:line="125"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As of December 31, 2024, in light of the near-term completion of the Series E convertible preferred stock second closing in January 2025, the fair value of the preferred stock tranche right liability was determined based on the difference between the estimated fair value of the Series E convertible preferred stock, or $6.43 per share, and its contractual purchase price, or $6.23 per share. The Company estimated the fair value per share of the underlying Series E convertible preferred stock by taking into consideration the results obtained from third-party valuations which included the most recent sales of its preferred stock, market conditions and trends since the last preferred stock issuance.</w:t>
      </w:r>
    </w:p>
    <w:p>
      <w:pPr>
        <w:spacing w:after="0" w:line="143"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changes in the aggregate fair value of the Company’s Series E preferred stock tranche right liability (in thousands):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20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20" w:type="dxa"/>
            <w:vAlign w:val="bottom"/>
          </w:tcPr>
          <w:p>
            <w:pPr>
              <w:spacing w:after="0"/>
              <w:rPr>
                <w:sz w:val="11"/>
                <w:szCs w:val="11"/>
                <w:color w:val="auto"/>
              </w:rPr>
            </w:pPr>
          </w:p>
        </w:tc>
      </w:tr>
      <w:tr>
        <w:trPr>
          <w:trHeight w:val="159"/>
        </w:trPr>
        <w:tc>
          <w:tcPr>
            <w:tcW w:w="2040" w:type="dxa"/>
            <w:vAlign w:val="bottom"/>
          </w:tcPr>
          <w:p>
            <w:pPr>
              <w:spacing w:after="0"/>
              <w:rPr>
                <w:sz w:val="13"/>
                <w:szCs w:val="13"/>
                <w:color w:val="auto"/>
              </w:rPr>
            </w:pPr>
          </w:p>
        </w:tc>
        <w:tc>
          <w:tcPr>
            <w:tcW w:w="3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2,167</w:t>
            </w:r>
          </w:p>
        </w:tc>
        <w:tc>
          <w:tcPr>
            <w:tcW w:w="2020" w:type="dxa"/>
            <w:vAlign w:val="bottom"/>
          </w:tcPr>
          <w:p>
            <w:pPr>
              <w:spacing w:after="0"/>
              <w:rPr>
                <w:sz w:val="13"/>
                <w:szCs w:val="13"/>
                <w:color w:val="auto"/>
              </w:rPr>
            </w:pPr>
          </w:p>
        </w:tc>
      </w:tr>
      <w:tr>
        <w:trPr>
          <w:trHeight w:val="168"/>
        </w:trPr>
        <w:tc>
          <w:tcPr>
            <w:tcW w:w="204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Settlement of Series E preferred stock tranche right liability</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2020" w:type="dxa"/>
            <w:vAlign w:val="bottom"/>
          </w:tcPr>
          <w:p>
            <w:pPr>
              <w:spacing w:after="0"/>
              <w:rPr>
                <w:sz w:val="14"/>
                <w:szCs w:val="14"/>
                <w:color w:val="auto"/>
              </w:rPr>
            </w:pPr>
          </w:p>
        </w:tc>
      </w:tr>
      <w:tr>
        <w:trPr>
          <w:trHeight w:val="199"/>
        </w:trPr>
        <w:tc>
          <w:tcPr>
            <w:tcW w:w="2040" w:type="dxa"/>
            <w:vAlign w:val="bottom"/>
          </w:tcPr>
          <w:p>
            <w:pPr>
              <w:spacing w:after="0"/>
              <w:rPr>
                <w:sz w:val="17"/>
                <w:szCs w:val="17"/>
                <w:color w:val="auto"/>
              </w:rPr>
            </w:pPr>
          </w:p>
        </w:tc>
        <w:tc>
          <w:tcPr>
            <w:tcW w:w="3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Balance as of March 31, 2025</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spacing w:after="0"/>
              <w:rPr>
                <w:sz w:val="17"/>
                <w:szCs w:val="17"/>
                <w:color w:val="auto"/>
              </w:rPr>
            </w:pPr>
          </w:p>
        </w:tc>
      </w:tr>
      <w:tr>
        <w:trPr>
          <w:trHeight w:val="476"/>
        </w:trPr>
        <w:tc>
          <w:tcPr>
            <w:tcW w:w="2040" w:type="dxa"/>
            <w:vAlign w:val="bottom"/>
          </w:tcPr>
          <w:p>
            <w:pPr>
              <w:spacing w:after="0"/>
              <w:rPr>
                <w:sz w:val="24"/>
                <w:szCs w:val="24"/>
                <w:color w:val="auto"/>
              </w:rPr>
            </w:pPr>
          </w:p>
        </w:tc>
        <w:tc>
          <w:tcPr>
            <w:tcW w:w="3580" w:type="dxa"/>
            <w:vAlign w:val="bottom"/>
            <w:tcBorders>
              <w:top w:val="single" w:sz="8" w:color="CFF0FC"/>
            </w:tcBorders>
          </w:tcPr>
          <w:p>
            <w:pPr>
              <w:ind w:left="2140"/>
              <w:spacing w:after="0"/>
              <w:rPr>
                <w:sz w:val="20"/>
                <w:szCs w:val="20"/>
                <w:color w:val="auto"/>
              </w:rPr>
            </w:pPr>
            <w:r>
              <w:rPr>
                <w:rFonts w:ascii="Times New Roman" w:cs="Times New Roman" w:eastAsia="Times New Roman" w:hAnsi="Times New Roman"/>
                <w:sz w:val="14"/>
                <w:szCs w:val="14"/>
                <w:color w:val="auto"/>
              </w:rPr>
              <w:t>F-38</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r>
      <w:tr>
        <w:trPr>
          <w:trHeight w:val="590"/>
        </w:trPr>
        <w:tc>
          <w:tcPr>
            <w:tcW w:w="20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8" w:name="page259"/>
    <w:bookmarkEnd w:id="25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Valuation of Simple Agreement for Future Equity</w:t>
      </w:r>
    </w:p>
    <w:p>
      <w:pPr>
        <w:spacing w:after="0" w:line="91" w:lineRule="exact"/>
        <w:rPr>
          <w:sz w:val="20"/>
          <w:szCs w:val="20"/>
          <w:color w:val="auto"/>
        </w:rPr>
      </w:pPr>
    </w:p>
    <w:p>
      <w:pPr>
        <w:ind w:left="720" w:right="959" w:firstLine="343"/>
        <w:spacing w:after="0" w:line="286" w:lineRule="auto"/>
        <w:rPr>
          <w:sz w:val="20"/>
          <w:szCs w:val="20"/>
          <w:color w:val="auto"/>
        </w:rPr>
      </w:pPr>
      <w:r>
        <w:rPr>
          <w:rFonts w:ascii="Times New Roman" w:cs="Times New Roman" w:eastAsia="Times New Roman" w:hAnsi="Times New Roman"/>
          <w:sz w:val="14"/>
          <w:szCs w:val="14"/>
          <w:color w:val="auto"/>
        </w:rPr>
        <w:t xml:space="preserve">On March 27, 2026, the Company issued a SAFE to an investor (refer to Note 10, </w:t>
      </w:r>
      <w:r>
        <w:rPr>
          <w:rFonts w:ascii="Times New Roman" w:cs="Times New Roman" w:eastAsia="Times New Roman" w:hAnsi="Times New Roman"/>
          <w:sz w:val="14"/>
          <w:szCs w:val="14"/>
          <w:i w:val="1"/>
          <w:iCs w:val="1"/>
          <w:color w:val="auto"/>
        </w:rPr>
        <w:t>Simple Agreement for Future Equity</w:t>
      </w:r>
      <w:r>
        <w:rPr>
          <w:rFonts w:ascii="Times New Roman" w:cs="Times New Roman" w:eastAsia="Times New Roman" w:hAnsi="Times New Roman"/>
          <w:sz w:val="14"/>
          <w:szCs w:val="14"/>
          <w:color w:val="auto"/>
        </w:rPr>
        <w:t>). The SAFE is accounted for as a liability and represents a Level 3 measurement within the fair value hierarchy.</w:t>
      </w:r>
    </w:p>
    <w:p>
      <w:pPr>
        <w:spacing w:after="0" w:line="123" w:lineRule="exact"/>
        <w:rPr>
          <w:sz w:val="20"/>
          <w:szCs w:val="20"/>
          <w:color w:val="auto"/>
        </w:rPr>
      </w:pPr>
    </w:p>
    <w:p>
      <w:pPr>
        <w:ind w:left="720" w:right="879" w:firstLine="343"/>
        <w:spacing w:after="0" w:line="283" w:lineRule="auto"/>
        <w:rPr>
          <w:sz w:val="20"/>
          <w:szCs w:val="20"/>
          <w:color w:val="auto"/>
        </w:rPr>
      </w:pPr>
      <w:r>
        <w:rPr>
          <w:rFonts w:ascii="Times New Roman" w:cs="Times New Roman" w:eastAsia="Times New Roman" w:hAnsi="Times New Roman"/>
          <w:sz w:val="14"/>
          <w:szCs w:val="14"/>
          <w:color w:val="auto"/>
        </w:rPr>
        <w:t>The fair value of the SAFE upon issuance was determined to be equal to the proceeds received of $50.0 million. There was no change in fair value of the SAFE during the three months ended March 31, 2026.</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4. Property and Equipment, Net</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35"/>
        </w:trPr>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35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Laboratory equipment</w:t>
            </w:r>
          </w:p>
        </w:tc>
        <w:tc>
          <w:tcPr>
            <w:tcW w:w="18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13,830</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13,916</w:t>
            </w: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4,692</w:t>
            </w:r>
          </w:p>
        </w:tc>
      </w:tr>
      <w:tr>
        <w:trPr>
          <w:trHeight w:val="16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307</w:t>
            </w: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697</w:t>
            </w:r>
          </w:p>
        </w:tc>
      </w:tr>
      <w:tr>
        <w:trPr>
          <w:trHeight w:val="168"/>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 not yet in service</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422</w:t>
            </w:r>
          </w:p>
        </w:tc>
      </w:tr>
      <w:tr>
        <w:trPr>
          <w:trHeight w:val="159"/>
        </w:trPr>
        <w:tc>
          <w:tcPr>
            <w:tcW w:w="35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19,528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20,034</w:t>
            </w:r>
          </w:p>
        </w:tc>
      </w:tr>
      <w:tr>
        <w:trPr>
          <w:trHeight w:val="168"/>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(13,376)</w:t>
            </w:r>
          </w:p>
        </w:tc>
      </w:tr>
      <w:tr>
        <w:trPr>
          <w:trHeight w:val="159"/>
        </w:trPr>
        <w:tc>
          <w:tcPr>
            <w:tcW w:w="35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gridSpan w:val="2"/>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6,715</w:t>
            </w:r>
          </w:p>
        </w:tc>
        <w:tc>
          <w:tcPr>
            <w:tcW w:w="18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6,658</w:t>
            </w:r>
          </w:p>
        </w:tc>
      </w:tr>
      <w:tr>
        <w:trPr>
          <w:trHeight w:val="20"/>
        </w:trPr>
        <w:tc>
          <w:tcPr>
            <w:tcW w:w="3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-353060</wp:posOffset>
            </wp:positionV>
            <wp:extent cx="5334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-132715</wp:posOffset>
            </wp:positionV>
            <wp:extent cx="53340"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jc w:val="both"/>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Included in laboratory equipment are finance lease right-of-use assets with a cost basis of $2.9 million as of December 31, 2025 and March 31, 2026, and accumulated amortization expense of $0.7 million and $0.8 million as of December 31, 2025 and March 31, 2026, respectively.</w:t>
      </w:r>
    </w:p>
    <w:p>
      <w:pPr>
        <w:spacing w:after="0" w:line="136"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During the three months ended March 31, 2025 and 2026, depreciation and amortization expense amounted to $0.7 million and $0.6 million, respectively, which includes $0.1 million of finance lease right-of-use asset amortization in each period.</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summarizes accrued expenses and other current liabilities (in thousands):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w w:val="99"/>
              </w:rPr>
              <w:t>March 31,</w:t>
            </w:r>
          </w:p>
        </w:tc>
      </w:tr>
      <w:tr>
        <w:trPr>
          <w:trHeight w:val="135"/>
        </w:trPr>
        <w:tc>
          <w:tcPr>
            <w:tcW w:w="3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3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Accrued employee compensation and benefits</w:t>
            </w:r>
          </w:p>
        </w:tc>
        <w:tc>
          <w:tcPr>
            <w:tcW w:w="68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9,079</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3,736</w:t>
            </w: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Accrued research and development expenses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w:t>
            </w:r>
          </w:p>
        </w:tc>
      </w:tr>
      <w:tr>
        <w:trPr>
          <w:trHeight w:val="168"/>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deferred offering costs</w:t>
            </w: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w:t>
            </w:r>
          </w:p>
        </w:tc>
      </w:tr>
      <w:tr>
        <w:trPr>
          <w:trHeight w:val="179"/>
        </w:trPr>
        <w:tc>
          <w:tcPr>
            <w:tcW w:w="310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68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18,630</w:t>
            </w:r>
          </w:p>
        </w:tc>
        <w:tc>
          <w:tcPr>
            <w:tcW w:w="18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21,557</w:t>
            </w: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-19685</wp:posOffset>
            </wp:positionV>
            <wp:extent cx="5334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-6350</wp:posOffset>
            </wp:positionV>
            <wp:extent cx="53340"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6. Convertible Preferred Stock</w:t>
      </w:r>
    </w:p>
    <w:p>
      <w:pPr>
        <w:spacing w:after="0" w:line="93" w:lineRule="exact"/>
        <w:rPr>
          <w:sz w:val="20"/>
          <w:szCs w:val="20"/>
          <w:color w:val="auto"/>
        </w:rPr>
      </w:pPr>
    </w:p>
    <w:p>
      <w:pPr>
        <w:ind w:left="720" w:right="819" w:firstLine="343"/>
        <w:spacing w:after="0" w:line="261" w:lineRule="auto"/>
        <w:rPr>
          <w:sz w:val="20"/>
          <w:szCs w:val="20"/>
          <w:color w:val="auto"/>
        </w:rPr>
      </w:pPr>
      <w:r>
        <w:rPr>
          <w:rFonts w:ascii="Times New Roman" w:cs="Times New Roman" w:eastAsia="Times New Roman" w:hAnsi="Times New Roman"/>
          <w:sz w:val="14"/>
          <w:szCs w:val="14"/>
          <w:color w:val="auto"/>
        </w:rPr>
        <w:t>On January 6, 2026, the Company entered into the Series F Preferred Stock Purchase Agreement (the “Series F Agreement”) and issued to certain investors an aggregate of 49,518,175 shares of Series F convertible preferred stock (the “Series F Preferred Stock”) at a purchase price of $6.16 per share for gross proceeds of $305.2 million. The gross proceeds were offset by $0.7 million of issuance costs.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9" w:name="page260"/>
    <w:bookmarkEnd w:id="25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720" w:right="799" w:firstLine="343"/>
        <w:spacing w:after="0" w:line="252" w:lineRule="auto"/>
        <w:rPr>
          <w:sz w:val="20"/>
          <w:szCs w:val="20"/>
          <w:color w:val="auto"/>
        </w:rPr>
      </w:pPr>
      <w:r>
        <w:rPr>
          <w:rFonts w:ascii="Times New Roman" w:cs="Times New Roman" w:eastAsia="Times New Roman" w:hAnsi="Times New Roman"/>
          <w:sz w:val="14"/>
          <w:szCs w:val="14"/>
          <w:color w:val="auto"/>
        </w:rPr>
        <w:t>In accordance with the terms of the Company’s certificate of incorporation, the issuance of the Series F Preferred Stock triggered adjustments to the respective conversion prices of the Series A convertible preferred stock (the “Series A Preferred Stock”), the Series B convertible preferred stock (the “Series B Preferred Stock”), the Series C convertible preferred stock (the “Series C Preferred Stock”), the Series D convertible preferred stock (the “Series D Preferred Stock”) and the Series E convertible preferred stock (the “Series E Preferred Stock”) (as described further below). As a result, the Company recorded an increase to additional paid-in capital and a deemed dividend of $7.9 million which is equal to the change in fair value of the Series A Preferred Stock, Series B Preferred Stock, Series C Preferred Stock, Series D Preferred Stock and Series E Preferred Stock due to the triggering of the down-round feature. As the Company did not have retained earnings at the time the Series F Preferred Stock was issued, the deemed dividend was charged against additional paid-in capital resulting in no net impact to additional paid-in capital. The fair value of each preferred share class was determined using a “with-and-without” model under which the equity value of the Company was allocated using a hybrid method, whereby the equity value in the IPO scenario was allocated to each class of shares using the fully-diluted shares outstanding and whereby the equity value in the non-IPO scenario was allocated using an option-pricing model to reflect the full distribution of possible non-IPO outcomes, both before and after the adjustment to the respective conversion price. The following table summarizes the significant Level 3 unobservable inputs used to estimate the fair value of the Series A Preferred Stock, Series B Preferred Stock, Series C Preferred Stock, Series D Preferred Stock and Series E Preferred Stock at the Series F Preferred Stock issuance date:</w:t>
      </w:r>
    </w:p>
    <w:p>
      <w:pPr>
        <w:spacing w:after="0" w:line="171" w:lineRule="exact"/>
        <w:rPr>
          <w:sz w:val="20"/>
          <w:szCs w:val="20"/>
          <w:color w:val="auto"/>
        </w:rPr>
      </w:pPr>
    </w:p>
    <w:tbl>
      <w:tblPr>
        <w:tblLayout w:type="fixed"/>
        <w:tblInd w:w="2240" w:type="dxa"/>
        <w:tblCellMar>
          <w:top w:w="0" w:type="dxa"/>
          <w:left w:w="0" w:type="dxa"/>
          <w:bottom w:w="0" w:type="dxa"/>
          <w:right w:w="0" w:type="dxa"/>
        </w:tblCellMar>
      </w:tblPr>
      <w:tr>
        <w:trPr>
          <w:trHeight w:val="135"/>
        </w:trPr>
        <w:tc>
          <w:tcPr>
            <w:tcW w:w="3740" w:type="dxa"/>
            <w:vAlign w:val="bottom"/>
          </w:tcPr>
          <w:p>
            <w:pPr>
              <w:spacing w:after="0"/>
              <w:rPr>
                <w:sz w:val="11"/>
                <w:szCs w:val="1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January 6, 2026</w:t>
            </w:r>
          </w:p>
        </w:tc>
      </w:tr>
      <w:tr>
        <w:trPr>
          <w:trHeight w:val="159"/>
        </w:trPr>
        <w:tc>
          <w:tcPr>
            <w:tcW w:w="37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Expected volatility</w:t>
            </w:r>
          </w:p>
        </w:tc>
        <w:tc>
          <w:tcPr>
            <w:tcW w:w="80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rPr>
              <w:t>78.0%</w:t>
            </w: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0.85 - 2.5</w:t>
            </w: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r>
    </w:tbl>
    <w:p>
      <w:pPr>
        <w:spacing w:after="0" w:line="160"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Upon the issuance of each series of convertible preferred stock, the Company assessed the embedded conversion and liquidation features of the securities and determined that the Company was not required to separately account for these features.</w:t>
      </w:r>
    </w:p>
    <w:p>
      <w:pPr>
        <w:spacing w:after="0" w:line="125" w:lineRule="exact"/>
        <w:rPr>
          <w:sz w:val="20"/>
          <w:szCs w:val="20"/>
          <w:color w:val="auto"/>
        </w:rPr>
      </w:pPr>
    </w:p>
    <w:p>
      <w:pPr>
        <w:ind w:left="720" w:right="1319" w:firstLine="343"/>
        <w:spacing w:after="0" w:line="283" w:lineRule="auto"/>
        <w:rPr>
          <w:sz w:val="20"/>
          <w:szCs w:val="20"/>
          <w:color w:val="auto"/>
        </w:rPr>
      </w:pPr>
      <w:r>
        <w:rPr>
          <w:rFonts w:ascii="Times New Roman" w:cs="Times New Roman" w:eastAsia="Times New Roman" w:hAnsi="Times New Roman"/>
          <w:sz w:val="14"/>
          <w:szCs w:val="14"/>
          <w:color w:val="auto"/>
        </w:rPr>
        <w:t>Convertible preferred stock consisted of the following at December 31, 2025 (in thousands, except share and per share amounts):</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96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Original</w:t>
            </w:r>
          </w:p>
        </w:tc>
        <w:tc>
          <w:tcPr>
            <w:tcW w:w="80" w:type="dxa"/>
            <w:vAlign w:val="bottom"/>
          </w:tcPr>
          <w:p>
            <w:pPr>
              <w:spacing w:after="0"/>
              <w:rPr>
                <w:sz w:val="10"/>
                <w:szCs w:val="10"/>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900" w:type="dxa"/>
            <w:vAlign w:val="bottom"/>
            <w:gridSpan w:val="2"/>
          </w:tcPr>
          <w:p>
            <w:pPr>
              <w:jc w:val="center"/>
              <w:ind w:right="14"/>
              <w:spacing w:after="0" w:line="116" w:lineRule="exact"/>
              <w:rPr>
                <w:sz w:val="20"/>
                <w:szCs w:val="20"/>
                <w:color w:val="auto"/>
              </w:rPr>
            </w:pPr>
            <w:r>
              <w:rPr>
                <w:rFonts w:ascii="Times New Roman" w:cs="Times New Roman" w:eastAsia="Times New Roman" w:hAnsi="Times New Roman"/>
                <w:sz w:val="11"/>
                <w:szCs w:val="11"/>
                <w:b w:val="1"/>
                <w:bCs w:val="1"/>
                <w:color w:val="auto"/>
              </w:rPr>
              <w:t>Issuance Price</w:t>
            </w: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Issued and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Issuable Upon</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60" w:type="dxa"/>
            <w:vAlign w:val="bottom"/>
            <w:shd w:val="clear" w:color="auto" w:fill="CFF0FC"/>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4"/>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7.75</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14,914</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19,477</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4,658,112</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14.06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4,658,112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106,351</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6,261,931</w:t>
            </w:r>
          </w:p>
        </w:tc>
        <w:tc>
          <w:tcPr>
            <w:tcW w:w="0" w:type="dxa"/>
            <w:vAlign w:val="bottom"/>
          </w:tcPr>
          <w:p>
            <w:pPr>
              <w:spacing w:after="0"/>
              <w:rPr>
                <w:sz w:val="1"/>
                <w:szCs w:val="1"/>
                <w:color w:val="auto"/>
              </w:rPr>
            </w:pPr>
          </w:p>
        </w:tc>
      </w:tr>
      <w:tr>
        <w:trPr>
          <w:trHeight w:val="16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7,384,710</w:t>
            </w:r>
          </w:p>
        </w:tc>
        <w:tc>
          <w:tcPr>
            <w:tcW w:w="2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14.49</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7,384,710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106,674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152,175</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10,064,421</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D</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16,537,979</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10.76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16,537,979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177,581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225,956</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19,497,429</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23,281,563</w:t>
            </w:r>
          </w:p>
        </w:tc>
        <w:tc>
          <w:tcPr>
            <w:tcW w:w="220" w:type="dxa"/>
            <w:vAlign w:val="bottom"/>
            <w:tcBorders>
              <w:bottom w:val="single" w:sz="8" w:color="CFF0FC"/>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23,281,563</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145,414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155,013</w:t>
            </w:r>
          </w:p>
        </w:tc>
        <w:tc>
          <w:tcPr>
            <w:tcW w:w="8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23,281,563</w:t>
            </w: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960" w:type="dxa"/>
            <w:vAlign w:val="bottom"/>
          </w:tcPr>
          <w:p>
            <w:pPr>
              <w:jc w:val="right"/>
              <w:ind w:right="36"/>
              <w:spacing w:after="0" w:line="159" w:lineRule="exact"/>
              <w:rPr>
                <w:sz w:val="20"/>
                <w:szCs w:val="20"/>
                <w:color w:val="auto"/>
              </w:rPr>
            </w:pPr>
            <w:r>
              <w:rPr>
                <w:rFonts w:ascii="Times New Roman" w:cs="Times New Roman" w:eastAsia="Times New Roman" w:hAnsi="Times New Roman"/>
                <w:sz w:val="14"/>
                <w:szCs w:val="14"/>
                <w:color w:val="auto"/>
              </w:rPr>
              <w:t>53,296,426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53,296,426</w:t>
            </w:r>
          </w:p>
        </w:tc>
        <w:tc>
          <w:tcPr>
            <w:tcW w:w="2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509,971</w:t>
            </w:r>
          </w:p>
        </w:tc>
        <w:tc>
          <w:tcPr>
            <w:tcW w:w="20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658,972</w:t>
            </w:r>
          </w:p>
        </w:tc>
        <w:tc>
          <w:tcPr>
            <w:tcW w:w="1020" w:type="dxa"/>
            <w:vAlign w:val="bottom"/>
            <w:gridSpan w:val="2"/>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60,648,558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-132715</wp:posOffset>
            </wp:positionV>
            <wp:extent cx="6667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-132715</wp:posOffset>
            </wp:positionV>
            <wp:extent cx="6032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-132715</wp:posOffset>
            </wp:positionV>
            <wp:extent cx="6032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-132715</wp:posOffset>
            </wp:positionV>
            <wp:extent cx="4699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Convertible preferred stock consisted of the following at March 31, 2026 (in thousands, except share and per share amounts):</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Original</w:t>
            </w:r>
          </w:p>
        </w:tc>
        <w:tc>
          <w:tcPr>
            <w:tcW w:w="80" w:type="dxa"/>
            <w:vAlign w:val="bottom"/>
          </w:tcPr>
          <w:p>
            <w:pPr>
              <w:spacing w:after="0"/>
              <w:rPr>
                <w:sz w:val="10"/>
                <w:szCs w:val="10"/>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center"/>
              <w:ind w:right="55"/>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36"/>
              <w:spacing w:after="0" w:line="116" w:lineRule="exact"/>
              <w:rPr>
                <w:sz w:val="20"/>
                <w:szCs w:val="20"/>
                <w:color w:val="auto"/>
              </w:rPr>
            </w:pPr>
            <w:r>
              <w:rPr>
                <w:rFonts w:ascii="Times New Roman" w:cs="Times New Roman" w:eastAsia="Times New Roman" w:hAnsi="Times New Roman"/>
                <w:sz w:val="11"/>
                <w:szCs w:val="11"/>
                <w:b w:val="1"/>
                <w:bCs w:val="1"/>
                <w:color w:val="auto"/>
              </w:rPr>
              <w:t>Issuance</w:t>
            </w:r>
          </w:p>
        </w:tc>
        <w:tc>
          <w:tcPr>
            <w:tcW w:w="80" w:type="dxa"/>
            <w:vAlign w:val="bottom"/>
          </w:tcPr>
          <w:p>
            <w:pPr>
              <w:spacing w:after="0"/>
              <w:rPr>
                <w:sz w:val="10"/>
                <w:szCs w:val="10"/>
                <w:color w:val="auto"/>
              </w:rPr>
            </w:pPr>
          </w:p>
        </w:tc>
        <w:tc>
          <w:tcPr>
            <w:tcW w:w="940" w:type="dxa"/>
            <w:vAlign w:val="bottom"/>
          </w:tcPr>
          <w:p>
            <w:pPr>
              <w:jc w:val="center"/>
              <w:ind w:right="39"/>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960" w:type="dxa"/>
            <w:vAlign w:val="bottom"/>
          </w:tcPr>
          <w:p>
            <w:pPr>
              <w:jc w:val="center"/>
              <w:ind w:right="55"/>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36"/>
              <w:spacing w:after="0" w:line="116"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80" w:type="dxa"/>
            <w:vAlign w:val="bottom"/>
          </w:tcPr>
          <w:p>
            <w:pPr>
              <w:spacing w:after="0"/>
              <w:rPr>
                <w:sz w:val="10"/>
                <w:szCs w:val="10"/>
                <w:color w:val="auto"/>
              </w:rPr>
            </w:pPr>
          </w:p>
        </w:tc>
        <w:tc>
          <w:tcPr>
            <w:tcW w:w="940" w:type="dxa"/>
            <w:vAlign w:val="bottom"/>
          </w:tcPr>
          <w:p>
            <w:pPr>
              <w:jc w:val="center"/>
              <w:ind w:right="39"/>
              <w:spacing w:after="0" w:line="116" w:lineRule="exact"/>
              <w:rPr>
                <w:sz w:val="20"/>
                <w:szCs w:val="20"/>
                <w:color w:val="auto"/>
              </w:rPr>
            </w:pPr>
            <w:r>
              <w:rPr>
                <w:rFonts w:ascii="Times New Roman" w:cs="Times New Roman" w:eastAsia="Times New Roman" w:hAnsi="Times New Roman"/>
                <w:sz w:val="11"/>
                <w:szCs w:val="11"/>
                <w:b w:val="1"/>
                <w:bCs w:val="1"/>
                <w:color w:val="auto"/>
              </w:rPr>
              <w:t>Issued and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41"/>
              <w:spacing w:after="0" w:line="116" w:lineRule="exact"/>
              <w:rPr>
                <w:sz w:val="20"/>
                <w:szCs w:val="20"/>
                <w:color w:val="auto"/>
              </w:rPr>
            </w:pPr>
            <w:r>
              <w:rPr>
                <w:rFonts w:ascii="Times New Roman" w:cs="Times New Roman" w:eastAsia="Times New Roman" w:hAnsi="Times New Roman"/>
                <w:sz w:val="11"/>
                <w:szCs w:val="11"/>
                <w:b w:val="1"/>
                <w:bCs w:val="1"/>
                <w:color w:val="auto"/>
              </w:rPr>
              <w:t>Issuable Upon</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rPr>
              <w:t>Share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60" w:type="dxa"/>
            <w:vAlign w:val="bottom"/>
            <w:shd w:val="clear" w:color="auto" w:fill="CFF0FC"/>
          </w:tcPr>
          <w:p>
            <w:pPr>
              <w:jc w:val="right"/>
              <w:ind w:right="35"/>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6"/>
              <w:spacing w:after="0" w:line="159" w:lineRule="exact"/>
              <w:rPr>
                <w:sz w:val="20"/>
                <w:szCs w:val="20"/>
                <w:color w:val="auto"/>
              </w:rPr>
            </w:pPr>
            <w:r>
              <w:rPr>
                <w:rFonts w:ascii="Times New Roman" w:cs="Times New Roman" w:eastAsia="Times New Roman" w:hAnsi="Times New Roman"/>
                <w:sz w:val="14"/>
                <w:szCs w:val="14"/>
                <w:color w:val="auto"/>
              </w:rPr>
              <w:t>7.75</w:t>
            </w:r>
          </w:p>
        </w:tc>
        <w:tc>
          <w:tcPr>
            <w:tcW w:w="1020" w:type="dxa"/>
            <w:vAlign w:val="bottom"/>
            <w:gridSpan w:val="2"/>
            <w:shd w:val="clear" w:color="auto" w:fill="CFF0FC"/>
          </w:tcPr>
          <w:p>
            <w:pPr>
              <w:jc w:val="right"/>
              <w:ind w:right="39"/>
              <w:spacing w:after="0" w:line="159" w:lineRule="exact"/>
              <w:rPr>
                <w:sz w:val="20"/>
                <w:szCs w:val="20"/>
                <w:color w:val="auto"/>
              </w:rPr>
            </w:pPr>
            <w:r>
              <w:rPr>
                <w:rFonts w:ascii="Times New Roman" w:cs="Times New Roman" w:eastAsia="Times New Roman" w:hAnsi="Times New Roman"/>
                <w:sz w:val="14"/>
                <w:szCs w:val="14"/>
                <w:color w:val="auto"/>
              </w:rPr>
              <w:t>1,434,062</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14,914</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19,699</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1,634,435</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4,658,112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14.06</w:t>
            </w: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4,658,112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107,662</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7,447,249</w:t>
            </w:r>
          </w:p>
        </w:tc>
        <w:tc>
          <w:tcPr>
            <w:tcW w:w="0" w:type="dxa"/>
            <w:vAlign w:val="bottom"/>
          </w:tcPr>
          <w:p>
            <w:pPr>
              <w:spacing w:after="0"/>
              <w:rPr>
                <w:sz w:val="1"/>
                <w:szCs w:val="1"/>
                <w:color w:val="auto"/>
              </w:rPr>
            </w:pPr>
          </w:p>
        </w:tc>
      </w:tr>
      <w:tr>
        <w:trPr>
          <w:trHeight w:val="16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7,384,710</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14.49</w:t>
            </w:r>
          </w:p>
        </w:tc>
        <w:tc>
          <w:tcPr>
            <w:tcW w:w="1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7,384,710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106,674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155,348</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12,021,393</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D</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16,537,979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10.76</w:t>
            </w: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16,537,979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177,581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230,909</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22,304,077</w:t>
            </w:r>
          </w:p>
        </w:tc>
        <w:tc>
          <w:tcPr>
            <w:tcW w:w="0" w:type="dxa"/>
            <w:vAlign w:val="bottom"/>
          </w:tcPr>
          <w:p>
            <w:pPr>
              <w:spacing w:after="0"/>
              <w:rPr>
                <w:sz w:val="1"/>
                <w:szCs w:val="1"/>
                <w:color w:val="auto"/>
              </w:rPr>
            </w:pPr>
          </w:p>
        </w:tc>
      </w:tr>
      <w:tr>
        <w:trPr>
          <w:trHeight w:val="168"/>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23,281,563</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6.23</w:t>
            </w:r>
          </w:p>
        </w:tc>
        <w:tc>
          <w:tcPr>
            <w:tcW w:w="1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4"/>
                <w:szCs w:val="14"/>
                <w:color w:val="auto"/>
              </w:rPr>
              <w:t>23,281,563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145,414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165,032</w:t>
            </w: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4"/>
                <w:szCs w:val="14"/>
                <w:color w:val="auto"/>
              </w:rPr>
              <w:t>23,374,263</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Series F</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49,518,175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49,518,175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304,569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310,937</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color w:val="auto"/>
              </w:rPr>
              <w:t>49,518,175</w:t>
            </w:r>
          </w:p>
        </w:tc>
        <w:tc>
          <w:tcPr>
            <w:tcW w:w="0" w:type="dxa"/>
            <w:vAlign w:val="bottom"/>
          </w:tcPr>
          <w:p>
            <w:pPr>
              <w:spacing w:after="0"/>
              <w:rPr>
                <w:sz w:val="1"/>
                <w:szCs w:val="1"/>
                <w:color w:val="auto"/>
              </w:rPr>
            </w:pPr>
          </w:p>
        </w:tc>
      </w:tr>
      <w:tr>
        <w:trPr>
          <w:trHeight w:val="179"/>
        </w:trPr>
        <w:tc>
          <w:tcPr>
            <w:tcW w:w="15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5"/>
              <w:spacing w:after="0" w:line="159" w:lineRule="exact"/>
              <w:rPr>
                <w:sz w:val="20"/>
                <w:szCs w:val="20"/>
                <w:color w:val="auto"/>
              </w:rPr>
            </w:pPr>
            <w:r>
              <w:rPr>
                <w:rFonts w:ascii="Times New Roman" w:cs="Times New Roman" w:eastAsia="Times New Roman" w:hAnsi="Times New Roman"/>
                <w:sz w:val="14"/>
                <w:szCs w:val="14"/>
                <w:color w:val="auto"/>
              </w:rPr>
              <w:t>102,814,601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9"/>
              <w:spacing w:after="0" w:line="159" w:lineRule="exact"/>
              <w:rPr>
                <w:sz w:val="20"/>
                <w:szCs w:val="20"/>
                <w:color w:val="auto"/>
              </w:rPr>
            </w:pPr>
            <w:r>
              <w:rPr>
                <w:rFonts w:ascii="Times New Roman" w:cs="Times New Roman" w:eastAsia="Times New Roman" w:hAnsi="Times New Roman"/>
                <w:sz w:val="14"/>
                <w:szCs w:val="14"/>
                <w:color w:val="auto"/>
              </w:rPr>
              <w:t>102,814,601</w:t>
            </w:r>
          </w:p>
        </w:tc>
        <w:tc>
          <w:tcPr>
            <w:tcW w:w="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814,540</w:t>
            </w:r>
          </w:p>
        </w:tc>
        <w:tc>
          <w:tcPr>
            <w:tcW w:w="2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3"/>
              <w:spacing w:after="0" w:line="159" w:lineRule="exact"/>
              <w:rPr>
                <w:sz w:val="20"/>
                <w:szCs w:val="20"/>
                <w:color w:val="auto"/>
              </w:rPr>
            </w:pPr>
            <w:r>
              <w:rPr>
                <w:rFonts w:ascii="Times New Roman" w:cs="Times New Roman" w:eastAsia="Times New Roman" w:hAnsi="Times New Roman"/>
                <w:sz w:val="14"/>
                <w:szCs w:val="14"/>
                <w:color w:val="auto"/>
              </w:rPr>
              <w:t>989,587</w:t>
            </w:r>
          </w:p>
        </w:tc>
        <w:tc>
          <w:tcPr>
            <w:tcW w:w="1020" w:type="dxa"/>
            <w:vAlign w:val="bottom"/>
            <w:gridSpan w:val="2"/>
            <w:shd w:val="clear" w:color="auto" w:fill="CFF0FC"/>
          </w:tcPr>
          <w:p>
            <w:pPr>
              <w:jc w:val="right"/>
              <w:ind w:right="41"/>
              <w:spacing w:after="0" w:line="159" w:lineRule="exact"/>
              <w:rPr>
                <w:sz w:val="20"/>
                <w:szCs w:val="20"/>
                <w:color w:val="auto"/>
              </w:rPr>
            </w:pPr>
            <w:r>
              <w:rPr>
                <w:rFonts w:ascii="Times New Roman" w:cs="Times New Roman" w:eastAsia="Times New Roman" w:hAnsi="Times New Roman"/>
                <w:sz w:val="14"/>
                <w:szCs w:val="14"/>
                <w:color w:val="auto"/>
              </w:rPr>
              <w:t>116,299,592</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-19685</wp:posOffset>
            </wp:positionV>
            <wp:extent cx="6667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-6350</wp:posOffset>
            </wp:positionV>
            <wp:extent cx="6667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-19685</wp:posOffset>
            </wp:positionV>
            <wp:extent cx="6032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-6350</wp:posOffset>
            </wp:positionV>
            <wp:extent cx="6032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-19685</wp:posOffset>
            </wp:positionV>
            <wp:extent cx="6032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-6350</wp:posOffset>
            </wp:positionV>
            <wp:extent cx="6032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-19685</wp:posOffset>
            </wp:positionV>
            <wp:extent cx="4699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-6350</wp:posOffset>
            </wp:positionV>
            <wp:extent cx="4699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rights and preferences of all series of convertible preferred stock at March 31, 2026 are summarized below:</w:t>
      </w:r>
    </w:p>
    <w:p>
      <w:pPr>
        <w:spacing w:after="0" w:line="1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0" w:name="page261"/>
    <w:bookmarkEnd w:id="26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vote, together with the holders of common stock, on all matters submitted to stockholders for a vote. Each preferred stockholder is entitled to a number of votes equal to the number of shares of common stock into which their convertible preferred stock would be convertible at the time of such vote. In addition, the holders of all series of convertible preferred stock are entitled to vote on certain matters as a separate class.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720" w:right="739" w:firstLine="343"/>
        <w:spacing w:after="0" w:line="256"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receive cumulative dividends in preference to any dividend on common stock. Holders of Series A Preferred Stock and Series B Preferred Stock are entitled to preferential dividends at the rate per annum of $0.62 and $1.125176, respectively, per share. Holders of Series C Preferred Stock, Series D Preferred Stock, Series E Preferred Stock and Series F Preferred Stock are entitled to preferential dividends at the rate per annum of 8.0% of the respective original issue price on each share of convertible preferred stock, plus the amount of previously accrued dividends, compounded annually. Dividends are only payable when declared by the Company’s Board of Directors or upon redemption. As of March 31, 2026, the Company has not declared nor paid any dividends.</w:t>
      </w:r>
    </w:p>
    <w:p>
      <w:pPr>
        <w:spacing w:after="0" w:line="1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Cumulative dividends on the convertible preferred stock were as follows (in thousands):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35"/>
        </w:trPr>
        <w:tc>
          <w:tcPr>
            <w:tcW w:w="2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2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124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8,363</w:t>
            </w:r>
          </w:p>
        </w:tc>
        <w:tc>
          <w:tcPr>
            <w:tcW w:w="2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8,585</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40,836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42,147</w:t>
            </w:r>
          </w:p>
        </w:tc>
      </w:tr>
      <w:tr>
        <w:trPr>
          <w:trHeight w:val="168"/>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45,175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48,348</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47,956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52,910</w:t>
            </w:r>
          </w:p>
        </w:tc>
      </w:tr>
      <w:tr>
        <w:trPr>
          <w:trHeight w:val="168"/>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10,013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20,032</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F Preferred Stock</w:t>
            </w: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r>
      <w:tr>
        <w:trPr>
          <w:trHeight w:val="179"/>
        </w:trPr>
        <w:tc>
          <w:tcPr>
            <w:tcW w:w="246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152,343</w:t>
            </w:r>
          </w:p>
        </w:tc>
        <w:tc>
          <w:tcPr>
            <w:tcW w:w="2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177,709</w:t>
            </w: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-19685</wp:posOffset>
            </wp:positionV>
            <wp:extent cx="12001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0015" cy="698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-6350</wp:posOffset>
            </wp:positionV>
            <wp:extent cx="12001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0015" cy="6985"/>
                    </a:xfrm>
                    <a:prstGeom prst="rect">
                      <a:avLst/>
                    </a:prstGeom>
                    <a:noFill/>
                  </pic:spPr>
                </pic:pic>
              </a:graphicData>
            </a:graphic>
          </wp:anchor>
        </w:drawing>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3" w:lineRule="exact"/>
        <w:rPr>
          <w:sz w:val="20"/>
          <w:szCs w:val="20"/>
          <w:color w:val="auto"/>
        </w:rPr>
      </w:pPr>
    </w:p>
    <w:p>
      <w:pPr>
        <w:ind w:left="720" w:right="819" w:firstLine="343"/>
        <w:spacing w:after="0" w:line="257" w:lineRule="auto"/>
        <w:rPr>
          <w:sz w:val="20"/>
          <w:szCs w:val="20"/>
          <w:color w:val="auto"/>
        </w:rPr>
      </w:pPr>
      <w:r>
        <w:rPr>
          <w:rFonts w:ascii="Times New Roman" w:cs="Times New Roman" w:eastAsia="Times New Roman" w:hAnsi="Times New Roman"/>
          <w:sz w:val="14"/>
          <w:szCs w:val="14"/>
          <w:color w:val="auto"/>
        </w:rPr>
        <w:t>Each share of convertible preferred stock is convertible at any time, at the option of the stockholder into a number of shares of the Company’s common stock determined by dividing the original issue price of the respective series of preferred stock by the conversion price of the respective series of preferred stock in effect at the time of conversion (conversion ratio). The conversion price is subject to certain customary adjustments, including those resulting from the triggering of down-round features which occurred during the three months ended March 31, 2026 as a result of the issuance of the Series F Preferred Stock. The original issue price and conversion price for each class of convertible preferred stock at March 31, 2026 was as follows:</w:t>
      </w:r>
    </w:p>
    <w:p>
      <w:pPr>
        <w:spacing w:after="0" w:line="149"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Original Issue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Conversion</w:t>
            </w:r>
          </w:p>
        </w:tc>
      </w:tr>
      <w:tr>
        <w:trPr>
          <w:trHeight w:val="135"/>
        </w:trPr>
        <w:tc>
          <w:tcPr>
            <w:tcW w:w="2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Price</w:t>
            </w:r>
          </w:p>
        </w:tc>
      </w:tr>
      <w:tr>
        <w:trPr>
          <w:trHeight w:val="159"/>
        </w:trPr>
        <w:tc>
          <w:tcPr>
            <w:tcW w:w="2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1240" w:type="dxa"/>
            <w:vAlign w:val="bottom"/>
            <w:gridSpan w:val="2"/>
            <w:shd w:val="clear" w:color="auto" w:fill="CFF0FC"/>
          </w:tcPr>
          <w:p>
            <w:pPr>
              <w:ind w:left="10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7.75</w:t>
            </w:r>
          </w:p>
        </w:tc>
        <w:tc>
          <w:tcPr>
            <w:tcW w:w="2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6.7999</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2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14.0647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8.7972</w:t>
            </w:r>
          </w:p>
        </w:tc>
      </w:tr>
      <w:tr>
        <w:trPr>
          <w:trHeight w:val="168"/>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124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14.4894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8.9008</w:t>
            </w:r>
          </w:p>
        </w:tc>
      </w:tr>
      <w:tr>
        <w:trPr>
          <w:trHeight w:val="16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2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10.7631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7.9806</w:t>
            </w:r>
          </w:p>
        </w:tc>
      </w:tr>
      <w:tr>
        <w:trPr>
          <w:trHeight w:val="168"/>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124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6.2281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6.2034</w:t>
            </w:r>
          </w:p>
        </w:tc>
      </w:tr>
      <w:tr>
        <w:trPr>
          <w:trHeight w:val="18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Series F Preferred Stock</w:t>
            </w:r>
          </w:p>
        </w:tc>
        <w:tc>
          <w:tcPr>
            <w:tcW w:w="12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6.1644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6.1644</w:t>
            </w:r>
          </w:p>
        </w:tc>
      </w:tr>
    </w:tbl>
    <w:p>
      <w:pPr>
        <w:spacing w:after="0" w:line="160" w:lineRule="exact"/>
        <w:rPr>
          <w:sz w:val="20"/>
          <w:szCs w:val="20"/>
          <w:color w:val="auto"/>
        </w:rPr>
      </w:pPr>
    </w:p>
    <w:p>
      <w:pPr>
        <w:ind w:left="720" w:right="879" w:firstLine="343"/>
        <w:spacing w:after="0" w:line="255" w:lineRule="auto"/>
        <w:rPr>
          <w:sz w:val="20"/>
          <w:szCs w:val="20"/>
          <w:color w:val="auto"/>
        </w:rPr>
      </w:pPr>
      <w:r>
        <w:rPr>
          <w:rFonts w:ascii="Times New Roman" w:cs="Times New Roman" w:eastAsia="Times New Roman" w:hAnsi="Times New Roman"/>
          <w:sz w:val="14"/>
          <w:szCs w:val="14"/>
          <w:color w:val="auto"/>
        </w:rPr>
        <w:t>Pursuant to the Company’s certificate of incorporation in effect as of March 31, 2026, the shares of all series of convertible preferred stock would automatically convert into shares of the Company’s common stock at the conversion ratio then in effect in the event of (i) an initial public offering of the Company’s common stock at a price of at least $7.09 per share and resulting in at least $50.0 million in gross proceeds to the Company, or (ii) a vote or written consent of (a) the holders of a majority of the issued and outstanding shares of convertible preferred stock, voting on an as-converted basis and together as a single class (in the case of a conversion effected other than in connection with a Deemed Liquidation Event), or (b) the holders of 60% of the issued and outstanding shares of convertible preferred stock, voting on an as-converted basis and together as a single class (in the case of a conversion effected in connection with a Deemed Liquidation Event).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1" w:name="page262"/>
    <w:bookmarkEnd w:id="26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3"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The holders of all series of convertible preferred stock do not have the option to demand redemption except in the case of a liquidation or Deemed Liquidation Event (defined below), nor does the Company have the right to call the shares.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winding-up of the Company, or in a Deemed Liquidation Event, the holders of convertible preferred stock then outstanding are entitled to be paid out of the assets of the Company available for distribution to its stockholders before any payment shall be made to holders of common stock in an amount per share equal to the applicable original issue price, plus all accrued but unpaid dividends (the “Preference Amount”). The Preference Amounts are paid first to holders of Series F Preferred Stock, then Series E Preferred Stock, then Series D Preferred Stock, then Series C Preferred Stock, then Series B Preferred Stock, and then Series A Preferred Stock.</w:t>
      </w:r>
    </w:p>
    <w:p>
      <w:pPr>
        <w:spacing w:after="0" w:line="143"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After the payment of all Preference Amounts required to be paid to the holders of shares of all series of convertible preferred stock, the remaining assets of the Company available for distribution to its stockholders will be distributed among the holders of the shares of all series of convertible preferred stock and common stock, pro rata, based on the number of shares held by each such holder, treating for this purpose all such securities as if they had been converted to common stock pursuant to the terms of the Company’s certificate of incorporation immediately prior to such liquidation, dissolution or winding-up of the Company.</w:t>
      </w:r>
    </w:p>
    <w:p>
      <w:pPr>
        <w:spacing w:after="0" w:line="144" w:lineRule="exact"/>
        <w:rPr>
          <w:sz w:val="20"/>
          <w:szCs w:val="20"/>
          <w:color w:val="auto"/>
        </w:rPr>
      </w:pPr>
    </w:p>
    <w:p>
      <w:pPr>
        <w:ind w:left="720" w:right="799" w:firstLine="343"/>
        <w:spacing w:after="0" w:line="254" w:lineRule="auto"/>
        <w:rPr>
          <w:sz w:val="20"/>
          <w:szCs w:val="20"/>
          <w:color w:val="auto"/>
        </w:rPr>
      </w:pPr>
      <w:r>
        <w:rPr>
          <w:rFonts w:ascii="Times New Roman" w:cs="Times New Roman" w:eastAsia="Times New Roman" w:hAnsi="Times New Roman"/>
          <w:sz w:val="14"/>
          <w:szCs w:val="14"/>
          <w:color w:val="auto"/>
        </w:rPr>
        <w:t>Unless each of (i) the holders of a majority of the issued and outstanding shares of convertible preferred stock, voting on an as-converted basis and together as a single class, (ii) the holders of at least 66 2/3% of the issued and outstanding shares of Series C Preferred Stock, exclusively and as a separate class, (iii) the holders of a majority of the issued and outstanding shares of Series D Preferred Stock, voting on an as-converted basis and together as a single class, (iv) the holders of at least 60% of the issued and outstanding shares of Series E Preferred Stock, voting on an as-converted basis and together as a single class, and (v) the holders of at least 65% of the issued and outstanding shares of Series F Preferred Stock, voting on an as-converted basis and together as a single class, elect otherwise, the following events are considered a “Deemed Liquidation Event”: a merger, consolidation, statutory conversion, transfer, domestication, or continuance (other than one in which stockholders of the Company own a majority by voting power of the outstanding shares of the surviving or acquiring corporation) or a sale, lease, transfer, exclusive license or other disposition of all or substantially all of the assets or intellectual property of the Company.</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Protective Rights</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The holders of all series of convertible preferred stock are entitled to protective rights, which require the affirmative vote the majority of the issued and outstanding shares of convertible preferred stock, voting on an as-converted basis and together as a single class, for certain corporate actions, which include, but are not limited to the sale of the Company, its liquidation, and the authorization of additional shares of the Company’s capital.</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7. Stockholders’ Deficit</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91" w:lineRule="exact"/>
        <w:rPr>
          <w:sz w:val="20"/>
          <w:szCs w:val="20"/>
          <w:color w:val="auto"/>
        </w:rPr>
      </w:pPr>
    </w:p>
    <w:p>
      <w:pPr>
        <w:ind w:left="720" w:right="839" w:firstLine="343"/>
        <w:spacing w:after="0" w:line="259" w:lineRule="auto"/>
        <w:rPr>
          <w:sz w:val="20"/>
          <w:szCs w:val="20"/>
          <w:color w:val="auto"/>
        </w:rPr>
      </w:pPr>
      <w:r>
        <w:rPr>
          <w:rFonts w:ascii="Times New Roman" w:cs="Times New Roman" w:eastAsia="Times New Roman" w:hAnsi="Times New Roman"/>
          <w:sz w:val="14"/>
          <w:szCs w:val="14"/>
          <w:color w:val="auto"/>
        </w:rPr>
        <w:t xml:space="preserve">The Company issued common stock warrants as part of the Loan Agreement (refer to Note 9, </w:t>
      </w:r>
      <w:r>
        <w:rPr>
          <w:rFonts w:ascii="Times New Roman" w:cs="Times New Roman" w:eastAsia="Times New Roman" w:hAnsi="Times New Roman"/>
          <w:sz w:val="14"/>
          <w:szCs w:val="14"/>
          <w:i w:val="1"/>
          <w:iCs w:val="1"/>
          <w:color w:val="auto"/>
        </w:rPr>
        <w:t>Term Loan</w:t>
      </w:r>
      <w:r>
        <w:rPr>
          <w:rFonts w:ascii="Times New Roman" w:cs="Times New Roman" w:eastAsia="Times New Roman" w:hAnsi="Times New Roman"/>
          <w:sz w:val="14"/>
          <w:szCs w:val="14"/>
          <w:color w:val="auto"/>
        </w:rPr>
        <w:t>) which were determined to be a freestanding instrument and met the criteria for equity classification as they are indexed to the Company’s own common stock and settled in a fixed number of shares for a fixed exercise price, with no cash settlement feature. As of December 31, 2025 and March 31, 2026, warrants to purchase 37,169 shares of common stock with an exercise price of $3.13 per share were outstanding. The common stock warrants expire in September 2031.</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720" w:right="759" w:firstLine="343"/>
        <w:spacing w:after="0" w:line="258"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common stock are subject to and qualified by the rights, powers, and preferences of the holders of the Company’s convertible preferred stock. Each share of common stock entitles the holder to one vote on all matters submitted to a vote of the Company’s stockholders. Common stockholders are entitled to receive dividends, as may be declared by the Company’s Board of Directors, if any, subject to the preferential dividend rights of holders of all series of convertible preferred stock. As of March 31, 2026, the Company has not declared nor paid any dividends.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2" w:name="page263"/>
    <w:bookmarkEnd w:id="26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Company has reserved shares of common stock for the conversion or exercise of the following securities:</w:t>
      </w:r>
    </w:p>
    <w:p>
      <w:pPr>
        <w:spacing w:after="0" w:line="181"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159"/>
        </w:trPr>
        <w:tc>
          <w:tcPr>
            <w:tcW w:w="35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1,634,435</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6,261,931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7,447,249</w:t>
            </w:r>
          </w:p>
        </w:tc>
        <w:tc>
          <w:tcPr>
            <w:tcW w:w="0" w:type="dxa"/>
            <w:vAlign w:val="bottom"/>
          </w:tcPr>
          <w:p>
            <w:pPr>
              <w:spacing w:after="0"/>
              <w:rPr>
                <w:sz w:val="1"/>
                <w:szCs w:val="1"/>
                <w:color w:val="auto"/>
              </w:rPr>
            </w:pPr>
          </w:p>
        </w:tc>
      </w:tr>
      <w:tr>
        <w:trPr>
          <w:trHeight w:val="16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10,064,421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12,021,393</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19,497,429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22,304,077</w:t>
            </w:r>
          </w:p>
        </w:tc>
        <w:tc>
          <w:tcPr>
            <w:tcW w:w="0" w:type="dxa"/>
            <w:vAlign w:val="bottom"/>
          </w:tcPr>
          <w:p>
            <w:pPr>
              <w:spacing w:after="0"/>
              <w:rPr>
                <w:sz w:val="1"/>
                <w:szCs w:val="1"/>
                <w:color w:val="auto"/>
              </w:rPr>
            </w:pPr>
          </w:p>
        </w:tc>
      </w:tr>
      <w:tr>
        <w:trPr>
          <w:trHeight w:val="16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23,281,563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23,374,263</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Series F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49,518,175</w:t>
            </w:r>
          </w:p>
        </w:tc>
        <w:tc>
          <w:tcPr>
            <w:tcW w:w="0" w:type="dxa"/>
            <w:vAlign w:val="bottom"/>
          </w:tcPr>
          <w:p>
            <w:pPr>
              <w:spacing w:after="0"/>
              <w:rPr>
                <w:sz w:val="1"/>
                <w:szCs w:val="1"/>
                <w:color w:val="auto"/>
              </w:rPr>
            </w:pPr>
          </w:p>
        </w:tc>
      </w:tr>
      <w:tr>
        <w:trPr>
          <w:trHeight w:val="16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37,169</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14,001,272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22,790,509</w:t>
            </w:r>
          </w:p>
        </w:tc>
        <w:tc>
          <w:tcPr>
            <w:tcW w:w="0" w:type="dxa"/>
            <w:vAlign w:val="bottom"/>
          </w:tcPr>
          <w:p>
            <w:pPr>
              <w:spacing w:after="0"/>
              <w:rPr>
                <w:sz w:val="1"/>
                <w:szCs w:val="1"/>
                <w:color w:val="auto"/>
              </w:rPr>
            </w:pPr>
          </w:p>
        </w:tc>
      </w:tr>
      <w:tr>
        <w:trPr>
          <w:trHeight w:val="153"/>
        </w:trPr>
        <w:tc>
          <w:tcPr>
            <w:tcW w:w="350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Unissued stock-based awards under the 2016 Employee,</w:t>
            </w: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Director and Consultant Equity Incentive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1,688,968</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Unissued stock-based awards under the 2026 Stock Option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4,723,110</w:t>
            </w:r>
          </w:p>
        </w:tc>
        <w:tc>
          <w:tcPr>
            <w:tcW w:w="0" w:type="dxa"/>
            <w:vAlign w:val="bottom"/>
          </w:tcPr>
          <w:p>
            <w:pPr>
              <w:spacing w:after="0"/>
              <w:rPr>
                <w:sz w:val="1"/>
                <w:szCs w:val="1"/>
                <w:color w:val="auto"/>
              </w:rPr>
            </w:pPr>
          </w:p>
        </w:tc>
      </w:tr>
      <w:tr>
        <w:trPr>
          <w:trHeight w:val="177"/>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Grant Plan</w:t>
            </w:r>
          </w:p>
        </w:tc>
        <w:tc>
          <w:tcPr>
            <w:tcW w:w="8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500" w:type="dxa"/>
            <w:vAlign w:val="bottom"/>
            <w:tcBorders>
              <w:bottom w:val="single" w:sz="8" w:color="CFF0FC"/>
            </w:tcBorders>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76,375,967</w:t>
            </w: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143,850,380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-19685</wp:posOffset>
            </wp:positionV>
            <wp:extent cx="4699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-6350</wp:posOffset>
            </wp:positionV>
            <wp:extent cx="4699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1199" w:firstLine="343"/>
        <w:spacing w:after="0" w:line="283" w:lineRule="auto"/>
        <w:rPr>
          <w:sz w:val="20"/>
          <w:szCs w:val="20"/>
          <w:color w:val="auto"/>
        </w:rPr>
      </w:pPr>
      <w:r>
        <w:rPr>
          <w:rFonts w:ascii="Times New Roman" w:cs="Times New Roman" w:eastAsia="Times New Roman" w:hAnsi="Times New Roman"/>
          <w:sz w:val="14"/>
          <w:szCs w:val="14"/>
          <w:color w:val="auto"/>
        </w:rPr>
        <w:t>The SAFE was excluded from the table above as of March 31, 2026 as the number of shares that would be issuable upon conversion was indeterminable.</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8. Stock-Based Compensation</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2016 Employee, Director and Consultant Equity Incentive Plan</w:t>
      </w:r>
    </w:p>
    <w:p>
      <w:pPr>
        <w:spacing w:after="0" w:line="93"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The Company’s 2016 Employee, Director and Consultant Equity Incentive Plan, as amended (the “2016 Plan”), provides for the Company to sell or award restricted common stock or to grant incentive and nonqualified stock options for the purchase of common stock (or other stock-based awards) to its founders, employees, officers, directors and consultants.</w:t>
      </w:r>
    </w:p>
    <w:p>
      <w:pPr>
        <w:spacing w:after="0" w:line="136" w:lineRule="exact"/>
        <w:rPr>
          <w:sz w:val="20"/>
          <w:szCs w:val="20"/>
          <w:color w:val="auto"/>
        </w:rPr>
      </w:pPr>
    </w:p>
    <w:p>
      <w:pPr>
        <w:ind w:left="720" w:right="839" w:firstLine="343"/>
        <w:spacing w:after="0" w:line="261" w:lineRule="auto"/>
        <w:rPr>
          <w:sz w:val="20"/>
          <w:szCs w:val="20"/>
          <w:color w:val="auto"/>
        </w:rPr>
      </w:pPr>
      <w:r>
        <w:rPr>
          <w:rFonts w:ascii="Times New Roman" w:cs="Times New Roman" w:eastAsia="Times New Roman" w:hAnsi="Times New Roman"/>
          <w:sz w:val="14"/>
          <w:szCs w:val="14"/>
          <w:color w:val="auto"/>
        </w:rPr>
        <w:t>As of December 31, 2025, 16,660,477 shares of common stock were authorized and reserved for issuance under the 2016 Plan. The remaining shares reserved for issuance under the 2016 Plan ceased to be available for issuance at the time the January 2026 Plan was adopted. There will be no further awards granted under the 2016 Plan, but all outstanding awards under the 2016 Plan will continue to be governed by the 2016 Plan.</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2026 Stock Option and Grant Plan</w:t>
      </w:r>
    </w:p>
    <w:p>
      <w:pPr>
        <w:spacing w:after="0" w:line="93" w:lineRule="exact"/>
        <w:rPr>
          <w:sz w:val="20"/>
          <w:szCs w:val="20"/>
          <w:color w:val="auto"/>
        </w:rPr>
      </w:pPr>
    </w:p>
    <w:p>
      <w:pPr>
        <w:ind w:left="720" w:right="779" w:firstLine="343"/>
        <w:spacing w:after="0" w:line="261" w:lineRule="auto"/>
        <w:rPr>
          <w:sz w:val="20"/>
          <w:szCs w:val="20"/>
          <w:color w:val="auto"/>
        </w:rPr>
      </w:pPr>
      <w:r>
        <w:rPr>
          <w:rFonts w:ascii="Times New Roman" w:cs="Times New Roman" w:eastAsia="Times New Roman" w:hAnsi="Times New Roman"/>
          <w:sz w:val="14"/>
          <w:szCs w:val="14"/>
          <w:color w:val="auto"/>
        </w:rPr>
        <w:t>On January 6, 2026, the Company’s Board of Directors adopted and its stockholders approved the 2026 Stock Option and Grant Plan (the “January 2026 Plan”). The January 2026 Plan provides for the grant of incentive stock options, nonqualified stock options, restricted stock awards and other stock-based awards to the Company’s officers, employees, directors, consultants, and other key persons.</w:t>
      </w:r>
    </w:p>
    <w:p>
      <w:pPr>
        <w:spacing w:after="0" w:line="141"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The number of shares of common stock authorized and reserved for issuance under the January 2026 Plan was initially 13,655,004 shares. As of March 31, 2026, there were 4,723,110 shares available for future issuance under the January 2026 Plan. The shares of common stock underlying any awards that are forfeited, canceled, reacquired by the Company prior to vesting, satisfied without the issuance of common stock or otherwise terminated and shares that are withheld upon exercise of an option or settlement of an award to satisfy the exercise price or tax withholding under the 2016 Plan and January 2026 Plan will be added back to the shares of common stock available for issuance under the January 2026 Plan.</w:t>
      </w:r>
    </w:p>
    <w:p>
      <w:pPr>
        <w:spacing w:after="0" w:line="143" w:lineRule="exact"/>
        <w:rPr>
          <w:sz w:val="20"/>
          <w:szCs w:val="20"/>
          <w:color w:val="auto"/>
        </w:rPr>
      </w:pPr>
    </w:p>
    <w:p>
      <w:pPr>
        <w:ind w:left="720" w:right="779" w:firstLine="343"/>
        <w:spacing w:after="0" w:line="267" w:lineRule="auto"/>
        <w:rPr>
          <w:sz w:val="20"/>
          <w:szCs w:val="20"/>
          <w:color w:val="auto"/>
        </w:rPr>
      </w:pPr>
      <w:r>
        <w:rPr>
          <w:rFonts w:ascii="Times New Roman" w:cs="Times New Roman" w:eastAsia="Times New Roman" w:hAnsi="Times New Roman"/>
          <w:sz w:val="14"/>
          <w:szCs w:val="14"/>
          <w:color w:val="auto"/>
        </w:rPr>
        <w:t>Upon stock option exercise, the Company delivers newly issued shares to the participant. Stock option vesting typically occurs over four years for employees and directors and is at the discretion of the Company’s Board of Directors. Stock options typically have a maximum term of ten years.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3" w:name="page264"/>
    <w:bookmarkEnd w:id="26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 Option Valuation</w:t>
      </w:r>
    </w:p>
    <w:p>
      <w:pPr>
        <w:spacing w:after="0" w:line="93"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The fair value of each stock option granted was estimated on the date of grant using the Black-Scholes option-pricing model and the assumptions summarized in the following table:</w:t>
      </w:r>
    </w:p>
    <w:p>
      <w:pPr>
        <w:spacing w:after="0" w:line="141"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2960" w:type="dxa"/>
            <w:vAlign w:val="bottom"/>
          </w:tcPr>
          <w:p>
            <w:pPr>
              <w:spacing w:after="0"/>
              <w:rPr>
                <w:sz w:val="11"/>
                <w:szCs w:val="11"/>
                <w:color w:val="auto"/>
              </w:rPr>
            </w:pPr>
          </w:p>
        </w:tc>
        <w:tc>
          <w:tcPr>
            <w:tcW w:w="23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2960" w:type="dxa"/>
            <w:vAlign w:val="bottom"/>
          </w:tcPr>
          <w:p>
            <w:pPr>
              <w:spacing w:after="0"/>
              <w:rPr>
                <w:sz w:val="9"/>
                <w:szCs w:val="9"/>
                <w:color w:val="auto"/>
              </w:rPr>
            </w:pPr>
          </w:p>
        </w:tc>
        <w:tc>
          <w:tcPr>
            <w:tcW w:w="112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9"/>
                <w:szCs w:val="9"/>
                <w:color w:val="auto"/>
              </w:rPr>
            </w:pPr>
          </w:p>
        </w:tc>
        <w:tc>
          <w:tcPr>
            <w:tcW w:w="1140" w:type="dxa"/>
            <w:vAlign w:val="bottom"/>
            <w:tcBorders>
              <w:bottom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29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93.00%</w:t>
            </w:r>
          </w:p>
        </w:tc>
        <w:tc>
          <w:tcPr>
            <w:tcW w:w="6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89.80%</w:t>
            </w:r>
          </w:p>
        </w:tc>
        <w:tc>
          <w:tcPr>
            <w:tcW w:w="6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- 90.15%</w:t>
            </w:r>
          </w:p>
        </w:tc>
      </w:tr>
      <w:tr>
        <w:trPr>
          <w:trHeight w:val="16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6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6.25</w:t>
            </w:r>
          </w:p>
        </w:tc>
        <w:tc>
          <w:tcPr>
            <w:tcW w:w="12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6.25</w:t>
            </w:r>
          </w:p>
        </w:tc>
      </w:tr>
      <w:tr>
        <w:trPr>
          <w:trHeight w:val="16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- 4.14%</w:t>
            </w:r>
          </w:p>
        </w:tc>
      </w:tr>
      <w:tr>
        <w:trPr>
          <w:trHeight w:val="168"/>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$1.57</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$2.66</w:t>
            </w:r>
          </w:p>
        </w:tc>
      </w:tr>
    </w:tbl>
    <w:p>
      <w:pPr>
        <w:spacing w:after="0" w:line="1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following table presents a summary of all stock option activity under the 2016 Plan and January 2026 Plan:</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60" w:type="dxa"/>
            <w:vAlign w:val="bottom"/>
          </w:tcPr>
          <w:p>
            <w:pPr>
              <w:spacing w:after="0"/>
              <w:rPr>
                <w:sz w:val="11"/>
                <w:szCs w:val="11"/>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64"/>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4"/>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60" w:type="dxa"/>
            <w:vAlign w:val="bottom"/>
          </w:tcPr>
          <w:p>
            <w:pPr>
              <w:spacing w:after="0"/>
              <w:rPr>
                <w:sz w:val="10"/>
                <w:szCs w:val="10"/>
                <w:color w:val="auto"/>
              </w:rPr>
            </w:pPr>
          </w:p>
        </w:tc>
        <w:tc>
          <w:tcPr>
            <w:tcW w:w="860" w:type="dxa"/>
            <w:vAlign w:val="bottom"/>
          </w:tcPr>
          <w:p>
            <w:pPr>
              <w:jc w:val="center"/>
              <w:ind w:right="64"/>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34"/>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60" w:type="dxa"/>
            <w:vAlign w:val="bottom"/>
          </w:tcPr>
          <w:p>
            <w:pPr>
              <w:spacing w:after="0"/>
              <w:rPr>
                <w:sz w:val="10"/>
                <w:szCs w:val="10"/>
                <w:color w:val="auto"/>
              </w:rPr>
            </w:pPr>
          </w:p>
        </w:tc>
        <w:tc>
          <w:tcPr>
            <w:tcW w:w="860" w:type="dxa"/>
            <w:vAlign w:val="bottom"/>
          </w:tcPr>
          <w:p>
            <w:pPr>
              <w:jc w:val="center"/>
              <w:ind w:right="64"/>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80" w:type="dxa"/>
            <w:vAlign w:val="bottom"/>
          </w:tcPr>
          <w:p>
            <w:pPr>
              <w:spacing w:after="0"/>
              <w:rPr>
                <w:sz w:val="10"/>
                <w:szCs w:val="10"/>
                <w:color w:val="auto"/>
              </w:rPr>
            </w:pPr>
          </w:p>
        </w:tc>
        <w:tc>
          <w:tcPr>
            <w:tcW w:w="880" w:type="dxa"/>
            <w:vAlign w:val="bottom"/>
            <w:gridSpan w:val="2"/>
          </w:tcPr>
          <w:p>
            <w:pPr>
              <w:jc w:val="center"/>
              <w:ind w:right="53"/>
              <w:spacing w:after="0" w:line="116"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60" w:type="dxa"/>
            <w:vAlign w:val="bottom"/>
          </w:tcPr>
          <w:p>
            <w:pPr>
              <w:spacing w:after="0"/>
              <w:rPr>
                <w:sz w:val="11"/>
                <w:szCs w:val="11"/>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80" w:type="dxa"/>
            <w:vAlign w:val="bottom"/>
          </w:tcPr>
          <w:p>
            <w:pPr>
              <w:spacing w:after="0"/>
              <w:rPr>
                <w:sz w:val="11"/>
                <w:szCs w:val="11"/>
                <w:color w:val="auto"/>
              </w:rPr>
            </w:pPr>
          </w:p>
        </w:tc>
        <w:tc>
          <w:tcPr>
            <w:tcW w:w="880" w:type="dxa"/>
            <w:vAlign w:val="bottom"/>
            <w:gridSpan w:val="2"/>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900" w:type="dxa"/>
            <w:vAlign w:val="bottom"/>
            <w:shd w:val="clear" w:color="auto" w:fill="CFF0FC"/>
          </w:tcPr>
          <w:p>
            <w:pPr>
              <w:jc w:val="right"/>
              <w:ind w:right="32"/>
              <w:spacing w:after="0" w:line="159" w:lineRule="exact"/>
              <w:rPr>
                <w:sz w:val="20"/>
                <w:szCs w:val="20"/>
                <w:color w:val="auto"/>
              </w:rPr>
            </w:pPr>
            <w:r>
              <w:rPr>
                <w:rFonts w:ascii="Times New Roman" w:cs="Times New Roman" w:eastAsia="Times New Roman" w:hAnsi="Times New Roman"/>
                <w:sz w:val="14"/>
                <w:szCs w:val="14"/>
                <w:color w:val="auto"/>
              </w:rPr>
              <w:t>14,001,272</w:t>
            </w:r>
          </w:p>
        </w:tc>
        <w:tc>
          <w:tcPr>
            <w:tcW w:w="180" w:type="dxa"/>
            <w:vAlign w:val="bottom"/>
            <w:gridSpan w:val="2"/>
            <w:shd w:val="clear" w:color="auto" w:fill="CFF0FC"/>
          </w:tcPr>
          <w:p>
            <w:pPr>
              <w:ind w:lef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34"/>
              <w:spacing w:after="0" w:line="159" w:lineRule="exact"/>
              <w:rPr>
                <w:sz w:val="20"/>
                <w:szCs w:val="20"/>
                <w:color w:val="auto"/>
              </w:rPr>
            </w:pPr>
            <w:r>
              <w:rPr>
                <w:rFonts w:ascii="Times New Roman" w:cs="Times New Roman" w:eastAsia="Times New Roman" w:hAnsi="Times New Roman"/>
                <w:sz w:val="14"/>
                <w:szCs w:val="14"/>
                <w:color w:val="auto"/>
              </w:rPr>
              <w:t>1.71</w:t>
            </w:r>
          </w:p>
        </w:tc>
        <w:tc>
          <w:tcPr>
            <w:tcW w:w="92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7.72</w:t>
            </w:r>
          </w:p>
        </w:tc>
        <w:tc>
          <w:tcPr>
            <w:tcW w:w="1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9,277,000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2.04</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(142,657)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Canceled or 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Outstanding at March 31, 2026</w:t>
            </w:r>
          </w:p>
        </w:tc>
        <w:tc>
          <w:tcPr>
            <w:tcW w:w="900" w:type="dxa"/>
            <w:vAlign w:val="bottom"/>
            <w:tcBorders>
              <w:bottom w:val="single" w:sz="8" w:color="auto"/>
            </w:tcBorders>
            <w:shd w:val="clear" w:color="auto" w:fill="CFF0FC"/>
          </w:tcPr>
          <w:p>
            <w:pPr>
              <w:jc w:val="right"/>
              <w:ind w:right="32"/>
              <w:spacing w:after="0" w:line="159" w:lineRule="exact"/>
              <w:rPr>
                <w:sz w:val="20"/>
                <w:szCs w:val="20"/>
                <w:color w:val="auto"/>
              </w:rPr>
            </w:pPr>
            <w:r>
              <w:rPr>
                <w:rFonts w:ascii="Times New Roman" w:cs="Times New Roman" w:eastAsia="Times New Roman" w:hAnsi="Times New Roman"/>
                <w:sz w:val="14"/>
                <w:szCs w:val="14"/>
                <w:color w:val="auto"/>
              </w:rPr>
              <w:t>22,790,509</w:t>
            </w:r>
          </w:p>
        </w:tc>
        <w:tc>
          <w:tcPr>
            <w:tcW w:w="180" w:type="dxa"/>
            <w:vAlign w:val="bottom"/>
            <w:tcBorders>
              <w:bottom w:val="single" w:sz="8" w:color="CFF0FC"/>
            </w:tcBorders>
            <w:gridSpan w:val="2"/>
            <w:shd w:val="clear" w:color="auto" w:fill="CFF0FC"/>
          </w:tcPr>
          <w:p>
            <w:pPr>
              <w:ind w:lef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34"/>
              <w:spacing w:after="0" w:line="159" w:lineRule="exact"/>
              <w:rPr>
                <w:sz w:val="20"/>
                <w:szCs w:val="20"/>
                <w:color w:val="auto"/>
              </w:rPr>
            </w:pPr>
            <w:r>
              <w:rPr>
                <w:rFonts w:ascii="Times New Roman" w:cs="Times New Roman" w:eastAsia="Times New Roman" w:hAnsi="Times New Roman"/>
                <w:sz w:val="14"/>
                <w:szCs w:val="14"/>
                <w:color w:val="auto"/>
              </w:rPr>
              <w:t>1.86</w:t>
            </w:r>
          </w:p>
        </w:tc>
        <w:tc>
          <w:tcPr>
            <w:tcW w:w="920" w:type="dxa"/>
            <w:vAlign w:val="bottom"/>
            <w:tcBorders>
              <w:bottom w:val="single" w:sz="8" w:color="CFF0FC"/>
            </w:tcBorders>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8.44</w:t>
            </w:r>
          </w:p>
        </w:tc>
        <w:tc>
          <w:tcPr>
            <w:tcW w:w="180" w:type="dxa"/>
            <w:vAlign w:val="bottom"/>
            <w:tcBorders>
              <w:bottom w:val="single" w:sz="8" w:color="CFF0FC"/>
            </w:tcBorders>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Vested and expected to vest at March 31, 2026</w:t>
            </w:r>
          </w:p>
        </w:tc>
        <w:tc>
          <w:tcPr>
            <w:tcW w:w="900" w:type="dxa"/>
            <w:vAlign w:val="bottom"/>
            <w:tcBorders>
              <w:bottom w:val="single" w:sz="8" w:color="auto"/>
            </w:tcBorders>
          </w:tcPr>
          <w:p>
            <w:pPr>
              <w:jc w:val="right"/>
              <w:ind w:right="32"/>
              <w:spacing w:after="0" w:line="159" w:lineRule="exact"/>
              <w:rPr>
                <w:sz w:val="20"/>
                <w:szCs w:val="20"/>
                <w:color w:val="auto"/>
              </w:rPr>
            </w:pPr>
            <w:r>
              <w:rPr>
                <w:rFonts w:ascii="Times New Roman" w:cs="Times New Roman" w:eastAsia="Times New Roman" w:hAnsi="Times New Roman"/>
                <w:sz w:val="14"/>
                <w:szCs w:val="14"/>
                <w:color w:val="auto"/>
              </w:rPr>
              <w:t>22,790,509</w:t>
            </w:r>
          </w:p>
        </w:tc>
        <w:tc>
          <w:tcPr>
            <w:tcW w:w="18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4"/>
              <w:spacing w:after="0" w:line="159" w:lineRule="exact"/>
              <w:rPr>
                <w:sz w:val="20"/>
                <w:szCs w:val="20"/>
                <w:color w:val="auto"/>
              </w:rPr>
            </w:pPr>
            <w:r>
              <w:rPr>
                <w:rFonts w:ascii="Times New Roman" w:cs="Times New Roman" w:eastAsia="Times New Roman" w:hAnsi="Times New Roman"/>
                <w:sz w:val="14"/>
                <w:szCs w:val="14"/>
                <w:color w:val="auto"/>
              </w:rPr>
              <w:t>1.86</w:t>
            </w:r>
          </w:p>
        </w:tc>
        <w:tc>
          <w:tcPr>
            <w:tcW w:w="920" w:type="dxa"/>
            <w:vAlign w:val="bottom"/>
            <w:gridSpan w:val="2"/>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8.44</w:t>
            </w:r>
          </w:p>
        </w:tc>
        <w:tc>
          <w:tcPr>
            <w:tcW w:w="1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3"/>
              <w:spacing w:after="0" w:line="159" w:lineRule="exact"/>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tcBorders>
              <w:bottom w:val="single" w:sz="8" w:color="CFF0FC"/>
            </w:tcBorders>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Vested and exercisable at March 31, 2026</w:t>
            </w:r>
          </w:p>
        </w:tc>
        <w:tc>
          <w:tcPr>
            <w:tcW w:w="900" w:type="dxa"/>
            <w:vAlign w:val="bottom"/>
            <w:tcBorders>
              <w:bottom w:val="single" w:sz="8" w:color="auto"/>
            </w:tcBorders>
            <w:shd w:val="clear" w:color="auto" w:fill="CFF0FC"/>
          </w:tcPr>
          <w:p>
            <w:pPr>
              <w:jc w:val="right"/>
              <w:ind w:right="32"/>
              <w:spacing w:after="0" w:line="140" w:lineRule="exact"/>
              <w:rPr>
                <w:sz w:val="20"/>
                <w:szCs w:val="20"/>
                <w:color w:val="auto"/>
              </w:rPr>
            </w:pPr>
            <w:r>
              <w:rPr>
                <w:rFonts w:ascii="Times New Roman" w:cs="Times New Roman" w:eastAsia="Times New Roman" w:hAnsi="Times New Roman"/>
                <w:sz w:val="14"/>
                <w:szCs w:val="14"/>
                <w:color w:val="auto"/>
              </w:rPr>
              <w:t>8,549,937</w:t>
            </w:r>
          </w:p>
        </w:tc>
        <w:tc>
          <w:tcPr>
            <w:tcW w:w="180" w:type="dxa"/>
            <w:vAlign w:val="bottom"/>
            <w:tcBorders>
              <w:bottom w:val="single" w:sz="8" w:color="CFF0FC"/>
            </w:tcBorders>
            <w:gridSpan w:val="2"/>
            <w:shd w:val="clear" w:color="auto" w:fill="CFF0FC"/>
          </w:tcPr>
          <w:p>
            <w:pPr>
              <w:ind w:lef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34"/>
              <w:spacing w:after="0" w:line="140" w:lineRule="exact"/>
              <w:rPr>
                <w:sz w:val="20"/>
                <w:szCs w:val="20"/>
                <w:color w:val="auto"/>
              </w:rPr>
            </w:pPr>
            <w:r>
              <w:rPr>
                <w:rFonts w:ascii="Times New Roman" w:cs="Times New Roman" w:eastAsia="Times New Roman" w:hAnsi="Times New Roman"/>
                <w:sz w:val="14"/>
                <w:szCs w:val="14"/>
                <w:color w:val="auto"/>
              </w:rPr>
              <w:t>1.88</w:t>
            </w:r>
          </w:p>
        </w:tc>
        <w:tc>
          <w:tcPr>
            <w:tcW w:w="920" w:type="dxa"/>
            <w:vAlign w:val="bottom"/>
            <w:tcBorders>
              <w:bottom w:val="single" w:sz="8" w:color="CFF0FC"/>
            </w:tcBorders>
            <w:gridSpan w:val="2"/>
            <w:shd w:val="clear" w:color="auto" w:fill="CFF0FC"/>
          </w:tcPr>
          <w:p>
            <w:pPr>
              <w:jc w:val="right"/>
              <w:ind w:right="44"/>
              <w:spacing w:after="0" w:line="140" w:lineRule="exact"/>
              <w:rPr>
                <w:sz w:val="20"/>
                <w:szCs w:val="20"/>
                <w:color w:val="auto"/>
              </w:rPr>
            </w:pPr>
            <w:r>
              <w:rPr>
                <w:rFonts w:ascii="Times New Roman" w:cs="Times New Roman" w:eastAsia="Times New Roman" w:hAnsi="Times New Roman"/>
                <w:sz w:val="14"/>
                <w:szCs w:val="14"/>
                <w:color w:val="auto"/>
              </w:rPr>
              <w:t>7.18</w:t>
            </w:r>
          </w:p>
        </w:tc>
        <w:tc>
          <w:tcPr>
            <w:tcW w:w="180" w:type="dxa"/>
            <w:vAlign w:val="bottom"/>
            <w:tcBorders>
              <w:bottom w:val="single" w:sz="8" w:color="CFF0FC"/>
            </w:tcBorders>
            <w:gridSpan w:val="2"/>
            <w:shd w:val="clear" w:color="auto" w:fill="CFF0FC"/>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ind w:right="33"/>
              <w:spacing w:after="0" w:line="140" w:lineRule="exact"/>
              <w:rPr>
                <w:sz w:val="20"/>
                <w:szCs w:val="20"/>
                <w:color w:val="auto"/>
              </w:rPr>
            </w:pPr>
            <w:r>
              <w:rPr>
                <w:rFonts w:ascii="Times New Roman" w:cs="Times New Roman" w:eastAsia="Times New Roman" w:hAnsi="Times New Roman"/>
                <w:sz w:val="14"/>
                <w:szCs w:val="14"/>
                <w:color w:val="auto"/>
              </w:rPr>
              <w:t>7,023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-259715</wp:posOffset>
            </wp:positionV>
            <wp:extent cx="5334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-19685</wp:posOffset>
            </wp:positionV>
            <wp:extent cx="5334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-6350</wp:posOffset>
            </wp:positionV>
            <wp:extent cx="5334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155" w:lineRule="exact"/>
        <w:rPr>
          <w:sz w:val="20"/>
          <w:szCs w:val="20"/>
          <w:color w:val="auto"/>
        </w:rPr>
      </w:pPr>
    </w:p>
    <w:p>
      <w:pPr>
        <w:jc w:val="both"/>
        <w:ind w:left="720" w:right="839" w:firstLine="343"/>
        <w:spacing w:after="0" w:line="267" w:lineRule="auto"/>
        <w:rPr>
          <w:sz w:val="20"/>
          <w:szCs w:val="20"/>
          <w:color w:val="auto"/>
        </w:rPr>
      </w:pPr>
      <w:r>
        <w:rPr>
          <w:rFonts w:ascii="Times New Roman" w:cs="Times New Roman" w:eastAsia="Times New Roman" w:hAnsi="Times New Roman"/>
          <w:sz w:val="14"/>
          <w:szCs w:val="14"/>
          <w:color w:val="auto"/>
        </w:rPr>
        <w:t>The weighted-average grant date fair values of stock options granted during the three months ended March 31, 2025 and 2026 were $1.23 and $1.57 per share, respectively. The intrinsic value of stock options exercised was $0.2 million during the three months ended March 31, 2026. No stock options were exercised during the three months ended March 31, 2025.</w:t>
      </w:r>
    </w:p>
    <w:p>
      <w:pPr>
        <w:spacing w:after="0" w:line="136" w:lineRule="exact"/>
        <w:rPr>
          <w:sz w:val="20"/>
          <w:szCs w:val="20"/>
          <w:color w:val="auto"/>
        </w:rPr>
      </w:pPr>
    </w:p>
    <w:p>
      <w:pPr>
        <w:ind w:left="720" w:right="899" w:firstLine="343"/>
        <w:spacing w:after="0" w:line="283" w:lineRule="auto"/>
        <w:rPr>
          <w:sz w:val="20"/>
          <w:szCs w:val="20"/>
          <w:color w:val="auto"/>
        </w:rPr>
      </w:pPr>
      <w:r>
        <w:rPr>
          <w:rFonts w:ascii="Times New Roman" w:cs="Times New Roman" w:eastAsia="Times New Roman" w:hAnsi="Times New Roman"/>
          <w:sz w:val="14"/>
          <w:szCs w:val="14"/>
          <w:color w:val="auto"/>
        </w:rPr>
        <w:t>Total unrecognized compensation expense related to unvested stock options was approximately $18.4 million as of March 31, 2026, which the Company expects to recognize over a weighted-average period of approximately 3.3 years.</w:t>
      </w:r>
    </w:p>
    <w:p>
      <w:pPr>
        <w:spacing w:after="0" w:line="125" w:lineRule="exact"/>
        <w:rPr>
          <w:sz w:val="20"/>
          <w:szCs w:val="20"/>
          <w:color w:val="auto"/>
        </w:rPr>
      </w:pPr>
    </w:p>
    <w:p>
      <w:pPr>
        <w:jc w:val="both"/>
        <w:ind w:left="720" w:right="959" w:firstLine="343"/>
        <w:spacing w:after="0" w:line="323" w:lineRule="auto"/>
        <w:rPr>
          <w:sz w:val="20"/>
          <w:szCs w:val="20"/>
          <w:color w:val="auto"/>
        </w:rPr>
      </w:pPr>
      <w:r>
        <w:rPr>
          <w:rFonts w:ascii="Times New Roman" w:cs="Times New Roman" w:eastAsia="Times New Roman" w:hAnsi="Times New Roman"/>
          <w:sz w:val="13"/>
          <w:szCs w:val="13"/>
          <w:color w:val="auto"/>
        </w:rPr>
        <w:t>Total unrecognized compensation expense related to unvested stock options with a market condition was approximately $0.2 million as of March 31, 2026, which the Company expects to recognize over a weighted-average period of approximately 1.0 year.</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ind w:left="720" w:right="10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classification of stock-based compensation expense included in the Company’s condensed consolidated statements of operations and comprehensive loss (in thousands):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r>
      <w:tr>
        <w:trPr>
          <w:trHeight w:val="106"/>
        </w:trPr>
        <w:tc>
          <w:tcPr>
            <w:tcW w:w="16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Borders>
              <w:bottom w:val="single" w:sz="8" w:color="auto"/>
            </w:tcBorders>
          </w:tcPr>
          <w:p>
            <w:pPr>
              <w:jc w:val="right"/>
              <w:ind w:right="6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auto"/>
            </w:tcBorders>
          </w:tcPr>
          <w:p>
            <w:pPr>
              <w:jc w:val="right"/>
              <w:ind w:right="2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r>
      <w:tr>
        <w:trPr>
          <w:trHeight w:val="159"/>
        </w:trPr>
        <w:tc>
          <w:tcPr>
            <w:tcW w:w="1660" w:type="dxa"/>
            <w:vAlign w:val="bottom"/>
          </w:tcPr>
          <w:p>
            <w:pPr>
              <w:spacing w:after="0"/>
              <w:rPr>
                <w:sz w:val="13"/>
                <w:szCs w:val="13"/>
                <w:color w:val="auto"/>
              </w:rPr>
            </w:pPr>
          </w:p>
        </w:tc>
        <w:tc>
          <w:tcPr>
            <w:tcW w:w="20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Research and development</w:t>
            </w:r>
          </w:p>
        </w:tc>
        <w:tc>
          <w:tcPr>
            <w:tcW w:w="1660" w:type="dxa"/>
            <w:vAlign w:val="bottom"/>
            <w:gridSpan w:val="2"/>
            <w:shd w:val="clear" w:color="auto" w:fill="CFF0FC"/>
          </w:tcPr>
          <w:p>
            <w:pPr>
              <w:jc w:val="right"/>
              <w:ind w:right="6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212</w:t>
            </w:r>
          </w:p>
        </w:tc>
        <w:tc>
          <w:tcPr>
            <w:tcW w:w="820" w:type="dxa"/>
            <w:vAlign w:val="bottom"/>
            <w:gridSpan w:val="2"/>
            <w:shd w:val="clear" w:color="auto" w:fill="CFF0FC"/>
          </w:tcPr>
          <w:p>
            <w:pPr>
              <w:jc w:val="right"/>
              <w:ind w:right="6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469</w:t>
            </w:r>
          </w:p>
        </w:tc>
        <w:tc>
          <w:tcPr>
            <w:tcW w:w="1640" w:type="dxa"/>
            <w:vAlign w:val="bottom"/>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640" w:type="dxa"/>
            <w:vAlign w:val="bottom"/>
          </w:tcPr>
          <w:p>
            <w:pPr>
              <w:spacing w:after="0"/>
              <w:rPr>
                <w:sz w:val="14"/>
                <w:szCs w:val="14"/>
                <w:color w:val="auto"/>
              </w:rPr>
            </w:pPr>
          </w:p>
        </w:tc>
      </w:tr>
      <w:tr>
        <w:trPr>
          <w:trHeight w:val="199"/>
        </w:trPr>
        <w:tc>
          <w:tcPr>
            <w:tcW w:w="1660" w:type="dxa"/>
            <w:vAlign w:val="bottom"/>
          </w:tcPr>
          <w:p>
            <w:pPr>
              <w:spacing w:after="0"/>
              <w:rPr>
                <w:sz w:val="17"/>
                <w:szCs w:val="17"/>
                <w:color w:val="auto"/>
              </w:rPr>
            </w:pPr>
          </w:p>
        </w:tc>
        <w:tc>
          <w:tcPr>
            <w:tcW w:w="202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660" w:type="dxa"/>
            <w:vAlign w:val="bottom"/>
            <w:gridSpan w:val="2"/>
            <w:shd w:val="clear" w:color="auto" w:fill="CFF0FC"/>
          </w:tcPr>
          <w:p>
            <w:pPr>
              <w:jc w:val="right"/>
              <w:ind w:right="6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852</w:t>
            </w:r>
          </w:p>
        </w:tc>
        <w:tc>
          <w:tcPr>
            <w:tcW w:w="820" w:type="dxa"/>
            <w:vAlign w:val="bottom"/>
            <w:gridSpan w:val="2"/>
            <w:shd w:val="clear" w:color="auto" w:fill="CFF0FC"/>
          </w:tcPr>
          <w:p>
            <w:pPr>
              <w:jc w:val="right"/>
              <w:ind w:right="6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1,304</w:t>
            </w:r>
          </w:p>
        </w:tc>
        <w:tc>
          <w:tcPr>
            <w:tcW w:w="1640" w:type="dxa"/>
            <w:vAlign w:val="bottom"/>
          </w:tcPr>
          <w:p>
            <w:pPr>
              <w:spacing w:after="0"/>
              <w:rPr>
                <w:sz w:val="17"/>
                <w:szCs w:val="17"/>
                <w:color w:val="auto"/>
              </w:rPr>
            </w:pPr>
          </w:p>
        </w:tc>
      </w:tr>
      <w:tr>
        <w:trPr>
          <w:trHeight w:val="476"/>
        </w:trPr>
        <w:tc>
          <w:tcPr>
            <w:tcW w:w="1660" w:type="dxa"/>
            <w:vAlign w:val="bottom"/>
          </w:tcPr>
          <w:p>
            <w:pPr>
              <w:spacing w:after="0"/>
              <w:rPr>
                <w:sz w:val="24"/>
                <w:szCs w:val="24"/>
                <w:color w:val="auto"/>
              </w:rPr>
            </w:pPr>
          </w:p>
        </w:tc>
        <w:tc>
          <w:tcPr>
            <w:tcW w:w="202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4"/>
                <w:szCs w:val="14"/>
                <w:color w:val="auto"/>
              </w:rPr>
              <w:t>F-44</w:t>
            </w: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590"/>
        </w:trPr>
        <w:tc>
          <w:tcPr>
            <w:tcW w:w="16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-727075</wp:posOffset>
            </wp:positionV>
            <wp:extent cx="46990"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-713740</wp:posOffset>
            </wp:positionV>
            <wp:extent cx="4699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4" w:name="page265"/>
    <w:bookmarkEnd w:id="264"/>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9. Term Loan</w:t>
      </w:r>
    </w:p>
    <w:p>
      <w:pPr>
        <w:spacing w:after="0" w:line="93" w:lineRule="exact"/>
        <w:rPr>
          <w:sz w:val="20"/>
          <w:szCs w:val="20"/>
          <w:color w:val="auto"/>
        </w:rPr>
      </w:pPr>
    </w:p>
    <w:p>
      <w:pPr>
        <w:jc w:val="both"/>
        <w:ind w:left="720" w:right="9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On September 21, 2021, the Company entered into a Loan and Security Agreement with Silicon Valley Bank (the “Lender”), which was subsequently amended (the “Loan Agreement”), that provided for aggregate term loans of $15.0 million. In connection with the Loan Agreement, the Company also issued common stock warrants to the Lender (refer to Note 7, </w:t>
      </w:r>
      <w:r>
        <w:rPr>
          <w:rFonts w:ascii="Times New Roman" w:cs="Times New Roman" w:eastAsia="Times New Roman" w:hAnsi="Times New Roman"/>
          <w:sz w:val="14"/>
          <w:szCs w:val="14"/>
          <w:i w:val="1"/>
          <w:iCs w:val="1"/>
          <w:color w:val="auto"/>
        </w:rPr>
        <w:t>Stockholders’ Deficit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On November 22, 2024, the Company and the Lender executed an amendment to the Loan Agreement under which the Lender extended the term loan amortization date to April 1, 2025 and added two interest-only extension events that could further extend the term loan amortization date. The amendment also required the Company to maintain the lesser of $60.0 million or 50% of the Company’s consolidated cash within the Company’s primary operating account with the Lender. The amendment was accounted for as a debt modification, rather than an extinguishment, as the difference in the present value of the cash flows under the terms of the original debt agreement and the terms immediately after the amendment was less than 10%. As a result, issuance costs paid to the Lender in connection with the amendment, which were not significant, were recorded as a reduction of the carrying amount of the debt liability. Unamortized issuance costs as of the date of the modification are amortized to interest expense using the effective interest method through the loan maturity date.</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Term loan balances, including final payments, are summarized as follows (in thousands):</w:t>
      </w:r>
    </w:p>
    <w:p>
      <w:pPr>
        <w:spacing w:after="0" w:line="160"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35"/>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20" w:type="dxa"/>
            <w:vAlign w:val="bottom"/>
          </w:tcPr>
          <w:p>
            <w:pPr>
              <w:spacing w:after="0"/>
              <w:rPr>
                <w:sz w:val="13"/>
                <w:szCs w:val="13"/>
                <w:color w:val="auto"/>
              </w:rPr>
            </w:pPr>
          </w:p>
        </w:tc>
        <w:tc>
          <w:tcPr>
            <w:tcW w:w="30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term loan principal</w:t>
            </w:r>
          </w:p>
        </w:tc>
        <w:tc>
          <w:tcPr>
            <w:tcW w:w="1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12,500</w:t>
            </w:r>
          </w:p>
        </w:tc>
        <w:tc>
          <w:tcPr>
            <w:tcW w:w="26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8,750</w:t>
            </w:r>
          </w:p>
        </w:tc>
      </w:tr>
      <w:tr>
        <w:trPr>
          <w:trHeight w:val="168"/>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Final payments</w:t>
            </w:r>
          </w:p>
        </w:tc>
        <w:tc>
          <w:tcPr>
            <w:tcW w:w="120" w:type="dxa"/>
            <w:vAlign w:val="bottom"/>
          </w:tcPr>
          <w:p>
            <w:pPr>
              <w:spacing w:after="0"/>
              <w:rPr>
                <w:sz w:val="14"/>
                <w:szCs w:val="14"/>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691</w:t>
            </w:r>
          </w:p>
        </w:tc>
      </w:tr>
      <w:tr>
        <w:trPr>
          <w:trHeight w:val="168"/>
        </w:trPr>
        <w:tc>
          <w:tcPr>
            <w:tcW w:w="20" w:type="dxa"/>
            <w:vAlign w:val="bottom"/>
          </w:tcPr>
          <w:p>
            <w:pPr>
              <w:spacing w:after="0"/>
              <w:rPr>
                <w:sz w:val="14"/>
                <w:szCs w:val="14"/>
                <w:color w:val="auto"/>
              </w:rPr>
            </w:pPr>
          </w:p>
        </w:tc>
        <w:tc>
          <w:tcPr>
            <w:tcW w:w="3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Unamortized debt discount and issuance costs</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59"/>
        </w:trPr>
        <w:tc>
          <w:tcPr>
            <w:tcW w:w="20" w:type="dxa"/>
            <w:vAlign w:val="bottom"/>
          </w:tcPr>
          <w:p>
            <w:pPr>
              <w:spacing w:after="0"/>
              <w:rPr>
                <w:sz w:val="13"/>
                <w:szCs w:val="13"/>
                <w:color w:val="auto"/>
              </w:rPr>
            </w:pPr>
          </w:p>
        </w:tc>
        <w:tc>
          <w:tcPr>
            <w:tcW w:w="30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Term loan, net of discount</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13,077</w:t>
            </w:r>
          </w:p>
        </w:tc>
        <w:tc>
          <w:tcPr>
            <w:tcW w:w="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5"/>
              <w:spacing w:after="0" w:line="159" w:lineRule="exact"/>
              <w:rPr>
                <w:sz w:val="20"/>
                <w:szCs w:val="20"/>
                <w:color w:val="auto"/>
              </w:rPr>
            </w:pPr>
            <w:r>
              <w:rPr>
                <w:rFonts w:ascii="Times New Roman" w:cs="Times New Roman" w:eastAsia="Times New Roman" w:hAnsi="Times New Roman"/>
                <w:sz w:val="14"/>
                <w:szCs w:val="14"/>
                <w:color w:val="auto"/>
              </w:rPr>
              <w:t>9,401</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-132715</wp:posOffset>
            </wp:positionV>
            <wp:extent cx="6667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6675" cy="6985"/>
                    </a:xfrm>
                    <a:prstGeom prst="rect">
                      <a:avLst/>
                    </a:prstGeom>
                    <a:noFill/>
                  </pic:spPr>
                </pic:pic>
              </a:graphicData>
            </a:graphic>
          </wp:anchor>
        </w:drawing>
      </w:r>
    </w:p>
    <w:p>
      <w:pPr>
        <w:spacing w:after="0" w:line="155"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The term loan matures on October 1, 2026. After triggering an interest-only extension upon the issuance of the Series E Preferred Stock in January 2025, which extended the interest-only period on the term loan, the Company began paying principal in 12 equal monthly payments of approximately $1.3 million each on November 1, 2025. The term loan bears interest at a floating rate equal to the greater of (i) 6.75% and (ii) the prime rate plus a margin; provided that the interest rate will not exceed 6.75%. The term loan calls for an additional final payment equal to 4.5% of the aggregate principal amount borrowed, as well as a fee of approximately $0.1 million, due upon (a) the term loan maturity date, (b) the repayment of the term loan in full, (c) as required pursuant to permitted prepayment or mandatory prepayment upon an acceleration, or (d) the termination of the Loan Agreement. The Company may, at its option, prepay the term loan in full or in part at any time prior to maturity, subject to a prepayment fee ranging between 0% and 3% of the outstanding principal amount of the term loan. The prepayment fee would also be due and payable in the event of an acceleration of the principal amount of the loan due to an event of default. The Loan Agreement contains affirmative covenants and certain restrictive covenants. The Company was in compliance with all financial and nonfinancial covenants as of March 31, 2026.</w:t>
      </w:r>
    </w:p>
    <w:p>
      <w:pPr>
        <w:spacing w:after="0" w:line="144" w:lineRule="exact"/>
        <w:rPr>
          <w:sz w:val="20"/>
          <w:szCs w:val="20"/>
          <w:color w:val="auto"/>
        </w:rPr>
      </w:pPr>
    </w:p>
    <w:p>
      <w:pPr>
        <w:ind w:left="720" w:right="919" w:firstLine="343"/>
        <w:spacing w:after="0" w:line="261" w:lineRule="auto"/>
        <w:rPr>
          <w:sz w:val="20"/>
          <w:szCs w:val="20"/>
          <w:color w:val="auto"/>
        </w:rPr>
      </w:pPr>
      <w:r>
        <w:rPr>
          <w:rFonts w:ascii="Times New Roman" w:cs="Times New Roman" w:eastAsia="Times New Roman" w:hAnsi="Times New Roman"/>
          <w:sz w:val="14"/>
          <w:szCs w:val="14"/>
          <w:color w:val="auto"/>
        </w:rPr>
        <w:t>In addition, the Company is accreting the final payments over the term of the Loan Agreement as interest expense using the effective interest method. As of December 31, 2025 and March 31, 2026, the Company accreted a cumulative final payment of $0.6 million and $0.7 million, respectively, which is presented within term loan, net of discount on its condensed consolidated balance sheets.</w:t>
      </w:r>
    </w:p>
    <w:p>
      <w:pPr>
        <w:spacing w:after="0" w:line="141" w:lineRule="exact"/>
        <w:rPr>
          <w:sz w:val="20"/>
          <w:szCs w:val="20"/>
          <w:color w:val="auto"/>
        </w:rPr>
      </w:pPr>
    </w:p>
    <w:p>
      <w:pPr>
        <w:ind w:left="720" w:right="1379" w:firstLine="343"/>
        <w:spacing w:after="0" w:line="283" w:lineRule="auto"/>
        <w:rPr>
          <w:sz w:val="20"/>
          <w:szCs w:val="20"/>
          <w:color w:val="auto"/>
        </w:rPr>
      </w:pPr>
      <w:r>
        <w:rPr>
          <w:rFonts w:ascii="Times New Roman" w:cs="Times New Roman" w:eastAsia="Times New Roman" w:hAnsi="Times New Roman"/>
          <w:sz w:val="14"/>
          <w:szCs w:val="14"/>
          <w:color w:val="auto"/>
        </w:rPr>
        <w:t>For the three months ended March 31, 2025 and 2026, the effective interest rate of the term loan was 8.9% and 8.8%, respectively.</w:t>
      </w:r>
    </w:p>
    <w:p>
      <w:pPr>
        <w:spacing w:after="0" w:line="125"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The term loan includes an embedded derivative related to the payment of interest upon an event of default. The Company determined the estimated fair value of the embedded derivative was not material to the condensed consolidated financial statements. Additionally, the term loan includes contingent payment features which also represent an embedded derivative which requires bifurcation from the debt host. As of December 31, 2025 and March 31, 2026, the Company determined the estimated fair value of the contingent payment features embedded derivative was not material to the condensed consolidated financial statements. The Company will reassess the probability of these contingent payment events and the estimated fair value of the related embedded derivatives at each reporting period and revise the estimated fair value of the derivative in the Company’s condensed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5" w:name="page266"/>
    <w:bookmarkEnd w:id="26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10. Simple Agreement for Future Equity</w:t>
      </w:r>
    </w:p>
    <w:p>
      <w:pPr>
        <w:spacing w:after="0" w:line="93" w:lineRule="exact"/>
        <w:rPr>
          <w:sz w:val="20"/>
          <w:szCs w:val="20"/>
          <w:color w:val="auto"/>
        </w:rPr>
      </w:pPr>
    </w:p>
    <w:p>
      <w:pPr>
        <w:jc w:val="both"/>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On March 27, 2026, the Company issued a SAFE to an investor for gross proceeds of $50.0 million. The SAFE has no interest rate or maturity date. The SAFE investor has no voting rights prior to conversion, and if the Company pays a dividend on outstanding shares of its common stock while the SAFE is outstanding, the investor will also receive a dividend.</w:t>
      </w:r>
    </w:p>
    <w:p>
      <w:pPr>
        <w:spacing w:after="0" w:line="136" w:lineRule="exact"/>
        <w:rPr>
          <w:sz w:val="20"/>
          <w:szCs w:val="20"/>
          <w:color w:val="auto"/>
        </w:rPr>
      </w:pPr>
    </w:p>
    <w:p>
      <w:pPr>
        <w:ind w:left="720" w:right="839" w:firstLine="343"/>
        <w:spacing w:after="0" w:line="256" w:lineRule="auto"/>
        <w:rPr>
          <w:sz w:val="20"/>
          <w:szCs w:val="20"/>
          <w:color w:val="auto"/>
        </w:rPr>
      </w:pPr>
      <w:r>
        <w:rPr>
          <w:rFonts w:ascii="Times New Roman" w:cs="Times New Roman" w:eastAsia="Times New Roman" w:hAnsi="Times New Roman"/>
          <w:sz w:val="14"/>
          <w:szCs w:val="14"/>
          <w:color w:val="auto"/>
        </w:rPr>
        <w:t>The SAFE will automatically convert into the number of shares of common stock obtained by dividing (i) $50.0 million by (ii) the IPO Discount Price upon the closing of an IPO. The “IPO Discount Price” in connection with an IPO is the offering price in the IPO (the “IPO Price”) multiplied by 90% (such product, the “Initial IPO Discount Price”), provided that (i) if the IPO Price is greater than or equal to $6.1644 per share, and (ii) the Initial IPO Discount Price is equal to or less than $6.1644 per share, then the IPO Discount Price will equal $6.1644 per share; and provided further that if the IPO Price is less than $6.1644, the IPO Discount Price will equal the IPO Price. The SAFE will also automatically convert into preferred stock or common stock upon an equity financing other than an IPO based on similar conversion terms and discount rate.</w:t>
      </w:r>
    </w:p>
    <w:p>
      <w:pPr>
        <w:spacing w:after="0" w:line="144"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Upon a liquidation event, if not converted earlier, the investor will automatically be entitled, subject to its liquidation priority, to receive a portion of proceeds equal to the greater of (i) $50.0 million, or (ii) the amount payable on the number of common shares equal to $50.0 million divided by the Liquidity Price. The “Liquidity Price” is the price per share equal to the fair market value of the common stock at the time of the liquidation event, as determined by reference to the purchase price payable in connection with such liquidation event, multiplied by 90%. Upon a dissolution event, if not converted earlier, the investor will automatically be entitled, subject to its liquidation priority, to receive a portion of proceeds equal to $50.0 million.</w:t>
      </w:r>
    </w:p>
    <w:p>
      <w:pPr>
        <w:spacing w:after="0" w:line="143" w:lineRule="exact"/>
        <w:rPr>
          <w:sz w:val="20"/>
          <w:szCs w:val="20"/>
          <w:color w:val="auto"/>
        </w:rPr>
      </w:pPr>
    </w:p>
    <w:p>
      <w:pPr>
        <w:ind w:left="720" w:right="7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The Company concluded the SAFE is a freestanding financial instrument that requires liability classification pursuant to the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 it embodies a conditional obligation to issue a variable number of shares based predominately on a fixed monetary amount known at inception. The SAFE was initially recorded at fair value upon the issuance date, with subsequent changes in fair value recorded in the condensed consolidated statements of operations and comprehensive loss at each reporting date. The fair value of the SAFE at issuance was $50.0 million. There was no change in fair value of the SAFE during the three months ended March 31, 2026.</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Harvard Agreement</w:t>
      </w:r>
    </w:p>
    <w:p>
      <w:pPr>
        <w:spacing w:after="0" w:line="93" w:lineRule="exact"/>
        <w:rPr>
          <w:sz w:val="20"/>
          <w:szCs w:val="20"/>
          <w:color w:val="auto"/>
        </w:rPr>
      </w:pPr>
    </w:p>
    <w:p>
      <w:pPr>
        <w:ind w:left="720" w:right="799" w:firstLine="343"/>
        <w:spacing w:after="0" w:line="267" w:lineRule="auto"/>
        <w:rPr>
          <w:sz w:val="20"/>
          <w:szCs w:val="20"/>
          <w:color w:val="auto"/>
        </w:rPr>
      </w:pPr>
      <w:r>
        <w:rPr>
          <w:rFonts w:ascii="Times New Roman" w:cs="Times New Roman" w:eastAsia="Times New Roman" w:hAnsi="Times New Roman"/>
          <w:sz w:val="14"/>
          <w:szCs w:val="14"/>
          <w:color w:val="auto"/>
        </w:rPr>
        <w:t>In August 2017, the Company entered into a license agreement, as amended (the “Harvard Agreement”), with the President and Fellows of Harvard College (“Harvard”), to obtain a worldwide, exclusive, royalty-bearing license to certain intellectual property which was developed by the Company’s founder.</w:t>
      </w:r>
    </w:p>
    <w:p>
      <w:pPr>
        <w:spacing w:after="0" w:line="136"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Under the terms of the Harvard Agreement, the Company is required to make payments to Harvard upon the achievement of certain development, regulatory and sales milestones up to an aggregate of $18.3 million, as well as future royalty payments, based on a percentage of aggregate net sales ranging in the low single digits. In addition, the Company is required to make payments to Harvard for non-royalty income received under sublicenses or strategic partnerships with third parties, with the applicable payment based on the stage of development of the first licensed product at the time the Company enters into such agreement (before or after enrollment of the first patient in a Phase 2 clinical study of a licensed product), ranging from a single-digit percentage to a mid-teens percentage. During the year ended December 31, 2025, the Company met one milestone of $0.2 million which is included in accounts payable on the condensed consolidated balance sheet as of December 31, 2025 and which the Company paid during the three months ended March 31, 2026. As of March 31, 2026, the Company has achieved milestones totaling $0.3 million under the Harvard Agreement. None of the remaining milestones were deemed probable of achievement as of March 31, 2026.</w:t>
      </w:r>
    </w:p>
    <w:p>
      <w:pPr>
        <w:spacing w:after="0" w:line="146" w:lineRule="exact"/>
        <w:rPr>
          <w:sz w:val="20"/>
          <w:szCs w:val="20"/>
          <w:color w:val="auto"/>
        </w:rPr>
      </w:pPr>
    </w:p>
    <w:p>
      <w:pPr>
        <w:ind w:left="720" w:right="859" w:firstLine="343"/>
        <w:spacing w:after="0" w:line="283" w:lineRule="auto"/>
        <w:rPr>
          <w:sz w:val="20"/>
          <w:szCs w:val="20"/>
          <w:color w:val="auto"/>
        </w:rPr>
      </w:pPr>
      <w:r>
        <w:rPr>
          <w:rFonts w:ascii="Times New Roman" w:cs="Times New Roman" w:eastAsia="Times New Roman" w:hAnsi="Times New Roman"/>
          <w:sz w:val="14"/>
          <w:szCs w:val="14"/>
          <w:color w:val="auto"/>
        </w:rPr>
        <w:t>The Company is also required to pay a low six-digit annual maintenance fee for the duration of the Harvard Agreement, which can be credited against future royalty payments.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Legal fees and other costs associated with such proceedings are expensed as incurred. As of December 31, 2025 and March 31, 2026, the Company was not a party to any material legal proceedings or claims.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6" w:name="page267"/>
    <w:bookmarkEnd w:id="266"/>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December 31, 2025 and March 31, 2026.</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12. Collaboration Agreement</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 May 2024, the Company entered into a research collaboration agreement with ARTBIO, Inc. (“ARTBIO”) to co-develop multiple Helicon-enabled alpha particle radioligand therapies (HEARTs) for the treatment of cancer. Under the terms of this agreement, the Company is responsible for equally participating on joint committees and carrying out at least four research programs with respect to each collaboration target. The Company and ARTBIO share in the costs of the research programs equally, with ARTBIO responsible for funding the first $10.0 million of development costs incurred by both parties and the Company responsible for funding the next $10.0 million of development costs. Any further development costs beyond these initial funding amounts will also be shared equally by both parties. Under certain circumstances, either party can terminate the agreement, or opt out of further participation in any research programs, and the Company may be obligated to refund, to ARTBIO, amounts received during the initial funding periods, such that the total costs incurred through the effective date of termination would be shared equally.</w:t>
      </w:r>
    </w:p>
    <w:p>
      <w:pPr>
        <w:spacing w:after="0" w:line="149" w:lineRule="exact"/>
        <w:rPr>
          <w:sz w:val="20"/>
          <w:szCs w:val="20"/>
          <w:color w:val="auto"/>
        </w:rPr>
      </w:pPr>
    </w:p>
    <w:p>
      <w:pPr>
        <w:jc w:val="both"/>
        <w:ind w:left="720" w:right="979" w:firstLine="343"/>
        <w:spacing w:after="0" w:line="267" w:lineRule="auto"/>
        <w:rPr>
          <w:sz w:val="20"/>
          <w:szCs w:val="20"/>
          <w:color w:val="auto"/>
        </w:rPr>
      </w:pPr>
      <w:r>
        <w:rPr>
          <w:rFonts w:ascii="Times New Roman" w:cs="Times New Roman" w:eastAsia="Times New Roman" w:hAnsi="Times New Roman"/>
          <w:sz w:val="14"/>
          <w:szCs w:val="14"/>
          <w:color w:val="auto"/>
        </w:rPr>
        <w:t>Upon later regulatory approval and commercialization of related product(s), the parties will share equally in all net profits or losses. The agreement expires upon (1) the date on which products arising from the collaboration are no longer commercialized or developed for commercialization, or (2) termination by one or both parties.</w:t>
      </w:r>
    </w:p>
    <w:p>
      <w:pPr>
        <w:spacing w:after="0" w:line="134" w:lineRule="exact"/>
        <w:rPr>
          <w:sz w:val="20"/>
          <w:szCs w:val="20"/>
          <w:color w:val="auto"/>
        </w:rPr>
      </w:pPr>
    </w:p>
    <w:p>
      <w:pPr>
        <w:ind w:left="720" w:right="819" w:firstLine="343"/>
        <w:spacing w:after="0" w:line="268" w:lineRule="auto"/>
        <w:rPr>
          <w:sz w:val="20"/>
          <w:szCs w:val="20"/>
          <w:color w:val="auto"/>
        </w:rPr>
      </w:pPr>
      <w:r>
        <w:rPr>
          <w:rFonts w:ascii="Times New Roman" w:cs="Times New Roman" w:eastAsia="Times New Roman" w:hAnsi="Times New Roman"/>
          <w:sz w:val="14"/>
          <w:szCs w:val="14"/>
          <w:color w:val="auto"/>
        </w:rPr>
        <w:t xml:space="preserve">The Company determined the agreement was a collaboration arrangement under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The Company and ARTBIO are jointly overseeing and are active participants in the research and development activities under the agreement. In addition, both parties are exposed to the significant risks and potential rewards under the agreement.</w:t>
      </w:r>
    </w:p>
    <w:p>
      <w:pPr>
        <w:spacing w:after="0" w:line="135" w:lineRule="exact"/>
        <w:rPr>
          <w:sz w:val="20"/>
          <w:szCs w:val="20"/>
          <w:color w:val="auto"/>
        </w:rPr>
      </w:pPr>
    </w:p>
    <w:p>
      <w:pPr>
        <w:ind w:left="720" w:right="7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During the three months ended March 31, 2025, the Company incurred $1.6 million in costs related to the research programs within the scope of the agreement, which have been fully reimbursed by ARTBIO. No costs were incurred by the Company during the three months ended March 31, 2026. Pursuant to the contract termination and funding provisions noted above, and based on the current development plan, the Company recorded a liability representing its portion of the research and development expense incurred to date. During the three months ended March 31, 2025, the Company recorded an increase to the liability of $0.9 million. The Company recorded the remaining amount of $0.7 million as a reduction of research and development expenses within the condensed consolidated statements of operations and comprehensive loss for the three months ended March 31, 2025. No increase in the liability balance was recorded during the three months ended March 31, 2026. As of December 31, 2025 and March 31, 2026, the liability balance totaled $2.7 million and is classified in other liabilities and accrued expenses and other current liabilities, respectively, on the condensed consolidated balance sheets (refer to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93" w:lineRule="exact"/>
        <w:rPr>
          <w:sz w:val="20"/>
          <w:szCs w:val="20"/>
          <w:color w:val="auto"/>
        </w:rPr>
      </w:pPr>
    </w:p>
    <w:p>
      <w:pPr>
        <w:ind w:left="720" w:right="759" w:firstLine="343"/>
        <w:spacing w:after="0" w:line="257" w:lineRule="auto"/>
        <w:rPr>
          <w:sz w:val="20"/>
          <w:szCs w:val="20"/>
          <w:color w:val="auto"/>
        </w:rPr>
      </w:pPr>
      <w:r>
        <w:rPr>
          <w:rFonts w:ascii="Times New Roman" w:cs="Times New Roman" w:eastAsia="Times New Roman" w:hAnsi="Times New Roman"/>
          <w:sz w:val="14"/>
          <w:szCs w:val="14"/>
          <w:color w:val="auto"/>
        </w:rPr>
        <w:t>In December 2019, the Company entered into a non-cancelable sublease arrangement with a related party to sublease approximately 50% of the Company’s leased space at 30 Acorn Park Drive in Cambridge, Massachusetts through February 2025. In January 2024, the Company and the sublessee amended the sublease arrangement to extend the sublease date through December 2025. The sublessee is considered a related party due to common board members and stockholders. The related party was required to make lease payments and payments for its proportionate share of related occupancy costs to the Company. The sublease expired in December 2025.</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7" w:name="page268"/>
    <w:bookmarkEnd w:id="267"/>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720" w:right="799" w:firstLine="343"/>
        <w:spacing w:after="0" w:line="256" w:lineRule="auto"/>
        <w:rPr>
          <w:sz w:val="20"/>
          <w:szCs w:val="20"/>
          <w:color w:val="auto"/>
        </w:rPr>
      </w:pPr>
      <w:r>
        <w:rPr>
          <w:rFonts w:ascii="Times New Roman" w:cs="Times New Roman" w:eastAsia="Times New Roman" w:hAnsi="Times New Roman"/>
          <w:sz w:val="14"/>
          <w:szCs w:val="14"/>
          <w:color w:val="auto"/>
        </w:rPr>
        <w:t>The Company recorded sublease income of $1.1 million for the three months ended March 31, 2025. In addition, the Company received payments from the related party of $0.6 million during the three months ended March 31, 2025, representing the related party’s share of occupancy costs. Of the amounts received, $0.5 million was recorded as a reduction of research and development expense and $0.1 million was recorded as a reduction of general and administrative expense for the three months ended March 31, 2025 in the condensed consolidated statements of operations and comprehensive loss. As of March 31, 2026, there was $0.2 million recorded as due to related party on the condensed consolidated balance sheet resulting from a refund of an overpayment of occupancy costs by the sublessee.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14. Net Loss Per Share</w:t>
      </w:r>
    </w:p>
    <w:p>
      <w:pPr>
        <w:spacing w:after="0" w:line="93" w:lineRule="exact"/>
        <w:rPr>
          <w:sz w:val="20"/>
          <w:szCs w:val="20"/>
          <w:color w:val="auto"/>
        </w:rPr>
      </w:pPr>
    </w:p>
    <w:p>
      <w:pPr>
        <w:ind w:left="720" w:right="85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the outstanding shares of common stock equivalents, presented based on amounts outstanding at each period end, which were excluded from the calculation of diluted net loss per share allocable to common stockholders for the periods indicated because including them would have been anti-dilutive:</w:t>
      </w:r>
    </w:p>
    <w:p>
      <w:pPr>
        <w:spacing w:after="0" w:line="152" w:lineRule="exact"/>
        <w:rPr>
          <w:sz w:val="20"/>
          <w:szCs w:val="20"/>
          <w:color w:val="auto"/>
        </w:rPr>
      </w:pPr>
    </w:p>
    <w:tbl>
      <w:tblPr>
        <w:tblLayout w:type="fixed"/>
        <w:tblInd w:w="1860" w:type="dxa"/>
        <w:tblCellMar>
          <w:top w:w="0" w:type="dxa"/>
          <w:left w:w="0" w:type="dxa"/>
          <w:bottom w:w="0" w:type="dxa"/>
          <w:right w:w="0" w:type="dxa"/>
        </w:tblCellMar>
      </w:tblPr>
      <w:tr>
        <w:trPr>
          <w:trHeight w:val="135"/>
        </w:trPr>
        <w:tc>
          <w:tcPr>
            <w:tcW w:w="3440" w:type="dxa"/>
            <w:vAlign w:val="bottom"/>
          </w:tcPr>
          <w:p>
            <w:pPr>
              <w:spacing w:after="0"/>
              <w:rPr>
                <w:sz w:val="11"/>
                <w:szCs w:val="11"/>
                <w:color w:val="auto"/>
              </w:rPr>
            </w:pPr>
          </w:p>
        </w:tc>
        <w:tc>
          <w:tcPr>
            <w:tcW w:w="186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3440" w:type="dxa"/>
            <w:vAlign w:val="bottom"/>
          </w:tcPr>
          <w:p>
            <w:pPr>
              <w:spacing w:after="0"/>
              <w:rPr>
                <w:sz w:val="9"/>
                <w:szCs w:val="9"/>
                <w:color w:val="auto"/>
              </w:rPr>
            </w:pPr>
          </w:p>
        </w:tc>
        <w:tc>
          <w:tcPr>
            <w:tcW w:w="920" w:type="dxa"/>
            <w:vAlign w:val="bottom"/>
            <w:tcBorders>
              <w:bottom w:val="single" w:sz="8" w:color="auto"/>
            </w:tcBorders>
          </w:tcPr>
          <w:p>
            <w:pPr>
              <w:jc w:val="right"/>
              <w:ind w:right="3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880" w:type="dxa"/>
            <w:vAlign w:val="bottom"/>
            <w:tcBorders>
              <w:bottom w:val="single" w:sz="8" w:color="auto"/>
            </w:tcBorders>
          </w:tcPr>
          <w:p>
            <w:pPr>
              <w:jc w:val="right"/>
              <w:ind w:right="295"/>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3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 Preferred Stock</w:t>
            </w:r>
          </w:p>
        </w:tc>
        <w:tc>
          <w:tcPr>
            <w:tcW w:w="920" w:type="dxa"/>
            <w:vAlign w:val="bottom"/>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1,543,214</w:t>
            </w:r>
          </w:p>
        </w:tc>
        <w:tc>
          <w:tcPr>
            <w:tcW w:w="9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1,634,435</w:t>
            </w: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6,261,931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7,447,249</w:t>
            </w:r>
          </w:p>
        </w:tc>
      </w:tr>
      <w:tr>
        <w:trPr>
          <w:trHeight w:val="16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 Preferred Stock</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10,064,421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12,021,393</w:t>
            </w: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19,497,429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22,304,077</w:t>
            </w:r>
          </w:p>
        </w:tc>
      </w:tr>
      <w:tr>
        <w:trPr>
          <w:trHeight w:val="16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E Preferred Stock</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23,281,563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23,374,263</w:t>
            </w: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Series F Preferred Stock</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49,518,175</w:t>
            </w:r>
          </w:p>
        </w:tc>
      </w:tr>
      <w:tr>
        <w:trPr>
          <w:trHeight w:val="16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37,169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37,169</w:t>
            </w: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stock options</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13,241,356</w:t>
            </w:r>
          </w:p>
        </w:tc>
        <w:tc>
          <w:tcPr>
            <w:tcW w:w="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22,144,931</w:t>
            </w:r>
          </w:p>
        </w:tc>
      </w:tr>
      <w:tr>
        <w:trPr>
          <w:trHeight w:val="199"/>
        </w:trPr>
        <w:tc>
          <w:tcPr>
            <w:tcW w:w="3440" w:type="dxa"/>
            <w:vAlign w:val="bottom"/>
            <w:tcBorders>
              <w:bottom w:val="single" w:sz="8" w:color="CFF0FC"/>
            </w:tcBorders>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FF0FC"/>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73,927,083</w:t>
            </w:r>
          </w:p>
        </w:tc>
        <w:tc>
          <w:tcPr>
            <w:tcW w:w="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138,481,692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-19685</wp:posOffset>
            </wp:positionV>
            <wp:extent cx="4699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-6350</wp:posOffset>
            </wp:positionV>
            <wp:extent cx="4699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5" w:lineRule="exact"/>
        <w:rPr>
          <w:sz w:val="20"/>
          <w:szCs w:val="20"/>
          <w:color w:val="auto"/>
        </w:rPr>
      </w:pPr>
    </w:p>
    <w:p>
      <w:pPr>
        <w:ind w:left="720" w:right="879" w:firstLine="343"/>
        <w:spacing w:after="0" w:line="261" w:lineRule="auto"/>
        <w:rPr>
          <w:sz w:val="20"/>
          <w:szCs w:val="20"/>
          <w:color w:val="auto"/>
        </w:rPr>
      </w:pPr>
      <w:r>
        <w:rPr>
          <w:rFonts w:ascii="Times New Roman" w:cs="Times New Roman" w:eastAsia="Times New Roman" w:hAnsi="Times New Roman"/>
          <w:sz w:val="14"/>
          <w:szCs w:val="14"/>
          <w:color w:val="auto"/>
        </w:rPr>
        <w:t>The amounts of outstanding stock options in the table above for the three months ended March 31, 2025 and 2026 exclude 645,578 potentially dilutive securities as these outstanding stock options relate to contingently issuable shares for which the market condition was not satisfied as of the respective period end. The SAFE was excluded from the table above for the three months ended March 31, 2026 as the number of shares that would be issuable upon conversion was indeterminable.</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15. Retirement Plan</w:t>
      </w:r>
    </w:p>
    <w:p>
      <w:pPr>
        <w:spacing w:after="0" w:line="93" w:lineRule="exact"/>
        <w:rPr>
          <w:sz w:val="20"/>
          <w:szCs w:val="20"/>
          <w:color w:val="auto"/>
        </w:rPr>
      </w:pPr>
    </w:p>
    <w:p>
      <w:pPr>
        <w:ind w:left="720" w:right="839" w:firstLine="343"/>
        <w:spacing w:after="0" w:line="258" w:lineRule="auto"/>
        <w:rPr>
          <w:sz w:val="20"/>
          <w:szCs w:val="20"/>
          <w:color w:val="auto"/>
        </w:rPr>
      </w:pPr>
      <w:r>
        <w:rPr>
          <w:rFonts w:ascii="Times New Roman" w:cs="Times New Roman" w:eastAsia="Times New Roman" w:hAnsi="Times New Roman"/>
          <w:sz w:val="14"/>
          <w:szCs w:val="14"/>
          <w:color w:val="auto"/>
        </w:rPr>
        <w:t>The Company has a U.S. tax-qualified employee savings and retirement 401(k) plan, covering all qualified employees. Participants may elect a salary deferral up to the statutorily prescribed annual limit for tax-deferred contributions. The Company may make matching contributions to each eligible participant’s account based on a percentage of the participant’s elective deferral contribution. Matching contributions were $0.4 million and $0.5 million during the three months ended March 31, 2025 and 2026, respectively.</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16. Segment Reporting</w:t>
      </w:r>
    </w:p>
    <w:p>
      <w:pPr>
        <w:spacing w:after="0" w:line="93" w:lineRule="exact"/>
        <w:rPr>
          <w:sz w:val="20"/>
          <w:szCs w:val="20"/>
          <w:color w:val="auto"/>
        </w:rPr>
      </w:pPr>
    </w:p>
    <w:p>
      <w:pPr>
        <w:ind w:left="720" w:right="779" w:firstLine="343"/>
        <w:spacing w:after="0" w:line="257" w:lineRule="auto"/>
        <w:rPr>
          <w:sz w:val="20"/>
          <w:szCs w:val="20"/>
          <w:color w:val="auto"/>
        </w:rPr>
      </w:pPr>
      <w:r>
        <w:rPr>
          <w:rFonts w:ascii="Times New Roman" w:cs="Times New Roman" w:eastAsia="Times New Roman" w:hAnsi="Times New Roman"/>
          <w:sz w:val="14"/>
          <w:szCs w:val="14"/>
          <w:color w:val="auto"/>
        </w:rPr>
        <w:t>The Company manages its operations as a single operating and reportable segment that is focused on developing Helicon medicines targeting historically undruggable proteins. The CODM manages the Company’s operations on a consolidated basis and uses consolidated net loss to assess financial performance and allocate resources.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review assets in evaluating the results of the segments, and therefore, such information is not presented.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8" w:name="page269"/>
    <w:bookmarkEnd w:id="268"/>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9" w:lineRule="exact"/>
        <w:rPr>
          <w:sz w:val="20"/>
          <w:szCs w:val="20"/>
          <w:color w:val="auto"/>
        </w:rPr>
      </w:pPr>
    </w:p>
    <w:p>
      <w:pPr>
        <w:ind w:left="720" w:right="12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(in thousands):</w:t>
      </w:r>
    </w:p>
    <w:p>
      <w:pPr>
        <w:spacing w:after="0" w:line="141" w:lineRule="exact"/>
        <w:rPr>
          <w:sz w:val="20"/>
          <w:szCs w:val="20"/>
          <w:color w:val="auto"/>
        </w:rPr>
      </w:pPr>
    </w:p>
    <w:tbl>
      <w:tblPr>
        <w:tblLayout w:type="fixed"/>
        <w:tblInd w:w="14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6"/>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3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51"/>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r>
      <w:tr>
        <w:trPr>
          <w:trHeight w:val="159"/>
        </w:trPr>
        <w:tc>
          <w:tcPr>
            <w:tcW w:w="20" w:type="dxa"/>
            <w:vAlign w:val="bottom"/>
          </w:tcPr>
          <w:p>
            <w:pPr>
              <w:spacing w:after="0"/>
              <w:rPr>
                <w:sz w:val="13"/>
                <w:szCs w:val="13"/>
                <w:color w:val="auto"/>
              </w:rPr>
            </w:pPr>
          </w:p>
        </w:tc>
        <w:tc>
          <w:tcPr>
            <w:tcW w:w="40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External research and development expense - Zolucatetide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13,145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13,094</w:t>
            </w:r>
          </w:p>
        </w:tc>
      </w:tr>
      <w:tr>
        <w:trPr>
          <w:trHeight w:val="168"/>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External research and development expense - ß-Catenin Degrader</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416</w:t>
            </w:r>
          </w:p>
        </w:tc>
      </w:tr>
      <w:tr>
        <w:trPr>
          <w:trHeight w:val="168"/>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External research and development expense - ERG</w:t>
            </w:r>
          </w:p>
        </w:tc>
        <w:tc>
          <w:tcPr>
            <w:tcW w:w="14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2,912</w:t>
            </w:r>
          </w:p>
        </w:tc>
      </w:tr>
      <w:tr>
        <w:trPr>
          <w:trHeight w:val="168"/>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4"/>
                <w:szCs w:val="14"/>
                <w:color w:val="auto"/>
              </w:rPr>
              <w:t>External research and development expense - AR</w:t>
            </w:r>
            <w:r>
              <w:rPr>
                <w:rFonts w:ascii="Times New Roman" w:cs="Times New Roman" w:eastAsia="Times New Roman" w:hAnsi="Times New Roman"/>
                <w:sz w:val="18"/>
                <w:szCs w:val="18"/>
                <w:color w:val="auto"/>
                <w:vertAlign w:val="superscript"/>
              </w:rPr>
              <w:t>ON</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1,406</w:t>
            </w:r>
          </w:p>
        </w:tc>
      </w:tr>
      <w:tr>
        <w:trPr>
          <w:trHeight w:val="153"/>
        </w:trPr>
        <w:tc>
          <w:tcPr>
            <w:tcW w:w="20" w:type="dxa"/>
            <w:vAlign w:val="bottom"/>
          </w:tcPr>
          <w:p>
            <w:pPr>
              <w:spacing w:after="0"/>
              <w:rPr>
                <w:sz w:val="13"/>
                <w:szCs w:val="13"/>
                <w:color w:val="auto"/>
              </w:rPr>
            </w:pPr>
          </w:p>
        </w:tc>
        <w:tc>
          <w:tcPr>
            <w:tcW w:w="40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External research and development expense - Early discovery and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programs</w:t>
            </w:r>
          </w:p>
        </w:tc>
        <w:tc>
          <w:tcPr>
            <w:tcW w:w="14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994</w:t>
            </w:r>
          </w:p>
        </w:tc>
      </w:tr>
      <w:tr>
        <w:trPr>
          <w:trHeight w:val="168"/>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6,572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7,650</w:t>
            </w:r>
          </w:p>
        </w:tc>
      </w:tr>
      <w:tr>
        <w:trPr>
          <w:trHeight w:val="153"/>
        </w:trPr>
        <w:tc>
          <w:tcPr>
            <w:tcW w:w="20" w:type="dxa"/>
            <w:vAlign w:val="bottom"/>
          </w:tcPr>
          <w:p>
            <w:pPr>
              <w:spacing w:after="0"/>
              <w:rPr>
                <w:sz w:val="13"/>
                <w:szCs w:val="13"/>
                <w:color w:val="auto"/>
              </w:rPr>
            </w:pPr>
          </w:p>
        </w:tc>
        <w:tc>
          <w:tcPr>
            <w:tcW w:w="40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Personnel-related research and development expenses (excluding</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10,232</w:t>
            </w:r>
          </w:p>
        </w:tc>
      </w:tr>
      <w:tr>
        <w:trPr>
          <w:trHeight w:val="154"/>
        </w:trPr>
        <w:tc>
          <w:tcPr>
            <w:tcW w:w="20" w:type="dxa"/>
            <w:vAlign w:val="bottom"/>
          </w:tcPr>
          <w:p>
            <w:pPr>
              <w:spacing w:after="0"/>
              <w:rPr>
                <w:sz w:val="13"/>
                <w:szCs w:val="13"/>
                <w:color w:val="auto"/>
              </w:rPr>
            </w:pPr>
          </w:p>
        </w:tc>
        <w:tc>
          <w:tcPr>
            <w:tcW w:w="4020" w:type="dxa"/>
            <w:vAlign w:val="bottom"/>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Personnel-related general and administrative expenses (excluding</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3,109</w:t>
            </w:r>
          </w:p>
        </w:tc>
      </w:tr>
      <w:tr>
        <w:trPr>
          <w:trHeight w:val="168"/>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4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5,730</w:t>
            </w:r>
          </w:p>
        </w:tc>
      </w:tr>
      <w:tr>
        <w:trPr>
          <w:trHeight w:val="168"/>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606</w:t>
            </w:r>
          </w:p>
        </w:tc>
      </w:tr>
      <w:tr>
        <w:trPr>
          <w:trHeight w:val="168"/>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1,304</w:t>
            </w:r>
          </w:p>
        </w:tc>
      </w:tr>
      <w:tr>
        <w:trPr>
          <w:trHeight w:val="168"/>
        </w:trPr>
        <w:tc>
          <w:tcPr>
            <w:tcW w:w="20" w:type="dxa"/>
            <w:vAlign w:val="bottom"/>
          </w:tcPr>
          <w:p>
            <w:pPr>
              <w:spacing w:after="0"/>
              <w:rPr>
                <w:sz w:val="14"/>
                <w:szCs w:val="14"/>
                <w:color w:val="auto"/>
              </w:rPr>
            </w:pPr>
          </w:p>
        </w:tc>
        <w:tc>
          <w:tcPr>
            <w:tcW w:w="402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(1)</w:t>
            </w: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w:t>
            </w:r>
          </w:p>
        </w:tc>
      </w:tr>
      <w:tr>
        <w:trPr>
          <w:trHeight w:val="159"/>
        </w:trPr>
        <w:tc>
          <w:tcPr>
            <w:tcW w:w="20" w:type="dxa"/>
            <w:vAlign w:val="bottom"/>
          </w:tcPr>
          <w:p>
            <w:pPr>
              <w:spacing w:after="0"/>
              <w:rPr>
                <w:sz w:val="13"/>
                <w:szCs w:val="13"/>
                <w:color w:val="auto"/>
              </w:rPr>
            </w:pPr>
          </w:p>
        </w:tc>
        <w:tc>
          <w:tcPr>
            <w:tcW w:w="40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Consolidated net loss</w:t>
            </w:r>
          </w:p>
        </w:tc>
        <w:tc>
          <w:tcPr>
            <w:tcW w:w="1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2"/>
              <w:spacing w:after="0" w:line="159" w:lineRule="exact"/>
              <w:rPr>
                <w:sz w:val="20"/>
                <w:szCs w:val="20"/>
                <w:color w:val="auto"/>
              </w:rPr>
            </w:pPr>
            <w:r>
              <w:rPr>
                <w:rFonts w:ascii="Times New Roman" w:cs="Times New Roman" w:eastAsia="Times New Roman" w:hAnsi="Times New Roman"/>
                <w:sz w:val="14"/>
                <w:szCs w:val="14"/>
                <w:color w:val="auto"/>
              </w:rPr>
              <w:t>38,326</w:t>
            </w:r>
          </w:p>
        </w:tc>
        <w:tc>
          <w:tcPr>
            <w:tcW w:w="30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45,316</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-132715</wp:posOffset>
            </wp:positionV>
            <wp:extent cx="6032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6985"/>
                    </a:xfrm>
                    <a:prstGeom prst="rect">
                      <a:avLst/>
                    </a:prstGeom>
                    <a:noFill/>
                  </pic:spPr>
                </pic:pic>
              </a:graphicData>
            </a:graphic>
          </wp:anchor>
        </w:drawing>
      </w:r>
    </w:p>
    <w:p>
      <w:pPr>
        <w:spacing w:after="0" w:line="1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2" w:lineRule="exact"/>
        <w:rPr>
          <w:sz w:val="20"/>
          <w:szCs w:val="20"/>
          <w:color w:val="auto"/>
        </w:rPr>
      </w:pPr>
    </w:p>
    <w:p>
      <w:pPr>
        <w:ind w:left="1780" w:hanging="253"/>
        <w:spacing w:after="0"/>
        <w:tabs>
          <w:tab w:leader="none" w:pos="178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interest income, interest expense and sublease income – related party.</w:t>
      </w:r>
    </w:p>
    <w:p>
      <w:pPr>
        <w:spacing w:after="0" w:line="242" w:lineRule="exact"/>
        <w:rPr>
          <w:rFonts w:ascii="Times New Roman" w:cs="Times New Roman" w:eastAsia="Times New Roman" w:hAnsi="Times New Roman"/>
          <w:sz w:val="14"/>
          <w:szCs w:val="14"/>
          <w:color w:val="auto"/>
        </w:rPr>
      </w:pPr>
    </w:p>
    <w:p>
      <w:pPr>
        <w:ind w:left="920" w:hanging="200"/>
        <w:spacing w:after="0"/>
        <w:tabs>
          <w:tab w:leader="none" w:pos="9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93" w:lineRule="exact"/>
        <w:rPr>
          <w:sz w:val="20"/>
          <w:szCs w:val="20"/>
          <w:color w:val="auto"/>
        </w:rPr>
      </w:pPr>
    </w:p>
    <w:p>
      <w:pPr>
        <w:ind w:left="720" w:right="979" w:firstLine="343"/>
        <w:spacing w:after="0" w:line="267" w:lineRule="auto"/>
        <w:rPr>
          <w:sz w:val="20"/>
          <w:szCs w:val="20"/>
          <w:color w:val="auto"/>
        </w:rPr>
      </w:pPr>
      <w:r>
        <w:rPr>
          <w:rFonts w:ascii="Times New Roman" w:cs="Times New Roman" w:eastAsia="Times New Roman" w:hAnsi="Times New Roman"/>
          <w:sz w:val="14"/>
          <w:szCs w:val="14"/>
          <w:color w:val="auto"/>
        </w:rPr>
        <w:t>The Company has evaluated subsequent events through May 19, 2026, the date these condensed consolidated financial statements were available to be issued and has concluded that no events or transactions have occurred that require disclosure in the accompanying condensed consolidated financial statements, except as follows: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ARTBIO Collaboration</w:t>
      </w:r>
    </w:p>
    <w:p>
      <w:pPr>
        <w:spacing w:after="0" w:line="93" w:lineRule="exact"/>
        <w:rPr>
          <w:sz w:val="20"/>
          <w:szCs w:val="20"/>
          <w:color w:val="auto"/>
        </w:rPr>
      </w:pPr>
    </w:p>
    <w:p>
      <w:pPr>
        <w:ind w:left="720" w:right="9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On April 16, 2026, ARTBIO sent notice of its intent to opt out of all the research programs under the research collaboration agreement described in Note 12, </w:t>
      </w:r>
      <w:r>
        <w:rPr>
          <w:rFonts w:ascii="Times New Roman" w:cs="Times New Roman" w:eastAsia="Times New Roman" w:hAnsi="Times New Roman"/>
          <w:sz w:val="14"/>
          <w:szCs w:val="14"/>
          <w:i w:val="1"/>
          <w:iCs w:val="1"/>
          <w:color w:val="auto"/>
        </w:rPr>
        <w:t>Collaboration Agreement</w:t>
      </w:r>
      <w:r>
        <w:rPr>
          <w:rFonts w:ascii="Times New Roman" w:cs="Times New Roman" w:eastAsia="Times New Roman" w:hAnsi="Times New Roman"/>
          <w:sz w:val="14"/>
          <w:szCs w:val="14"/>
          <w:color w:val="auto"/>
        </w:rPr>
        <w:t>. No eligible costs were incurred by the Company or ARTBIO during the three months ended March 31, 2026.</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Grants of Stock Options</w:t>
      </w:r>
    </w:p>
    <w:p>
      <w:pPr>
        <w:spacing w:after="0" w:line="93" w:lineRule="exact"/>
        <w:rPr>
          <w:sz w:val="20"/>
          <w:szCs w:val="20"/>
          <w:color w:val="auto"/>
        </w:rPr>
      </w:pPr>
    </w:p>
    <w:p>
      <w:pPr>
        <w:ind w:left="720" w:right="739" w:firstLine="343"/>
        <w:spacing w:after="0" w:line="283" w:lineRule="auto"/>
        <w:rPr>
          <w:sz w:val="20"/>
          <w:szCs w:val="20"/>
          <w:color w:val="auto"/>
        </w:rPr>
      </w:pPr>
      <w:r>
        <w:rPr>
          <w:rFonts w:ascii="Times New Roman" w:cs="Times New Roman" w:eastAsia="Times New Roman" w:hAnsi="Times New Roman"/>
          <w:sz w:val="14"/>
          <w:szCs w:val="14"/>
          <w:color w:val="auto"/>
        </w:rPr>
        <w:t>In April 2026, the Company granted stock options to purchase an aggregate of 1,808,100 shares of common stock, at an exercise price of $2.66 per share. The stock options are expected to vest over a four-year period.</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License and Collaboration Agreement with Regeneron</w:t>
      </w:r>
    </w:p>
    <w:p>
      <w:pPr>
        <w:spacing w:after="0" w:line="93" w:lineRule="exact"/>
        <w:rPr>
          <w:sz w:val="20"/>
          <w:szCs w:val="20"/>
          <w:color w:val="auto"/>
        </w:rPr>
      </w:pPr>
    </w:p>
    <w:p>
      <w:pPr>
        <w:ind w:left="720" w:right="1059" w:firstLine="343"/>
        <w:spacing w:after="0" w:line="267" w:lineRule="auto"/>
        <w:rPr>
          <w:sz w:val="20"/>
          <w:szCs w:val="20"/>
          <w:color w:val="auto"/>
        </w:rPr>
      </w:pPr>
      <w:r>
        <w:rPr>
          <w:rFonts w:ascii="Times New Roman" w:cs="Times New Roman" w:eastAsia="Times New Roman" w:hAnsi="Times New Roman"/>
          <w:sz w:val="14"/>
          <w:szCs w:val="14"/>
          <w:color w:val="auto"/>
        </w:rPr>
        <w:t>On May 15, 2026, the Company entered into the Regeneron Agreement with Regeneron to discover, develop, and commercialize Helicons, with a particular focus on Antibody-Helicon Conjugates (“AHCs”), directed to a set of specified targets (each, a “Collaboration Target”).</w:t>
      </w:r>
    </w:p>
    <w:p>
      <w:pPr>
        <w:spacing w:after="0" w:line="51" w:lineRule="exact"/>
        <w:rPr>
          <w:sz w:val="20"/>
          <w:szCs w:val="20"/>
          <w:color w:val="auto"/>
        </w:rPr>
      </w:pPr>
    </w:p>
    <w:p>
      <w:pPr>
        <w:ind w:left="720" w:right="739" w:firstLine="343"/>
        <w:spacing w:after="0" w:line="258" w:lineRule="auto"/>
        <w:rPr>
          <w:sz w:val="20"/>
          <w:szCs w:val="20"/>
          <w:color w:val="auto"/>
        </w:rPr>
      </w:pPr>
      <w:r>
        <w:rPr>
          <w:rFonts w:ascii="Times New Roman" w:cs="Times New Roman" w:eastAsia="Times New Roman" w:hAnsi="Times New Roman"/>
          <w:sz w:val="14"/>
          <w:szCs w:val="14"/>
          <w:color w:val="auto"/>
        </w:rPr>
        <w:t>Under the terms of the Regeneron Agreement and during the research term for each Collaboration Target, the Company will collaborate with Regeneron to perform certain research and preclinical development activities, including screening, generating, testing and evaluating new Helicons and AHCs directed to such Collaboration Target (each, a “Product”). Under the Regeneron Agreement, there are five initial Collaboration Targets, with Regeneron having the right to replace up to two targets and the option to nominate up to five additional Collaboration Targets, subject to an additional option payment from Regeneron. For one initial Collaboration Target,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9" w:name="page270"/>
    <w:bookmarkEnd w:id="269"/>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45" w:lineRule="exact"/>
        <w:rPr>
          <w:sz w:val="20"/>
          <w:szCs w:val="20"/>
          <w:color w:val="auto"/>
        </w:rPr>
      </w:pPr>
    </w:p>
    <w:p>
      <w:pPr>
        <w:ind w:left="720" w:right="1079"/>
        <w:spacing w:after="0" w:line="283" w:lineRule="auto"/>
        <w:rPr>
          <w:sz w:val="20"/>
          <w:szCs w:val="20"/>
          <w:color w:val="auto"/>
        </w:rPr>
      </w:pPr>
      <w:r>
        <w:rPr>
          <w:rFonts w:ascii="Times New Roman" w:cs="Times New Roman" w:eastAsia="Times New Roman" w:hAnsi="Times New Roman"/>
          <w:sz w:val="14"/>
          <w:szCs w:val="14"/>
          <w:color w:val="auto"/>
        </w:rPr>
        <w:t>Regeneron may add one or more additional programs with respect to such Collaboration Target, subject to payment of additional program fees.</w:t>
      </w:r>
    </w:p>
    <w:p>
      <w:pPr>
        <w:spacing w:after="0" w:line="41" w:lineRule="exact"/>
        <w:rPr>
          <w:sz w:val="20"/>
          <w:szCs w:val="20"/>
          <w:color w:val="auto"/>
        </w:rPr>
      </w:pPr>
    </w:p>
    <w:p>
      <w:pPr>
        <w:ind w:left="720" w:right="1039" w:firstLine="343"/>
        <w:spacing w:after="0" w:line="261" w:lineRule="auto"/>
        <w:rPr>
          <w:sz w:val="20"/>
          <w:szCs w:val="20"/>
          <w:color w:val="auto"/>
        </w:rPr>
      </w:pPr>
      <w:r>
        <w:rPr>
          <w:rFonts w:ascii="Times New Roman" w:cs="Times New Roman" w:eastAsia="Times New Roman" w:hAnsi="Times New Roman"/>
          <w:sz w:val="14"/>
          <w:szCs w:val="14"/>
          <w:color w:val="auto"/>
        </w:rPr>
        <w:t>Following Regeneron’s nomination of a Product to be a “Licensed Product” during the research term for the applicable Collaboration Target (including additional Collaboration Targets), Regeneron has the sole right to advance through development, manufacturing and worldwide commercialization of Licensed Products, including clinical and regulatory strategy, pricing, and promotion.</w:t>
      </w:r>
    </w:p>
    <w:p>
      <w:pPr>
        <w:spacing w:after="0" w:line="51" w:lineRule="exact"/>
        <w:rPr>
          <w:sz w:val="20"/>
          <w:szCs w:val="20"/>
          <w:color w:val="auto"/>
        </w:rPr>
      </w:pPr>
    </w:p>
    <w:p>
      <w:pPr>
        <w:ind w:left="720" w:right="7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Under the terms </w:t>
      </w:r>
      <w:r>
        <w:rPr>
          <w:rFonts w:ascii="Times New Roman" w:cs="Times New Roman" w:eastAsia="Times New Roman" w:hAnsi="Times New Roman"/>
          <w:sz w:val="16"/>
          <w:szCs w:val="16"/>
          <w:color w:val="auto"/>
        </w:rPr>
        <w:t>of</w:t>
      </w:r>
      <w:r>
        <w:rPr>
          <w:rFonts w:ascii="Times New Roman" w:cs="Times New Roman" w:eastAsia="Times New Roman" w:hAnsi="Times New Roman"/>
          <w:sz w:val="14"/>
          <w:szCs w:val="14"/>
          <w:color w:val="auto"/>
        </w:rPr>
        <w:t xml:space="preserve"> the Regeneron Agreement, Regeneron has agreed to make a $50.0 million upfront payment and invest $75.0 million in the Company's next equity financing, subject to certain conditions, which includes a private placement of common stock concurrent with the Company’s IPO at a price per share equal to 90% of the IPO price per share. For the initial Collaboration Targets, the Company is eligible to receive: (i) up to $470.0 million in development milestone payments; (ii) up to $575.0 million in regulatory milestone payments; (iii) up to $1.15 billion in commercial milestone payments; and (iv) tiered royalty payments, ranging in the high single digits to low double digits during the period commencing upon the first commercial sale of such Licensed Product in a given country and expiring on the latest of: (a) expiration of the last valid claim of a royalty term-extending patent right of such Licensed Product in such country, (b) 12 years after the first commercial sale of such Licensed Product in such country, and (c) loss of regulatory exclusivity for such Licensed Product in such country, subject to customary reductions.</w:t>
      </w:r>
    </w:p>
    <w:p>
      <w:pPr>
        <w:spacing w:after="0" w:line="61" w:lineRule="exact"/>
        <w:rPr>
          <w:sz w:val="20"/>
          <w:szCs w:val="20"/>
          <w:color w:val="auto"/>
        </w:rPr>
      </w:pPr>
    </w:p>
    <w:p>
      <w:pPr>
        <w:ind w:left="720" w:right="759" w:firstLine="343"/>
        <w:spacing w:after="0" w:line="261" w:lineRule="auto"/>
        <w:rPr>
          <w:sz w:val="20"/>
          <w:szCs w:val="20"/>
          <w:color w:val="auto"/>
        </w:rPr>
      </w:pPr>
      <w:r>
        <w:rPr>
          <w:rFonts w:ascii="Times New Roman" w:cs="Times New Roman" w:eastAsia="Times New Roman" w:hAnsi="Times New Roman"/>
          <w:sz w:val="14"/>
          <w:szCs w:val="14"/>
          <w:color w:val="auto"/>
        </w:rPr>
        <w:t>Under the terms of the Regeneron Agreement, the Company is subject to an exclusivity obligation for each Collaboration Target until the last to expire royalty term for Licensed Products directed to such Collaboration Target. Unless earlier terminated pursuant to its terms, the Regeneron Agreement will remain in effect until the expiration of the last royalty term for the last Licensed Product under the Regeneron Agreement.</w:t>
      </w:r>
    </w:p>
    <w:p>
      <w:pPr>
        <w:spacing w:after="0" w:line="57" w:lineRule="exact"/>
        <w:rPr>
          <w:sz w:val="20"/>
          <w:szCs w:val="20"/>
          <w:color w:val="auto"/>
        </w:rPr>
      </w:pPr>
    </w:p>
    <w:p>
      <w:pPr>
        <w:ind w:left="720" w:right="999" w:firstLine="343"/>
        <w:spacing w:after="0" w:line="283" w:lineRule="auto"/>
        <w:rPr>
          <w:sz w:val="20"/>
          <w:szCs w:val="20"/>
          <w:color w:val="auto"/>
        </w:rPr>
      </w:pPr>
      <w:r>
        <w:rPr>
          <w:rFonts w:ascii="Times New Roman" w:cs="Times New Roman" w:eastAsia="Times New Roman" w:hAnsi="Times New Roman"/>
          <w:sz w:val="14"/>
          <w:szCs w:val="14"/>
          <w:color w:val="auto"/>
        </w:rPr>
        <w:t>Regeneron has the right to terminate the Regeneron Agreement for convenience and for certain violations of the Company’s exclusivity covenants.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0" w:name="page271"/>
    <w:bookmarkEnd w:id="270"/>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448945</wp:posOffset>
            </wp:positionV>
            <wp:extent cx="4806315"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806315" cy="2032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522605</wp:posOffset>
            </wp:positionV>
            <wp:extent cx="480631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8063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325755</wp:posOffset>
            </wp:positionV>
            <wp:extent cx="1809115" cy="8210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809115"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308610</wp:posOffset>
            </wp:positionV>
            <wp:extent cx="96139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tabs>
          <w:tab w:leader="none" w:pos="2300" w:val="left"/>
          <w:tab w:leader="none" w:pos="3700" w:val="left"/>
          <w:tab w:leader="none" w:pos="4880" w:val="left"/>
          <w:tab w:leader="none" w:pos="6920" w:val="left"/>
        </w:tabs>
        <w:rPr>
          <w:sz w:val="20"/>
          <w:szCs w:val="20"/>
          <w:color w:val="auto"/>
        </w:rPr>
      </w:pPr>
      <w:r>
        <w:rPr>
          <w:rFonts w:ascii="Times New Roman" w:cs="Times New Roman" w:eastAsia="Times New Roman" w:hAnsi="Times New Roman"/>
          <w:sz w:val="17"/>
          <w:szCs w:val="17"/>
          <w:b w:val="1"/>
          <w:bCs w:val="1"/>
          <w:color w:val="auto"/>
        </w:rPr>
        <w:t>Leerink Partners</w:t>
      </w:r>
      <w:r>
        <w:rPr>
          <w:sz w:val="20"/>
          <w:szCs w:val="20"/>
          <w:color w:val="auto"/>
        </w:rPr>
        <w:tab/>
      </w:r>
      <w:r>
        <w:rPr>
          <w:rFonts w:ascii="Times New Roman" w:cs="Times New Roman" w:eastAsia="Times New Roman" w:hAnsi="Times New Roman"/>
          <w:sz w:val="17"/>
          <w:szCs w:val="17"/>
          <w:b w:val="1"/>
          <w:bCs w:val="1"/>
          <w:color w:val="auto"/>
        </w:rPr>
        <w:t>BofA Securities</w:t>
      </w:r>
      <w:r>
        <w:rPr>
          <w:sz w:val="20"/>
          <w:szCs w:val="20"/>
          <w:color w:val="auto"/>
        </w:rPr>
        <w:tab/>
      </w:r>
      <w:r>
        <w:rPr>
          <w:rFonts w:ascii="Times New Roman" w:cs="Times New Roman" w:eastAsia="Times New Roman" w:hAnsi="Times New Roman"/>
          <w:sz w:val="17"/>
          <w:szCs w:val="17"/>
          <w:b w:val="1"/>
          <w:bCs w:val="1"/>
          <w:color w:val="auto"/>
        </w:rPr>
        <w:t>Evercore ISI</w:t>
        <w:tab/>
        <w:t>Guggenheim Securities</w:t>
      </w:r>
      <w:r>
        <w:rPr>
          <w:sz w:val="20"/>
          <w:szCs w:val="20"/>
          <w:color w:val="auto"/>
        </w:rPr>
        <w:tab/>
      </w:r>
      <w:r>
        <w:rPr>
          <w:rFonts w:ascii="Times New Roman" w:cs="Times New Roman" w:eastAsia="Times New Roman" w:hAnsi="Times New Roman"/>
          <w:sz w:val="16"/>
          <w:szCs w:val="16"/>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191770</wp:posOffset>
            </wp:positionV>
            <wp:extent cx="96139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 w:right="8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Through and including         ,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1253490</wp:posOffset>
            </wp:positionV>
            <wp:extent cx="548576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552450</wp:posOffset>
            </wp:positionV>
            <wp:extent cx="480631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806315" cy="698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612140</wp:posOffset>
            </wp:positionV>
            <wp:extent cx="4806315" cy="203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806315" cy="203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1" w:name="page272"/>
    <w:bookmarkEnd w:id="271"/>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3" w:lineRule="exact"/>
        <w:rPr>
          <w:sz w:val="20"/>
          <w:szCs w:val="20"/>
          <w:color w:val="auto"/>
        </w:rPr>
      </w:pPr>
    </w:p>
    <w:p>
      <w:pPr>
        <w:jc w:val="both"/>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13,810</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15,500</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Nasdaq Global Market listing fee</w:t>
            </w: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mailing expenses</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160" w:type="dxa"/>
            <w:vAlign w:val="bottom"/>
            <w:gridSpan w:val="2"/>
            <w:shd w:val="clear" w:color="auto" w:fill="CFF0FC"/>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77"/>
        </w:trPr>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60" w:type="dxa"/>
            <w:vAlign w:val="bottom"/>
            <w:tcBorders>
              <w:top w:val="single" w:sz="8" w:color="CFF0FC"/>
            </w:tcBorders>
          </w:tcPr>
          <w:p>
            <w:pPr>
              <w:spacing w:after="0"/>
              <w:rPr>
                <w:sz w:val="6"/>
                <w:szCs w:val="6"/>
                <w:color w:val="auto"/>
              </w:rPr>
            </w:pPr>
          </w:p>
        </w:tc>
        <w:tc>
          <w:tcPr>
            <w:tcW w:w="860" w:type="dxa"/>
            <w:vAlign w:val="bottom"/>
            <w:tcBorders>
              <w:top w:val="single" w:sz="8" w:color="CFF0FC"/>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r>
      <w:tr>
        <w:trPr>
          <w:trHeight w:val="201"/>
        </w:trPr>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44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 be provided by amendment.</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3" w:lineRule="exact"/>
        <w:rPr>
          <w:sz w:val="20"/>
          <w:szCs w:val="20"/>
          <w:color w:val="auto"/>
        </w:rPr>
      </w:pPr>
    </w:p>
    <w:p>
      <w:pPr>
        <w:ind w:left="720" w:right="739" w:firstLine="343"/>
        <w:spacing w:after="0" w:line="276" w:lineRule="auto"/>
        <w:rPr>
          <w:sz w:val="20"/>
          <w:szCs w:val="20"/>
          <w:color w:val="auto"/>
        </w:rPr>
      </w:pPr>
      <w:r>
        <w:rPr>
          <w:rFonts w:ascii="Times New Roman" w:cs="Times New Roman" w:eastAsia="Times New Roman" w:hAnsi="Times New Roman"/>
          <w:sz w:val="13"/>
          <w:szCs w:val="13"/>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35" w:lineRule="exact"/>
        <w:rPr>
          <w:sz w:val="20"/>
          <w:szCs w:val="20"/>
          <w:color w:val="auto"/>
        </w:rPr>
      </w:pPr>
    </w:p>
    <w:p>
      <w:pPr>
        <w:ind w:left="720" w:right="819" w:firstLine="343"/>
        <w:spacing w:after="0" w:line="258" w:lineRule="auto"/>
        <w:rPr>
          <w:sz w:val="20"/>
          <w:szCs w:val="20"/>
          <w:color w:val="auto"/>
        </w:rPr>
      </w:pPr>
      <w:r>
        <w:rPr>
          <w:rFonts w:ascii="Times New Roman" w:cs="Times New Roman" w:eastAsia="Times New Roman" w:hAnsi="Times New Roman"/>
          <w:sz w:val="14"/>
          <w:szCs w:val="14"/>
          <w:color w:val="auto"/>
        </w:rPr>
        <w:t>We will adopt provisions in our seventh amended and restated certificate of incorporation, which will become effective immediately prior to the closing of this offering,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p>
    <w:p>
      <w:pPr>
        <w:spacing w:after="0" w:line="60" w:lineRule="exact"/>
        <w:rPr>
          <w:sz w:val="20"/>
          <w:szCs w:val="20"/>
          <w:color w:val="auto"/>
        </w:rPr>
      </w:pPr>
    </w:p>
    <w:p>
      <w:pPr>
        <w:ind w:left="1480" w:hanging="246"/>
        <w:spacing w:after="0"/>
        <w:tabs>
          <w:tab w:leader="none" w:pos="14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us or our stockholders;</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91" w:lineRule="exact"/>
        <w:rPr>
          <w:rFonts w:ascii="Times New Roman" w:cs="Times New Roman" w:eastAsia="Times New Roman" w:hAnsi="Times New Roman"/>
          <w:sz w:val="14"/>
          <w:szCs w:val="14"/>
          <w:color w:val="auto"/>
        </w:rPr>
      </w:pPr>
    </w:p>
    <w:p>
      <w:pPr>
        <w:ind w:left="1480" w:right="1259" w:hanging="246"/>
        <w:spacing w:after="0" w:line="283" w:lineRule="auto"/>
        <w:tabs>
          <w:tab w:leader="none" w:pos="14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any unlawful payments related to dividends or unlawful stock purchases, redemptions or other distributions;</w:t>
      </w:r>
    </w:p>
    <w:p>
      <w:pPr>
        <w:spacing w:after="0" w:line="40"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they derived an improper personal benefit; or</w:t>
      </w:r>
    </w:p>
    <w:p>
      <w:pPr>
        <w:spacing w:after="0" w:line="91" w:lineRule="exact"/>
        <w:rPr>
          <w:rFonts w:ascii="Times New Roman" w:cs="Times New Roman" w:eastAsia="Times New Roman" w:hAnsi="Times New Roman"/>
          <w:sz w:val="14"/>
          <w:szCs w:val="14"/>
          <w:color w:val="auto"/>
        </w:rPr>
      </w:pPr>
    </w:p>
    <w:p>
      <w:pPr>
        <w:ind w:left="1480" w:hanging="246"/>
        <w:spacing w:after="0"/>
        <w:tabs>
          <w:tab w:leader="none" w:pos="14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w:t>
      </w:r>
    </w:p>
    <w:p>
      <w:pPr>
        <w:spacing w:after="0" w:line="175" w:lineRule="exact"/>
        <w:rPr>
          <w:sz w:val="20"/>
          <w:szCs w:val="20"/>
          <w:color w:val="auto"/>
        </w:rPr>
      </w:pPr>
    </w:p>
    <w:p>
      <w:pPr>
        <w:ind w:left="720" w:right="1079" w:firstLine="343"/>
        <w:spacing w:after="0" w:line="283" w:lineRule="auto"/>
        <w:rPr>
          <w:sz w:val="20"/>
          <w:szCs w:val="20"/>
          <w:color w:val="auto"/>
        </w:rPr>
      </w:pPr>
      <w:r>
        <w:rPr>
          <w:rFonts w:ascii="Times New Roman" w:cs="Times New Roman" w:eastAsia="Times New Roman" w:hAnsi="Times New Roman"/>
          <w:sz w:val="14"/>
          <w:szCs w:val="14"/>
          <w:color w:val="auto"/>
        </w:rPr>
        <w:t>These limitations of liability do not alter director and officer liability under the federal securities laws and do not affect the availability of equitable remedies such as an injunction or rescission.</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In addition, our amended and restated bylaws will provide that:</w:t>
      </w:r>
    </w:p>
    <w:p>
      <w:pPr>
        <w:spacing w:after="0" w:line="91" w:lineRule="exact"/>
        <w:rPr>
          <w:sz w:val="20"/>
          <w:szCs w:val="20"/>
          <w:color w:val="auto"/>
        </w:rPr>
      </w:pPr>
    </w:p>
    <w:p>
      <w:pPr>
        <w:ind w:left="1480" w:right="819" w:hanging="246"/>
        <w:spacing w:after="0" w:line="283" w:lineRule="auto"/>
        <w:tabs>
          <w:tab w:leader="none" w:pos="14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40" w:lineRule="exact"/>
        <w:rPr>
          <w:rFonts w:ascii="Times New Roman" w:cs="Times New Roman" w:eastAsia="Times New Roman" w:hAnsi="Times New Roman"/>
          <w:sz w:val="14"/>
          <w:szCs w:val="14"/>
          <w:color w:val="auto"/>
        </w:rPr>
      </w:pPr>
    </w:p>
    <w:p>
      <w:pPr>
        <w:ind w:left="1480" w:right="899" w:hanging="246"/>
        <w:spacing w:after="0" w:line="267" w:lineRule="auto"/>
        <w:tabs>
          <w:tab w:leader="none" w:pos="14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2" w:name="page273"/>
    <w:bookmarkEnd w:id="272"/>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right="779" w:firstLine="343"/>
        <w:spacing w:after="0" w:line="25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44" w:lineRule="exact"/>
        <w:rPr>
          <w:sz w:val="20"/>
          <w:szCs w:val="20"/>
          <w:color w:val="auto"/>
        </w:rPr>
      </w:pPr>
    </w:p>
    <w:p>
      <w:pPr>
        <w:ind w:left="720" w:right="759" w:firstLine="343"/>
        <w:spacing w:after="0" w:line="267" w:lineRule="auto"/>
        <w:rPr>
          <w:sz w:val="20"/>
          <w:szCs w:val="20"/>
          <w:color w:val="auto"/>
        </w:rPr>
      </w:pPr>
      <w:r>
        <w:rPr>
          <w:rFonts w:ascii="Times New Roman" w:cs="Times New Roman" w:eastAsia="Times New Roman" w:hAnsi="Times New Roman"/>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(“Securities Act”).</w:t>
      </w:r>
    </w:p>
    <w:p>
      <w:pPr>
        <w:spacing w:after="0" w:line="136" w:lineRule="exact"/>
        <w:rPr>
          <w:sz w:val="20"/>
          <w:szCs w:val="20"/>
          <w:color w:val="auto"/>
        </w:rPr>
      </w:pPr>
    </w:p>
    <w:p>
      <w:pPr>
        <w:ind w:left="720" w:right="819" w:firstLine="343"/>
        <w:spacing w:after="0" w:line="267" w:lineRule="auto"/>
        <w:rPr>
          <w:sz w:val="20"/>
          <w:szCs w:val="20"/>
          <w:color w:val="auto"/>
        </w:rPr>
      </w:pPr>
      <w:r>
        <w:rPr>
          <w:rFonts w:ascii="Times New Roman" w:cs="Times New Roman" w:eastAsia="Times New Roman" w:hAnsi="Times New Roman"/>
          <w:sz w:val="14"/>
          <w:szCs w:val="14"/>
          <w:color w:val="auto"/>
        </w:rPr>
        <w:t>The underwriting agreement filed as Exhibit 1.1 to this registration statement provides for indemnification of the Company and our directors and officers by the underwriters against certain liabilities under the Securities Act and the Securities Exchange Act of 1934, as amended.</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Set forth below is information regarding securities we have issued within the past three years that were not registered under the Securities Act.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(a) Preferred Stock Issuances</w:t>
      </w:r>
    </w:p>
    <w:p>
      <w:pPr>
        <w:spacing w:after="0" w:line="93" w:lineRule="exact"/>
        <w:rPr>
          <w:sz w:val="20"/>
          <w:szCs w:val="20"/>
          <w:color w:val="auto"/>
        </w:rPr>
      </w:pPr>
    </w:p>
    <w:p>
      <w:pPr>
        <w:ind w:left="720" w:right="759" w:firstLine="343"/>
        <w:spacing w:after="0" w:line="283" w:lineRule="auto"/>
        <w:rPr>
          <w:sz w:val="20"/>
          <w:szCs w:val="20"/>
          <w:color w:val="auto"/>
        </w:rPr>
      </w:pPr>
      <w:r>
        <w:rPr>
          <w:rFonts w:ascii="Times New Roman" w:cs="Times New Roman" w:eastAsia="Times New Roman" w:hAnsi="Times New Roman"/>
          <w:sz w:val="14"/>
          <w:szCs w:val="14"/>
          <w:color w:val="auto"/>
        </w:rPr>
        <w:t>From February 2024 through January 2025, we sold an aggregate of 23,281,563 shares of Series E convertible preferred stock to accredited investors at a purchase price of $6.2281 per share, for an aggregate purchase price of approximately $145.0 million.</w:t>
      </w:r>
    </w:p>
    <w:p>
      <w:pPr>
        <w:spacing w:after="0" w:line="125" w:lineRule="exact"/>
        <w:rPr>
          <w:sz w:val="20"/>
          <w:szCs w:val="20"/>
          <w:color w:val="auto"/>
        </w:rPr>
      </w:pPr>
    </w:p>
    <w:p>
      <w:pPr>
        <w:ind w:left="720" w:right="919" w:firstLine="343"/>
        <w:spacing w:after="0" w:line="283" w:lineRule="auto"/>
        <w:rPr>
          <w:sz w:val="20"/>
          <w:szCs w:val="20"/>
          <w:color w:val="auto"/>
        </w:rPr>
      </w:pPr>
      <w:r>
        <w:rPr>
          <w:rFonts w:ascii="Times New Roman" w:cs="Times New Roman" w:eastAsia="Times New Roman" w:hAnsi="Times New Roman"/>
          <w:sz w:val="14"/>
          <w:szCs w:val="14"/>
          <w:color w:val="auto"/>
        </w:rPr>
        <w:t>In January 2026 we sold an aggregate of 49,518,175 shares of Series F convertible preferred stock to accredited investors at a purchase price of $6.1644 per share, for an aggregate purchase price of approximately $305.2 million.</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(b) Simple Agreement for Future Equity</w:t>
      </w:r>
    </w:p>
    <w:p>
      <w:pPr>
        <w:spacing w:after="0" w:line="93" w:lineRule="exact"/>
        <w:rPr>
          <w:sz w:val="20"/>
          <w:szCs w:val="20"/>
          <w:color w:val="auto"/>
        </w:rPr>
      </w:pPr>
    </w:p>
    <w:p>
      <w:pPr>
        <w:ind w:left="720" w:right="819" w:firstLine="343"/>
        <w:spacing w:after="0" w:line="283" w:lineRule="auto"/>
        <w:rPr>
          <w:sz w:val="20"/>
          <w:szCs w:val="20"/>
          <w:color w:val="auto"/>
        </w:rPr>
      </w:pPr>
      <w:r>
        <w:rPr>
          <w:rFonts w:ascii="Times New Roman" w:cs="Times New Roman" w:eastAsia="Times New Roman" w:hAnsi="Times New Roman"/>
          <w:sz w:val="14"/>
          <w:szCs w:val="14"/>
          <w:color w:val="auto"/>
        </w:rPr>
        <w:t>In March 2026, we received gross proceeds of $50.0 million from one investor pursuant to the issuance of a Simple Agreement for Future Equity.</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 Grants and exercises of stock options</w:t>
      </w:r>
    </w:p>
    <w:p>
      <w:pPr>
        <w:spacing w:after="0" w:line="93" w:lineRule="exact"/>
        <w:rPr>
          <w:sz w:val="20"/>
          <w:szCs w:val="20"/>
          <w:color w:val="auto"/>
        </w:rPr>
      </w:pPr>
    </w:p>
    <w:p>
      <w:pPr>
        <w:ind w:left="720" w:right="999" w:firstLine="343"/>
        <w:spacing w:after="0" w:line="267" w:lineRule="auto"/>
        <w:rPr>
          <w:sz w:val="20"/>
          <w:szCs w:val="20"/>
          <w:color w:val="auto"/>
        </w:rPr>
      </w:pPr>
      <w:r>
        <w:rPr>
          <w:rFonts w:ascii="Times New Roman" w:cs="Times New Roman" w:eastAsia="Times New Roman" w:hAnsi="Times New Roman"/>
          <w:sz w:val="14"/>
          <w:szCs w:val="14"/>
          <w:color w:val="auto"/>
        </w:rPr>
        <w:t>Since April 1, 2023, we have granted certain employees, consultants, and directors options to purchase an aggregate of 12,178,134 shares of our common stock under our 2016 Employee, Director and Consultant Equity Incentive Plan, as amended, at exercise prices ranging from $0.96 to $2.23 per share.</w:t>
      </w:r>
    </w:p>
    <w:p>
      <w:pPr>
        <w:spacing w:after="0" w:line="136" w:lineRule="exact"/>
        <w:rPr>
          <w:sz w:val="20"/>
          <w:szCs w:val="20"/>
          <w:color w:val="auto"/>
        </w:rPr>
      </w:pPr>
    </w:p>
    <w:p>
      <w:pPr>
        <w:jc w:val="both"/>
        <w:ind w:left="720" w:right="939" w:firstLine="343"/>
        <w:spacing w:after="0" w:line="283" w:lineRule="auto"/>
        <w:rPr>
          <w:sz w:val="20"/>
          <w:szCs w:val="20"/>
          <w:color w:val="auto"/>
        </w:rPr>
      </w:pPr>
      <w:r>
        <w:rPr>
          <w:rFonts w:ascii="Times New Roman" w:cs="Times New Roman" w:eastAsia="Times New Roman" w:hAnsi="Times New Roman"/>
          <w:sz w:val="14"/>
          <w:szCs w:val="14"/>
          <w:color w:val="auto"/>
        </w:rPr>
        <w:t>Since February 18, 2026, we have granted to certain employees and directors options to purchase an aggregate of 11,085,100 shares of our common stock under our 2026 Stock Option and Grant Plan, at exercise prices ranging from $2.04 to $2.66 per share.</w:t>
      </w:r>
    </w:p>
    <w:p>
      <w:pPr>
        <w:spacing w:after="0" w:line="125" w:lineRule="exact"/>
        <w:rPr>
          <w:sz w:val="20"/>
          <w:szCs w:val="20"/>
          <w:color w:val="auto"/>
        </w:rPr>
      </w:pPr>
    </w:p>
    <w:p>
      <w:pPr>
        <w:ind w:left="720" w:right="739" w:firstLine="343"/>
        <w:spacing w:after="0" w:line="255" w:lineRule="auto"/>
        <w:rPr>
          <w:sz w:val="20"/>
          <w:szCs w:val="20"/>
          <w:color w:val="auto"/>
        </w:rPr>
      </w:pPr>
      <w:r>
        <w:rPr>
          <w:rFonts w:ascii="Times New Roman" w:cs="Times New Roman" w:eastAsia="Times New Roman" w:hAnsi="Times New Roman"/>
          <w:sz w:val="14"/>
          <w:szCs w:val="14"/>
          <w:color w:val="auto"/>
        </w:rPr>
        <w:t>None of the foregoing transactions involved any underwriters, underwriting discounts or commissions, or any public offering. The offers, sales and issuances of the securities described above were deemed to be exempt from registration under Rule 701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The sales of these securities were made without any general solicitation or advertising.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3" w:name="page274"/>
    <w:bookmarkEnd w:id="273"/>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 Exhibits.</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gridSpan w:val="16"/>
          </w:tcPr>
          <w:p>
            <w:pPr>
              <w:ind w:left="10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22"/>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00"/>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Sixth Amended and Restated Certificate of Incorporation, as amended, as currently in effect</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Seventh Amended and Restated Certificate of Incorporation, to be in effect immediately prior to the closing of</w:t>
            </w:r>
          </w:p>
        </w:tc>
      </w:tr>
      <w:tr>
        <w:trPr>
          <w:trHeight w:val="183"/>
        </w:trPr>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this offering.</w:t>
            </w:r>
          </w:p>
        </w:tc>
      </w:tr>
      <w:tr>
        <w:trPr>
          <w:trHeight w:val="200"/>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Bylaws, as currently in effect</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Amended and Restated Bylaws, to be in effect as of the effectiveness of the registration statement of which this</w:t>
            </w:r>
          </w:p>
        </w:tc>
      </w:tr>
      <w:tr>
        <w:trPr>
          <w:trHeight w:val="183"/>
        </w:trPr>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prospectus forms a part.</w:t>
            </w:r>
          </w:p>
        </w:tc>
      </w:tr>
      <w:tr>
        <w:trPr>
          <w:trHeight w:val="231"/>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Specimen Common Stock Certificate.</w:t>
            </w:r>
          </w:p>
        </w:tc>
      </w:tr>
      <w:tr>
        <w:trPr>
          <w:trHeight w:val="200"/>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Sixth Amended and Restated Investors’ Rights Agreement, by and among the Registrant and certain of its stockholders,</w:t>
            </w:r>
          </w:p>
        </w:tc>
        <w:tc>
          <w:tcPr>
            <w:tcW w:w="20" w:type="dxa"/>
            <w:vAlign w:val="bottom"/>
          </w:tcPr>
          <w:p>
            <w:pPr>
              <w:spacing w:after="0"/>
              <w:rPr>
                <w:sz w:val="17"/>
                <w:szCs w:val="17"/>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dated as of January 6, 2026</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Warrant to Purchase Stock, by and between the Registrant and Silicon Valley Bank, dated September 21, 2021, as</w:t>
            </w:r>
          </w:p>
        </w:tc>
        <w:tc>
          <w:tcPr>
            <w:tcW w:w="320" w:type="dxa"/>
            <w:vAlign w:val="bottom"/>
            <w:gridSpan w:val="7"/>
          </w:tcPr>
          <w:p>
            <w:pPr>
              <w:spacing w:after="0"/>
              <w:rPr>
                <w:sz w:val="18"/>
                <w:szCs w:val="18"/>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amended by Amendment No. 1 to Warrant to Purchase Stock dated April 12, 2022</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Simple Agreement for Future Equity, by and between the Registrant and Explore Investments LLC, dated March 27,</w:t>
            </w:r>
          </w:p>
        </w:tc>
        <w:tc>
          <w:tcPr>
            <w:tcW w:w="180" w:type="dxa"/>
            <w:vAlign w:val="bottom"/>
            <w:gridSpan w:val="6"/>
          </w:tcPr>
          <w:p>
            <w:pPr>
              <w:spacing w:after="0"/>
              <w:rPr>
                <w:sz w:val="18"/>
                <w:szCs w:val="18"/>
                <w:color w:val="auto"/>
              </w:rPr>
            </w:pPr>
          </w:p>
        </w:tc>
      </w:tr>
      <w:tr>
        <w:trPr>
          <w:trHeight w:val="148"/>
        </w:trPr>
        <w:tc>
          <w:tcPr>
            <w:tcW w:w="60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0000FF"/>
              </w:rPr>
              <w:t>2026</w:t>
            </w:r>
            <w:r>
              <w:rPr>
                <w:rFonts w:ascii="Times New Roman" w:cs="Times New Roman" w:eastAsia="Times New Roman" w:hAnsi="Times New Roman"/>
                <w:sz w:val="14"/>
                <w:szCs w:val="14"/>
                <w:color w:val="000000"/>
              </w:rPr>
              <w:t>.</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3"/>
        </w:trPr>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Opinion of Goodwin Procter LLP.</w:t>
            </w:r>
          </w:p>
        </w:tc>
      </w:tr>
      <w:tr>
        <w:trPr>
          <w:trHeight w:val="20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2016 Employee, Director and Consultant Equity Incentive Plan, as amended, and forms of award agreements</w:t>
            </w:r>
          </w:p>
        </w:tc>
        <w:tc>
          <w:tcPr>
            <w:tcW w:w="600" w:type="dxa"/>
            <w:vAlign w:val="bottom"/>
            <w:gridSpan w:val="11"/>
          </w:tcPr>
          <w:p>
            <w:pPr>
              <w:spacing w:after="0"/>
              <w:rPr>
                <w:sz w:val="17"/>
                <w:szCs w:val="17"/>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thereunder</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2026 Stock Option and Grant Plan and forms of award agreements thereunder</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3"/>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Parabilis Medicines, Inc. 2026 Stock Option and Incentive Plan and forms of award agreements thereunder.</w:t>
            </w: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Parabilis Medicines, Inc. 2026 Employee Stock Purchase Plan.</w:t>
            </w: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Indemnification Agreement, by and between the Registrant and its directors and executive officers.</w:t>
            </w: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Senior Executive Cash Incentive Bonus Plan.</w:t>
            </w: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Non-Employee Director Compensation Policy.</w:t>
            </w: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Form of Executive Offer Letter.</w:t>
            </w:r>
          </w:p>
        </w:tc>
      </w:tr>
      <w:tr>
        <w:trPr>
          <w:trHeight w:val="20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License Agreement, by and between the Registrant and the President and Fellows of Harvard College, dated August 30,</w:t>
            </w:r>
          </w:p>
        </w:tc>
        <w:tc>
          <w:tcPr>
            <w:tcW w:w="20" w:type="dxa"/>
            <w:vAlign w:val="bottom"/>
          </w:tcPr>
          <w:p>
            <w:pPr>
              <w:spacing w:after="0"/>
              <w:rPr>
                <w:sz w:val="17"/>
                <w:szCs w:val="17"/>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20" w:type="dxa"/>
            <w:vAlign w:val="bottom"/>
            <w:tcBorders>
              <w:bottom w:val="single" w:sz="8" w:color="0000FF"/>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FF"/>
              </w:rPr>
              <w:t>2017, as amended by Amendment No. 1 to License Agreement dated January 12, 2018, as further amended by</w:t>
            </w:r>
          </w:p>
        </w:tc>
        <w:tc>
          <w:tcPr>
            <w:tcW w:w="540" w:type="dxa"/>
            <w:vAlign w:val="bottom"/>
            <w:gridSpan w:val="10"/>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20" w:type="dxa"/>
            <w:vAlign w:val="bottom"/>
            <w:tcBorders>
              <w:bottom w:val="single" w:sz="8" w:color="0000FF"/>
            </w:tcBorders>
            <w:gridSpan w:val="21"/>
          </w:tcPr>
          <w:p>
            <w:pPr>
              <w:spacing w:after="0" w:line="148" w:lineRule="exact"/>
              <w:rPr>
                <w:sz w:val="20"/>
                <w:szCs w:val="20"/>
                <w:color w:val="auto"/>
              </w:rPr>
            </w:pPr>
            <w:r>
              <w:rPr>
                <w:rFonts w:ascii="Times New Roman" w:cs="Times New Roman" w:eastAsia="Times New Roman" w:hAnsi="Times New Roman"/>
                <w:sz w:val="14"/>
                <w:szCs w:val="14"/>
                <w:color w:val="0000FF"/>
              </w:rPr>
              <w:t>Amendment No. 2 to License Agreement dated June 20, 2019 and as further amended by Amendment No. 3 to License</w:t>
            </w:r>
          </w:p>
        </w:tc>
        <w:tc>
          <w:tcPr>
            <w:tcW w:w="40" w:type="dxa"/>
            <w:vAlign w:val="bottom"/>
            <w:gridSpan w:val="2"/>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Agreement dated July 16, 2020</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Loan and Security Agreement, by and between the Registrant and Silicon Valley Bank, dated September 21, 2021, as</w:t>
            </w:r>
          </w:p>
        </w:tc>
        <w:tc>
          <w:tcPr>
            <w:tcW w:w="140" w:type="dxa"/>
            <w:vAlign w:val="bottom"/>
            <w:gridSpan w:val="4"/>
          </w:tcPr>
          <w:p>
            <w:pPr>
              <w:spacing w:after="0"/>
              <w:rPr>
                <w:sz w:val="18"/>
                <w:szCs w:val="18"/>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0" w:type="dxa"/>
            <w:vAlign w:val="bottom"/>
            <w:tcBorders>
              <w:bottom w:val="single" w:sz="8" w:color="0000FF"/>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FF"/>
              </w:rPr>
              <w:t>amended by First Amendment to Loan and Security Agreement, dated April 12, 2022, as further amended by Second</w:t>
            </w:r>
          </w:p>
        </w:tc>
        <w:tc>
          <w:tcPr>
            <w:tcW w:w="160" w:type="dxa"/>
            <w:vAlign w:val="bottom"/>
            <w:gridSpan w:val="5"/>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40" w:type="dxa"/>
            <w:vAlign w:val="bottom"/>
            <w:tcBorders>
              <w:bottom w:val="single" w:sz="8" w:color="0000FF"/>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FF"/>
              </w:rPr>
              <w:t>Amendment to Loan and Security Agreement dated November 30, 2022, as further amended by Waiver and Third</w:t>
            </w:r>
          </w:p>
        </w:tc>
        <w:tc>
          <w:tcPr>
            <w:tcW w:w="320" w:type="dxa"/>
            <w:vAlign w:val="bottom"/>
            <w:gridSpan w:val="7"/>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40" w:type="dxa"/>
            <w:vAlign w:val="bottom"/>
            <w:tcBorders>
              <w:bottom w:val="single" w:sz="8" w:color="0000FF"/>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FF"/>
              </w:rPr>
              <w:t>Amendment to Loan and Security Agreement, dated April 25, 2023 and as further amended by Fourth Amendment to</w:t>
            </w:r>
          </w:p>
        </w:tc>
        <w:tc>
          <w:tcPr>
            <w:tcW w:w="120" w:type="dxa"/>
            <w:vAlign w:val="bottom"/>
            <w:gridSpan w:val="3"/>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Loan and Security Agreement dated November 22, 2024</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Lease, by and between the Registrant and 400 Discovery Park, LLC, dated April 22, 2019, as amended by First</w:t>
            </w:r>
          </w:p>
        </w:tc>
        <w:tc>
          <w:tcPr>
            <w:tcW w:w="480" w:type="dxa"/>
            <w:vAlign w:val="bottom"/>
            <w:gridSpan w:val="8"/>
          </w:tcPr>
          <w:p>
            <w:pPr>
              <w:spacing w:after="0"/>
              <w:rPr>
                <w:sz w:val="18"/>
                <w:szCs w:val="18"/>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60" w:type="dxa"/>
            <w:vAlign w:val="bottom"/>
            <w:tcBorders>
              <w:bottom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FF"/>
              </w:rPr>
              <w:t>Amendment of Lease dated December 21, 2019 and Second Amendment of Lease, Confirmation of Terms and</w:t>
            </w:r>
          </w:p>
        </w:tc>
        <w:tc>
          <w:tcPr>
            <w:tcW w:w="500" w:type="dxa"/>
            <w:vAlign w:val="bottom"/>
            <w:gridSpan w:val="9"/>
          </w:tcPr>
          <w:p>
            <w:pPr>
              <w:spacing w:after="0"/>
              <w:rPr>
                <w:sz w:val="12"/>
                <w:szCs w:val="12"/>
                <w:color w:val="auto"/>
              </w:rPr>
            </w:pPr>
          </w:p>
        </w:tc>
      </w:tr>
      <w:tr>
        <w:trPr>
          <w:trHeight w:val="148"/>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7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FF"/>
              </w:rPr>
              <w:t>Reconciliation dated June 18, 2020</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License and Collaboration Agreement, by and between the Registrant and Regeneron Pharmaceuticals, Inc. dated May</w:t>
            </w:r>
          </w:p>
        </w:tc>
      </w:tr>
      <w:tr>
        <w:trPr>
          <w:trHeight w:val="183"/>
        </w:trPr>
        <w:tc>
          <w:tcPr>
            <w:tcW w:w="600" w:type="dxa"/>
            <w:vAlign w:val="bottom"/>
          </w:tcPr>
          <w:p>
            <w:pPr>
              <w:spacing w:after="0"/>
              <w:rPr>
                <w:sz w:val="15"/>
                <w:szCs w:val="15"/>
                <w:color w:val="auto"/>
              </w:rPr>
            </w:pPr>
          </w:p>
        </w:tc>
        <w:tc>
          <w:tcPr>
            <w:tcW w:w="82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15, 2026.</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160" w:type="dxa"/>
            <w:vAlign w:val="bottom"/>
          </w:tcPr>
          <w:p>
            <w:pPr>
              <w:spacing w:after="0"/>
              <w:rPr>
                <w:sz w:val="20"/>
                <w:szCs w:val="20"/>
                <w:color w:val="auto"/>
              </w:rPr>
            </w:pPr>
          </w:p>
        </w:tc>
        <w:tc>
          <w:tcPr>
            <w:tcW w:w="6820" w:type="dxa"/>
            <w:vAlign w:val="bottom"/>
            <w:gridSpan w:val="24"/>
          </w:tcPr>
          <w:p>
            <w:pPr>
              <w:ind w:left="60"/>
              <w:spacing w:after="0"/>
              <w:rPr>
                <w:sz w:val="20"/>
                <w:szCs w:val="20"/>
                <w:color w:val="auto"/>
              </w:rPr>
            </w:pPr>
            <w:r>
              <w:rPr>
                <w:rFonts w:ascii="Times New Roman" w:cs="Times New Roman" w:eastAsia="Times New Roman" w:hAnsi="Times New Roman"/>
                <w:sz w:val="14"/>
                <w:szCs w:val="14"/>
                <w:color w:val="auto"/>
              </w:rPr>
              <w:t>Executive Severance Plan.</w:t>
            </w:r>
          </w:p>
        </w:tc>
      </w:tr>
      <w:tr>
        <w:trPr>
          <w:trHeight w:val="20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Registrant.</w:t>
            </w:r>
          </w:p>
        </w:tc>
        <w:tc>
          <w:tcPr>
            <w:tcW w:w="5220" w:type="dxa"/>
            <w:vAlign w:val="bottom"/>
            <w:gridSpan w:val="19"/>
          </w:tcPr>
          <w:p>
            <w:pPr>
              <w:spacing w:after="0"/>
              <w:rPr>
                <w:sz w:val="17"/>
                <w:szCs w:val="17"/>
                <w:color w:val="auto"/>
              </w:rPr>
            </w:pP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Consent of PricewaterhouseCoopers LLP, Independent Registered Public Accounting Firm.</w:t>
            </w:r>
          </w:p>
        </w:tc>
        <w:tc>
          <w:tcPr>
            <w:tcW w:w="1580" w:type="dxa"/>
            <w:vAlign w:val="bottom"/>
            <w:gridSpan w:val="12"/>
          </w:tcPr>
          <w:p>
            <w:pPr>
              <w:spacing w:after="0"/>
              <w:rPr>
                <w:sz w:val="18"/>
                <w:szCs w:val="18"/>
                <w:color w:val="auto"/>
              </w:rPr>
            </w:pPr>
          </w:p>
        </w:tc>
      </w:tr>
      <w:tr>
        <w:trPr>
          <w:trHeight w:val="243"/>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Consent of Goodwin Procter LLP (included in Exhibit 5.1).</w:t>
            </w:r>
          </w:p>
        </w:tc>
      </w:tr>
      <w:tr>
        <w:trPr>
          <w:trHeight w:val="20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 xml:space="preserve">Power of Attorney </w:t>
            </w:r>
            <w:r>
              <w:rPr>
                <w:rFonts w:ascii="Times New Roman" w:cs="Times New Roman" w:eastAsia="Times New Roman" w:hAnsi="Times New Roman"/>
                <w:sz w:val="14"/>
                <w:szCs w:val="14"/>
                <w:color w:val="000000"/>
              </w:rPr>
              <w:t>(included on signature page).</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4" w:name="page275"/>
    <w:bookmarkEnd w:id="274"/>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3175</wp:posOffset>
            </wp:positionV>
            <wp:extent cx="37401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740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859"/>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5080</wp:posOffset>
            </wp:positionV>
            <wp:extent cx="432562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3880" w:space="720"/>
            <w:col w:w="4419"/>
          </w:cols>
          <w:pgMar w:left="1440" w:top="123" w:right="1440" w:bottom="1440" w:gutter="0" w:footer="0" w:header="0"/>
          <w:type w:val="continuous"/>
        </w:sectPr>
      </w:pPr>
    </w:p>
    <w:p>
      <w:pPr>
        <w:ind w:left="1540" w:hanging="820"/>
        <w:spacing w:after="0"/>
        <w:tabs>
          <w:tab w:leader="none" w:pos="15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69850</wp:posOffset>
            </wp:positionV>
            <wp:extent cx="64071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28" w:lineRule="exact"/>
        <w:rPr>
          <w:sz w:val="20"/>
          <w:szCs w:val="20"/>
          <w:color w:val="auto"/>
        </w:rPr>
      </w:pPr>
    </w:p>
    <w:p>
      <w:pPr>
        <w:ind w:left="1000" w:hanging="280"/>
        <w:spacing w:after="0"/>
        <w:tabs>
          <w:tab w:leader="none" w:pos="10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22" w:lineRule="exact"/>
        <w:rPr>
          <w:sz w:val="20"/>
          <w:szCs w:val="20"/>
          <w:color w:val="auto"/>
        </w:rPr>
      </w:pPr>
    </w:p>
    <w:p>
      <w:pPr>
        <w:ind w:left="1000" w:hanging="280"/>
        <w:spacing w:after="0"/>
        <w:tabs>
          <w:tab w:leader="none" w:pos="10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7" w:lineRule="exact"/>
        <w:rPr>
          <w:sz w:val="20"/>
          <w:szCs w:val="20"/>
          <w:color w:val="auto"/>
        </w:rPr>
      </w:pPr>
    </w:p>
    <w:p>
      <w:pPr>
        <w:ind w:left="1060" w:right="1059" w:hanging="340"/>
        <w:spacing w:after="0" w:line="250" w:lineRule="auto"/>
        <w:tabs>
          <w:tab w:leader="none" w:pos="997"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document that constitute confidential information have been redacted pursuant to Item 601(b)(10) of Regulation S-K.</w:t>
      </w:r>
    </w:p>
    <w:p>
      <w:pPr>
        <w:spacing w:after="0" w:line="1" w:lineRule="exact"/>
        <w:rPr>
          <w:sz w:val="20"/>
          <w:szCs w:val="20"/>
          <w:color w:val="auto"/>
        </w:rPr>
      </w:pPr>
    </w:p>
    <w:p>
      <w:pPr>
        <w:ind w:left="1060" w:right="799" w:hanging="340"/>
        <w:spacing w:after="0" w:line="261" w:lineRule="auto"/>
        <w:tabs>
          <w:tab w:leader="none" w:pos="99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 Financial Statement Schedules.</w:t>
      </w:r>
    </w:p>
    <w:p>
      <w:pPr>
        <w:spacing w:after="0" w:line="175" w:lineRule="exact"/>
        <w:rPr>
          <w:sz w:val="20"/>
          <w:szCs w:val="20"/>
          <w:color w:val="auto"/>
        </w:rPr>
      </w:pPr>
    </w:p>
    <w:p>
      <w:pPr>
        <w:ind w:left="720" w:right="1079" w:firstLine="343"/>
        <w:spacing w:after="0" w:line="283" w:lineRule="auto"/>
        <w:rPr>
          <w:sz w:val="20"/>
          <w:szCs w:val="20"/>
          <w:color w:val="auto"/>
        </w:rPr>
      </w:pPr>
      <w:r>
        <w:rPr>
          <w:rFonts w:ascii="Times New Roman" w:cs="Times New Roman" w:eastAsia="Times New Roman" w:hAnsi="Times New Roman"/>
          <w:sz w:val="14"/>
          <w:szCs w:val="14"/>
          <w:color w:val="auto"/>
        </w:rPr>
        <w:t>All financial statement schedules are omitted because the information required to be set forth therein is not applicable or is shown in the financial statements or the notes thereto.</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3" w:lineRule="exact"/>
        <w:rPr>
          <w:sz w:val="20"/>
          <w:szCs w:val="20"/>
          <w:color w:val="auto"/>
        </w:rPr>
      </w:pPr>
    </w:p>
    <w:p>
      <w:pPr>
        <w:ind w:left="720" w:right="739" w:firstLine="343"/>
        <w:spacing w:after="0" w:line="25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The registrant hereby undertakes that:</w:t>
      </w:r>
    </w:p>
    <w:p>
      <w:pPr>
        <w:spacing w:after="0" w:line="91" w:lineRule="exact"/>
        <w:rPr>
          <w:sz w:val="20"/>
          <w:szCs w:val="20"/>
          <w:color w:val="auto"/>
        </w:rPr>
      </w:pPr>
    </w:p>
    <w:p>
      <w:pPr>
        <w:ind w:left="980" w:right="1139" w:hanging="260"/>
        <w:spacing w:after="0" w:line="323" w:lineRule="auto"/>
        <w:tabs>
          <w:tab w:leader="none" w:pos="9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18" w:lineRule="exact"/>
        <w:rPr>
          <w:rFonts w:ascii="Times New Roman" w:cs="Times New Roman" w:eastAsia="Times New Roman" w:hAnsi="Times New Roman"/>
          <w:sz w:val="13"/>
          <w:szCs w:val="13"/>
          <w:color w:val="auto"/>
        </w:rPr>
      </w:pPr>
    </w:p>
    <w:p>
      <w:pPr>
        <w:jc w:val="both"/>
        <w:ind w:left="980" w:right="759" w:hanging="260"/>
        <w:spacing w:after="0" w:line="261" w:lineRule="auto"/>
        <w:tabs>
          <w:tab w:leader="none" w:pos="9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a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56" w:lineRule="exact"/>
        <w:rPr>
          <w:rFonts w:ascii="Times New Roman" w:cs="Times New Roman" w:eastAsia="Times New Roman" w:hAnsi="Times New Roman"/>
          <w:sz w:val="14"/>
          <w:szCs w:val="14"/>
          <w:color w:val="auto"/>
        </w:rPr>
      </w:pPr>
    </w:p>
    <w:p>
      <w:pPr>
        <w:ind w:left="980" w:right="819" w:hanging="260"/>
        <w:spacing w:after="0" w:line="267" w:lineRule="auto"/>
        <w:tabs>
          <w:tab w:leader="none" w:pos="9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75" w:name="page276"/>
    <w:bookmarkEnd w:id="275"/>
    <w:p>
      <w:pPr>
        <w:ind w:left="7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720" w:right="1279" w:firstLine="343"/>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S-1 to be signed on its behalf by the undersigned, thereunto duly authorized, in the City of Cambridge, Massachusetts, on the 19th of May, 2026.</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By: /s/Mathai Mammen</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Name: Mathai Mammen,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-101600</wp:posOffset>
            </wp:positionV>
            <wp:extent cx="222948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229485" cy="698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Title: Chairman, Chief Executive Officer and President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77" w:lineRule="exact"/>
        <w:rPr>
          <w:sz w:val="20"/>
          <w:szCs w:val="20"/>
          <w:color w:val="auto"/>
        </w:rPr>
      </w:pPr>
    </w:p>
    <w:p>
      <w:pPr>
        <w:ind w:left="720" w:right="819" w:firstLine="343"/>
        <w:spacing w:after="0" w:line="254" w:lineRule="auto"/>
        <w:rPr>
          <w:sz w:val="20"/>
          <w:szCs w:val="20"/>
          <w:color w:val="auto"/>
        </w:rPr>
      </w:pPr>
      <w:r>
        <w:rPr>
          <w:rFonts w:ascii="Times New Roman" w:cs="Times New Roman" w:eastAsia="Times New Roman" w:hAnsi="Times New Roman"/>
          <w:sz w:val="14"/>
          <w:szCs w:val="14"/>
          <w:color w:val="auto"/>
        </w:rPr>
        <w:t>Each individual whose signature appears below hereby constitutes and appoints Mathai Mammen, M.D., Ph.D., and Thomas Kotarakos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as amended),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49" w:lineRule="exact"/>
        <w:rPr>
          <w:sz w:val="20"/>
          <w:szCs w:val="20"/>
          <w:color w:val="auto"/>
        </w:rPr>
      </w:pPr>
    </w:p>
    <w:p>
      <w:pPr>
        <w:ind w:left="720" w:right="83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has been signed by the following person in the capacities and on the date indicated.</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5"/>
        </w:trPr>
        <w:tc>
          <w:tcPr>
            <w:tcW w:w="26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1"/>
                <w:szCs w:val="11"/>
                <w:color w:val="auto"/>
              </w:rPr>
            </w:pPr>
          </w:p>
        </w:tc>
        <w:tc>
          <w:tcPr>
            <w:tcW w:w="30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232"/>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/s/Mathai Mammen</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tc>
        <w:tc>
          <w:tcPr>
            <w:tcW w:w="8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Mathai Mammen, M.D., Ph.D.</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/s/Thomas Kotarakos</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Thomas Kotarakos</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and Principal Accounting Officer</w:t>
            </w:r>
            <w:r>
              <w:rPr>
                <w:rFonts w:ascii="Times New Roman" w:cs="Times New Roman" w:eastAsia="Times New Roman" w:hAnsi="Times New Roman"/>
                <w:sz w:val="14"/>
                <w:szCs w:val="14"/>
                <w:color w:val="auto"/>
              </w:rPr>
              <w:t>)</w:t>
            </w: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/s/Alexis Borisy</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Alexis Borisy</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/s/Edward Fitzgerald</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Edward Fitzgerald</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/s/Rick Klausner</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Rick Klausner, M.D.</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/s/Alan Sebulsky</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Alan Sebulsky</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/s/Jake Simson</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Jake Simson, Ph.D.</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/s/Barbara Weber</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Barbara Weber, M.D.</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/s/Krishna Yeshwant</w:t>
            </w:r>
          </w:p>
        </w:tc>
        <w:tc>
          <w:tcPr>
            <w:tcW w:w="3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May 19, 2026</w:t>
            </w:r>
          </w:p>
        </w:tc>
        <w:tc>
          <w:tcPr>
            <w:tcW w:w="0" w:type="dxa"/>
            <w:vAlign w:val="bottom"/>
          </w:tcPr>
          <w:p>
            <w:pPr>
              <w:spacing w:after="0"/>
              <w:rPr>
                <w:sz w:val="1"/>
                <w:szCs w:val="1"/>
                <w:color w:val="auto"/>
              </w:rPr>
            </w:pPr>
          </w:p>
        </w:tc>
      </w:tr>
      <w:tr>
        <w:trPr>
          <w:trHeight w:val="64"/>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Krishna Yeshwant, M.D.</w:t>
            </w:r>
          </w:p>
        </w:tc>
        <w:tc>
          <w:tcPr>
            <w:tcW w:w="3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SIXTH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jc w:val="center"/>
        <w:spacing w:after="0" w:line="232" w:lineRule="auto"/>
        <w:rPr>
          <w:sz w:val="20"/>
          <w:szCs w:val="20"/>
          <w:color w:val="auto"/>
        </w:rPr>
      </w:pPr>
      <w:r>
        <w:rPr>
          <w:rFonts w:ascii="Times New Roman" w:cs="Times New Roman" w:eastAsia="Times New Roman" w:hAnsi="Times New Roman"/>
          <w:sz w:val="17"/>
          <w:szCs w:val="17"/>
          <w:b w:val="1"/>
          <w:bCs w:val="1"/>
          <w:color w:val="auto"/>
        </w:rPr>
        <w:t>OF</w:t>
      </w:r>
    </w:p>
    <w:p>
      <w:pPr>
        <w:jc w:val="center"/>
        <w:spacing w:after="0"/>
        <w:rPr>
          <w:sz w:val="20"/>
          <w:szCs w:val="20"/>
          <w:color w:val="auto"/>
        </w:rPr>
      </w:pPr>
      <w:r>
        <w:rPr>
          <w:rFonts w:ascii="Times New Roman" w:cs="Times New Roman" w:eastAsia="Times New Roman" w:hAnsi="Times New Roman"/>
          <w:sz w:val="17"/>
          <w:szCs w:val="17"/>
          <w:b w:val="1"/>
          <w:bCs w:val="1"/>
          <w:color w:val="auto"/>
        </w:rPr>
        <w:t>PARABILIS MEDICINES,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Sections 242 and 245 of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General Corporation Law of the State of Delaware)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Parabilis Medicines, Inc., a corporation organized and existing under and by virtue of the provisions of the General Corporation Law of the State of Delaware (the </w:t>
      </w:r>
      <w:r>
        <w:rPr>
          <w:rFonts w:ascii="Times New Roman" w:cs="Times New Roman" w:eastAsia="Times New Roman" w:hAnsi="Times New Roman"/>
          <w:sz w:val="14"/>
          <w:szCs w:val="14"/>
          <w:b w:val="1"/>
          <w:bCs w:val="1"/>
          <w:color w:val="auto"/>
        </w:rPr>
        <w:t>“General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DOES HEREBY CERTIFY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0" w:firstLine="1155"/>
        <w:spacing w:after="0" w:line="283" w:lineRule="auto"/>
        <w:tabs>
          <w:tab w:leader="none" w:pos="1291"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name of this corporation is Parabilis Medicines, Inc., and that this corporation was originally incorporated pursuant to the General Corporation Law on July 10, 2015 under the name FOG Pharmaceuticals, Inc.</w:t>
      </w:r>
    </w:p>
    <w:p>
      <w:pPr>
        <w:spacing w:after="0" w:line="122" w:lineRule="exact"/>
        <w:rPr>
          <w:rFonts w:ascii="Times New Roman" w:cs="Times New Roman" w:eastAsia="Times New Roman" w:hAnsi="Times New Roman"/>
          <w:sz w:val="14"/>
          <w:szCs w:val="14"/>
          <w:b w:val="1"/>
          <w:bCs w:val="1"/>
          <w:color w:val="auto"/>
        </w:rPr>
      </w:pPr>
    </w:p>
    <w:p>
      <w:pPr>
        <w:ind w:right="180" w:firstLine="1155"/>
        <w:spacing w:after="0" w:line="268" w:lineRule="auto"/>
        <w:tabs>
          <w:tab w:leader="none" w:pos="1291"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Board of Directors of this corporation (the “</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RESOLVED</w:t>
      </w:r>
      <w:r>
        <w:rPr>
          <w:rFonts w:ascii="Times New Roman" w:cs="Times New Roman" w:eastAsia="Times New Roman" w:hAnsi="Times New Roman"/>
          <w:sz w:val="14"/>
          <w:szCs w:val="14"/>
          <w:color w:val="auto"/>
        </w:rPr>
        <w:t>, that the Fifth Amended and Restated Certificate of Incorporation of this corporation be amended and restated in its entirety to read as follows: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name of this corporation is Parabilis Medicines, Inc.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address of the registered office of the Corporation in the State of Delaware is 251 Little Falls Drive in the City of Wilmington, County of New Castle, Delaware 19808.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 of its registered agent at such address is Corporation Service Company.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nature of the business or purposes to be conducted or promoted is to engage in any lawful act or activity for which corporations may be organized under the General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w:t>
      </w:r>
    </w:p>
    <w:p>
      <w:pPr>
        <w:spacing w:after="0" w:line="159" w:lineRule="exact"/>
        <w:rPr>
          <w:sz w:val="20"/>
          <w:szCs w:val="20"/>
          <w:color w:val="auto"/>
        </w:rPr>
      </w:pPr>
    </w:p>
    <w:p>
      <w:pPr>
        <w:ind w:right="3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 total number of shares of all classes of stock which the Corporation shall have authority to issue is (i) 150,132,000 shares of Common Stock, $0.0001 par value per share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(ii) 102,814,601 shares of Preferred Stock, $0.0001 par value per share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right="20" w:firstLine="511"/>
        <w:spacing w:after="0" w:line="283" w:lineRule="auto"/>
        <w:rPr>
          <w:sz w:val="20"/>
          <w:szCs w:val="20"/>
          <w:color w:val="auto"/>
        </w:rPr>
      </w:pPr>
      <w:r>
        <w:rPr>
          <w:rFonts w:ascii="Times New Roman" w:cs="Times New Roman" w:eastAsia="Times New Roman" w:hAnsi="Times New Roman"/>
          <w:sz w:val="14"/>
          <w:szCs w:val="14"/>
          <w:color w:val="auto"/>
        </w:rPr>
        <w:t>The following is a statement of the designations and the powers, preferences and special rights, and the qualifications, limitations or restrictions thereof in respect of each class of capital stock of the Corporation.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COMMON STOCK</w:t>
      </w:r>
    </w:p>
    <w:p>
      <w:pPr>
        <w:spacing w:after="0" w:line="175" w:lineRule="exact"/>
        <w:rPr>
          <w:sz w:val="20"/>
          <w:szCs w:val="20"/>
          <w:color w:val="auto"/>
        </w:rPr>
      </w:pPr>
    </w:p>
    <w:p>
      <w:pPr>
        <w:ind w:right="100" w:firstLine="1155"/>
        <w:spacing w:after="0" w:line="283" w:lineRule="auto"/>
        <w:tabs>
          <w:tab w:leader="none" w:pos="1291"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voting, dividend and liquidation rights of the holders of the Common Stock are subject to and qualified by the rights, powers and preferences of the holders of the Preferred Stock set forth herein.</w:t>
      </w:r>
    </w:p>
    <w:p>
      <w:pPr>
        <w:spacing w:after="0" w:line="124" w:lineRule="exact"/>
        <w:rPr>
          <w:rFonts w:ascii="Times New Roman" w:cs="Times New Roman" w:eastAsia="Times New Roman" w:hAnsi="Times New Roman"/>
          <w:sz w:val="14"/>
          <w:szCs w:val="14"/>
          <w:color w:val="auto"/>
        </w:rPr>
      </w:pPr>
    </w:p>
    <w:p>
      <w:pPr>
        <w:ind w:firstLine="1162"/>
        <w:spacing w:after="0" w:line="256" w:lineRule="auto"/>
        <w:tabs>
          <w:tab w:leader="none" w:pos="1298"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xml:space="preserve">. Except as otherwise provided herein or by applicable law, the holders of the Common Stock shall be entitled to one vote for each share of Common Stock held as of the applicable record date for each meeting of stockholders (and written actions in lieu of meetings);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required by law, holders of Common Stock, as such, shall not be entitled to vote on any amendment to this Sixth Amended and Restated Certificate of Incorporation (the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817" w:right="3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color w:val="auto"/>
        </w:rPr>
        <w:t>represented by all outstanding shares of capital stock of the Corporation entitled to vote, irrespective of the provisions of Section 242(b)(2) of the General Corporation Law.</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PREFERRED STOCK</w:t>
      </w:r>
    </w:p>
    <w:p>
      <w:pPr>
        <w:spacing w:after="0" w:line="173"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color w:val="auto"/>
        </w:rPr>
        <w:t>One Million Four Hundred Thirty-Four Thousand Sixty-Two (1,434,062) shares of the authorized Preferred Stock of the Corporation are hereby designated “</w:t>
      </w:r>
      <w:r>
        <w:rPr>
          <w:rFonts w:ascii="Times New Roman" w:cs="Times New Roman" w:eastAsia="Times New Roman" w:hAnsi="Times New Roman"/>
          <w:sz w:val="14"/>
          <w:szCs w:val="14"/>
          <w:b w:val="1"/>
          <w:bCs w:val="1"/>
          <w:color w:val="auto"/>
        </w:rPr>
        <w:t>Series A Preferred Stock</w:t>
      </w:r>
      <w:r>
        <w:rPr>
          <w:rFonts w:ascii="Times New Roman" w:cs="Times New Roman" w:eastAsia="Times New Roman" w:hAnsi="Times New Roman"/>
          <w:sz w:val="14"/>
          <w:szCs w:val="14"/>
          <w:color w:val="auto"/>
        </w:rPr>
        <w:t>”, Four Million Six Hundred Fifty-Eight Thousand One Hundred Twelve (4,658,112) shares of the authorized Preferred Stock of the Corporation are hereby designated “</w:t>
      </w:r>
      <w:r>
        <w:rPr>
          <w:rFonts w:ascii="Times New Roman" w:cs="Times New Roman" w:eastAsia="Times New Roman" w:hAnsi="Times New Roman"/>
          <w:sz w:val="14"/>
          <w:szCs w:val="14"/>
          <w:b w:val="1"/>
          <w:bCs w:val="1"/>
          <w:color w:val="auto"/>
        </w:rPr>
        <w:t>Series B Preferred Stock</w:t>
      </w:r>
      <w:r>
        <w:rPr>
          <w:rFonts w:ascii="Times New Roman" w:cs="Times New Roman" w:eastAsia="Times New Roman" w:hAnsi="Times New Roman"/>
          <w:sz w:val="14"/>
          <w:szCs w:val="14"/>
          <w:color w:val="auto"/>
        </w:rPr>
        <w:t>”, Seven Million Three Hundred Eighty Four Thousand Seven Hundred and Ten (7,384,710) shares of the authorized Preferred Stock of the Corporation are hereby designated “</w:t>
      </w:r>
      <w:r>
        <w:rPr>
          <w:rFonts w:ascii="Times New Roman" w:cs="Times New Roman" w:eastAsia="Times New Roman" w:hAnsi="Times New Roman"/>
          <w:sz w:val="14"/>
          <w:szCs w:val="14"/>
          <w:b w:val="1"/>
          <w:bCs w:val="1"/>
          <w:color w:val="auto"/>
        </w:rPr>
        <w:t>Series C Preferred Stock</w:t>
      </w:r>
      <w:r>
        <w:rPr>
          <w:rFonts w:ascii="Times New Roman" w:cs="Times New Roman" w:eastAsia="Times New Roman" w:hAnsi="Times New Roman"/>
          <w:sz w:val="14"/>
          <w:szCs w:val="14"/>
          <w:color w:val="auto"/>
        </w:rPr>
        <w:t>”, Sixteen Million Five Hundred Thirty Seven Thousand Nine Hundred and Seventy Nine (16,537,979) shares of the authorized Preferred Stock of the Corporation are hereby designated “</w:t>
      </w:r>
      <w:r>
        <w:rPr>
          <w:rFonts w:ascii="Times New Roman" w:cs="Times New Roman" w:eastAsia="Times New Roman" w:hAnsi="Times New Roman"/>
          <w:sz w:val="14"/>
          <w:szCs w:val="14"/>
          <w:b w:val="1"/>
          <w:bCs w:val="1"/>
          <w:color w:val="auto"/>
        </w:rPr>
        <w:t>Series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Twenty Three Million Two Hundred Eighty One Thousand Five Hundred Sixty Three (23,281,563) shares of the authorized Preferred Stock of the Corporation are hereby designated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E Preferred Stock</w:t>
      </w:r>
      <w:r>
        <w:rPr>
          <w:rFonts w:ascii="Times New Roman" w:cs="Times New Roman" w:eastAsia="Times New Roman" w:hAnsi="Times New Roman"/>
          <w:sz w:val="14"/>
          <w:szCs w:val="14"/>
          <w:color w:val="auto"/>
        </w:rPr>
        <w:t>,”, and Forty-Nine Million Five Hundred Eighteen Thousand One Hundred Seventy-Five (49,518,175) shares of the authorized Preferred Stock of the Corporation are hereby designated “</w:t>
      </w:r>
      <w:r>
        <w:rPr>
          <w:rFonts w:ascii="Times New Roman" w:cs="Times New Roman" w:eastAsia="Times New Roman" w:hAnsi="Times New Roman"/>
          <w:sz w:val="14"/>
          <w:szCs w:val="14"/>
          <w:b w:val="1"/>
          <w:bCs w:val="1"/>
          <w:color w:val="auto"/>
        </w:rPr>
        <w:t>Series F Preferred Stock</w:t>
      </w:r>
      <w:r>
        <w:rPr>
          <w:rFonts w:ascii="Times New Roman" w:cs="Times New Roman" w:eastAsia="Times New Roman" w:hAnsi="Times New Roman"/>
          <w:sz w:val="14"/>
          <w:szCs w:val="14"/>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47" w:lineRule="exact"/>
        <w:rPr>
          <w:sz w:val="20"/>
          <w:szCs w:val="20"/>
          <w:color w:val="auto"/>
        </w:rPr>
      </w:pPr>
    </w:p>
    <w:p>
      <w:pPr>
        <w:ind w:left="1300" w:hanging="138"/>
        <w:spacing w:after="0"/>
        <w:tabs>
          <w:tab w:leader="none" w:pos="13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662"/>
        <w:spacing w:after="0" w:line="252"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Series F Dividends</w:t>
      </w:r>
      <w:r>
        <w:rPr>
          <w:rFonts w:ascii="Times New Roman" w:cs="Times New Roman" w:eastAsia="Times New Roman" w:hAnsi="Times New Roman"/>
          <w:sz w:val="14"/>
          <w:szCs w:val="14"/>
          <w:color w:val="auto"/>
        </w:rPr>
        <w:t>. From and after the date of the issuance of any shares of Series F Preferred Stock, dividends at the rate per annum of eight percent (8%) of the Series F Original Issue Price (as defined below) of such share, plus the amount of previously accrued dividends, compounded annually, shall accrue on each share then outstanding (subject to appropriate adjustment in the event of any stock dividend, stock split, combination or other similar recapitalization with respect to the Series F Preferred Stock) (the “</w:t>
      </w:r>
      <w:r>
        <w:rPr>
          <w:rFonts w:ascii="Times New Roman" w:cs="Times New Roman" w:eastAsia="Times New Roman" w:hAnsi="Times New Roman"/>
          <w:sz w:val="14"/>
          <w:szCs w:val="14"/>
          <w:b w:val="1"/>
          <w:bCs w:val="1"/>
          <w:color w:val="auto"/>
        </w:rPr>
        <w:t>Series F Accruing Dividends</w:t>
      </w:r>
      <w:r>
        <w:rPr>
          <w:rFonts w:ascii="Times New Roman" w:cs="Times New Roman" w:eastAsia="Times New Roman" w:hAnsi="Times New Roman"/>
          <w:sz w:val="14"/>
          <w:szCs w:val="14"/>
          <w:color w:val="auto"/>
        </w:rPr>
        <w:t xml:space="preserve">”). Series F Accruing Dividends shall accrue from day to day, whether or not declared, and shall be cumulative;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set forth in the following sentence of this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such Series F Accruing Dividends shall be payable only when, as, and if declared by the Board of Directors and the Corporation shall be under no obligation to pay such Series F Accruing Dividends.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F Preferred Stock then outstanding shall first receive, or simultaneously receive, a dividend on each outstanding share of Series F Preferred Stock in an amount at least equal to the greater of (i) the amount of the aggregate Series F Accruing Dividends then accrued on such share of Series F Preferred Stock and not previously paid and (ii) (A) in the case of a dividend on Common Stock or any class or series that is convertible into Common Stock, that dividend per share of Series 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F Preferred Stock, in each case calculated on the record date for determination of holders entitled to receive such dividend or (B) in the case of a dividend on any class or series that is not convertible into Common Stock, at a rate per share of Series 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F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F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F Preferred Stock dividend. The “</w:t>
      </w:r>
      <w:r>
        <w:rPr>
          <w:rFonts w:ascii="Times New Roman" w:cs="Times New Roman" w:eastAsia="Times New Roman" w:hAnsi="Times New Roman"/>
          <w:sz w:val="14"/>
          <w:szCs w:val="14"/>
          <w:b w:val="1"/>
          <w:bCs w:val="1"/>
          <w:color w:val="auto"/>
        </w:rPr>
        <w:t>Series F Original Issue Price</w:t>
      </w:r>
      <w:r>
        <w:rPr>
          <w:rFonts w:ascii="Times New Roman" w:cs="Times New Roman" w:eastAsia="Times New Roman" w:hAnsi="Times New Roman"/>
          <w:sz w:val="14"/>
          <w:szCs w:val="14"/>
          <w:color w:val="auto"/>
        </w:rPr>
        <w:t>” shall mean $6.1644 per share, subject to appropriate adjustment in the event of any stock dividend, stock split, combination or other similar recapitalization with respect to the Series F Preferred Stock.</w:t>
      </w:r>
    </w:p>
    <w:p>
      <w:pPr>
        <w:spacing w:after="0" w:line="153" w:lineRule="exact"/>
        <w:rPr>
          <w:sz w:val="20"/>
          <w:szCs w:val="20"/>
          <w:color w:val="auto"/>
        </w:rPr>
      </w:pPr>
    </w:p>
    <w:p>
      <w:pPr>
        <w:ind w:right="20" w:firstLine="1662"/>
        <w:spacing w:after="0" w:line="255"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Series E Dividends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from and after the date of the issuance of any shares of Series E Preferred Stock, dividends at the rate per annum of eight percent (8%) of the Series E Original Issue Price (as defined below) of such share, plus the amount of previously accrued dividends, compounded annually, shall accrue on each share then outstanding (subject to appropriate adjustment in the event of any stock dividend, stock split, combination or other similar recapitalization with respect to the Series E Preferred Stock) (the “</w:t>
      </w:r>
      <w:r>
        <w:rPr>
          <w:rFonts w:ascii="Times New Roman" w:cs="Times New Roman" w:eastAsia="Times New Roman" w:hAnsi="Times New Roman"/>
          <w:sz w:val="14"/>
          <w:szCs w:val="14"/>
          <w:b w:val="1"/>
          <w:bCs w:val="1"/>
          <w:color w:val="auto"/>
        </w:rPr>
        <w:t>Series 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Accruing Dividends</w:t>
      </w:r>
      <w:r>
        <w:rPr>
          <w:rFonts w:ascii="Times New Roman" w:cs="Times New Roman" w:eastAsia="Times New Roman" w:hAnsi="Times New Roman"/>
          <w:sz w:val="14"/>
          <w:szCs w:val="14"/>
          <w:color w:val="auto"/>
        </w:rPr>
        <w:t>”). Series E Accruing Dividends shall accrue from day to day, whether or not declared, and shall be cumulative;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set forth in the following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sentence of this </w:t>
      </w:r>
      <w:r>
        <w:rPr>
          <w:rFonts w:ascii="Times New Roman" w:cs="Times New Roman" w:eastAsia="Times New Roman" w:hAnsi="Times New Roman"/>
          <w:sz w:val="14"/>
          <w:szCs w:val="14"/>
          <w:u w:val="single" w:color="auto"/>
          <w:color w:val="auto"/>
        </w:rPr>
        <w:t>Subsection 1.2</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2.2</w:t>
      </w:r>
      <w:r>
        <w:rPr>
          <w:rFonts w:ascii="Times New Roman" w:cs="Times New Roman" w:eastAsia="Times New Roman" w:hAnsi="Times New Roman"/>
          <w:sz w:val="14"/>
          <w:szCs w:val="14"/>
          <w:color w:val="auto"/>
        </w:rPr>
        <w:t xml:space="preserve">, such Series E Accruing Dividends shall be payable only when, as, and if declared by the Board of Directors and the Corporation shall be under no obligation to pay such Series E Accruing Dividends;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Series E Accruing Dividends shall be payable only after the dividends provided for in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have been paid on each outstanding share of Series F Preferred Stock.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the Corporation shall not declare, pay or set aside any dividends on shares of any other class or series of capital stock of the Corporation (other than dividends on shares of Common Stock payable in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476250</wp:posOffset>
            </wp:positionV>
            <wp:extent cx="7188200"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78" w:name="page279"/>
    <w:bookmarkEnd w:id="278"/>
    <w:p>
      <w:pPr>
        <w:ind w:right="20"/>
        <w:spacing w:after="0" w:line="253" w:lineRule="auto"/>
        <w:rPr>
          <w:sz w:val="20"/>
          <w:szCs w:val="20"/>
          <w:color w:val="auto"/>
        </w:rPr>
      </w:pPr>
      <w:r>
        <w:rPr>
          <w:rFonts w:ascii="Times New Roman" w:cs="Times New Roman" w:eastAsia="Times New Roman" w:hAnsi="Times New Roman"/>
          <w:sz w:val="14"/>
          <w:szCs w:val="14"/>
          <w:color w:val="auto"/>
        </w:rPr>
        <w:t xml:space="preserve">Stock) unless (in addition to the obtaining of any consents required elsewhere in the Certificate of Incorporation) the holders of the Series E Preferred Stock then outstanding shall first receive, or simultaneously receive, a dividend on each outstanding share of Series E Preferred Stock in an amount at least equal to the greater of (i) the amount of the aggregate Series E Accruing Dividends then accrued on such share of Series E Preferred Stock and not previously paid and (ii) (A) in the case of a dividend on Common Stock or any class or series that is convertible into Common Stock, that dividend per share of Series E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E Preferred Stock, in each case calculated on the record date for determination of holders entitled to receive such dividend or (B) in the case of a dividend on any class or series that is not convertible into Common Stock, at a rate per share of Series E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E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E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E Preferred Stock dividend. The “</w:t>
      </w:r>
      <w:r>
        <w:rPr>
          <w:rFonts w:ascii="Times New Roman" w:cs="Times New Roman" w:eastAsia="Times New Roman" w:hAnsi="Times New Roman"/>
          <w:sz w:val="14"/>
          <w:szCs w:val="14"/>
          <w:b w:val="1"/>
          <w:bCs w:val="1"/>
          <w:color w:val="auto"/>
        </w:rPr>
        <w:t>Series E Original Issue Price</w:t>
      </w:r>
      <w:r>
        <w:rPr>
          <w:rFonts w:ascii="Times New Roman" w:cs="Times New Roman" w:eastAsia="Times New Roman" w:hAnsi="Times New Roman"/>
          <w:sz w:val="14"/>
          <w:szCs w:val="14"/>
          <w:color w:val="auto"/>
        </w:rPr>
        <w:t>” shall mean $6.2281 per share, subject to appropriate adjustment in the event of any stock dividend, stock split, combination or other similar recapitalization with respect to the Series E Preferred Stock.</w:t>
      </w:r>
    </w:p>
    <w:p>
      <w:pPr>
        <w:spacing w:after="0" w:line="150" w:lineRule="exact"/>
        <w:rPr>
          <w:sz w:val="20"/>
          <w:szCs w:val="20"/>
          <w:color w:val="auto"/>
        </w:rPr>
      </w:pPr>
    </w:p>
    <w:p>
      <w:pPr>
        <w:ind w:firstLine="1654"/>
        <w:spacing w:after="0" w:line="252"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Series D Dividends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from and after the date of the issuance of any shares of Series D Preferred Stock, dividends at the rate per annum of eight percent (8%) of the Series D Original Issue Price (as defined below) of such share, plus the amount of previously accrued dividends, compounded annually, shall accrue on each share then outstanding (subject to appropriate adjustment in the event of any stock dividend, stock split, combination or other similar recapitalization with respect to the Series D Preferred Stock) (the “</w:t>
      </w: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 Accruing Dividends</w:t>
      </w:r>
      <w:r>
        <w:rPr>
          <w:rFonts w:ascii="Times New Roman" w:cs="Times New Roman" w:eastAsia="Times New Roman" w:hAnsi="Times New Roman"/>
          <w:sz w:val="14"/>
          <w:szCs w:val="14"/>
          <w:color w:val="auto"/>
        </w:rPr>
        <w:t>”). Series D Accruing Dividends shall accrue from day to day, whether or not declared, and shall be cumulative;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set forth in the following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sentence of this </w:t>
      </w:r>
      <w:r>
        <w:rPr>
          <w:rFonts w:ascii="Times New Roman" w:cs="Times New Roman" w:eastAsia="Times New Roman" w:hAnsi="Times New Roman"/>
          <w:sz w:val="14"/>
          <w:szCs w:val="14"/>
          <w:u w:val="single" w:color="auto"/>
          <w:color w:val="auto"/>
        </w:rPr>
        <w:t>Subsection 1.3</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2.3</w:t>
      </w:r>
      <w:r>
        <w:rPr>
          <w:rFonts w:ascii="Times New Roman" w:cs="Times New Roman" w:eastAsia="Times New Roman" w:hAnsi="Times New Roman"/>
          <w:sz w:val="14"/>
          <w:szCs w:val="14"/>
          <w:color w:val="auto"/>
        </w:rPr>
        <w:t xml:space="preserve">, such Series D Accruing Dividends shall be payable only when, as, and if declared by the Board of Directors and the Corporation shall be under no obligation to pay such Series D Accruing Dividends;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Series D Accruing Dividends shall be payable only after the dividends provided for in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have been paid on each outstanding share of Series F Preferred Stock and Series E Preferred Stock, respectively. Subject to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D Preferred Stock then outstanding shall first receive, or simultaneously receive, a dividend on each outstanding share of Series D Preferred Stock in an amount at least equal to the greater of (i) the amount of the aggregate Series D Accruing Dividends then accrued on such share of Series D Preferred Stock and not previously paid and (ii) (A) in the case of a dividend on Common Stock or any class or series that is convertible into Common Stock, that dividend per share of Series D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D Preferred Stock, in each case calculated on the record date for determination of holders entitled to receive such dividend or (B) in the case of a dividend on any class or series that is not convertible into Common Stock, at a rate per share of Series D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D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D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D Preferred Stock dividend. The “</w:t>
      </w:r>
      <w:r>
        <w:rPr>
          <w:rFonts w:ascii="Times New Roman" w:cs="Times New Roman" w:eastAsia="Times New Roman" w:hAnsi="Times New Roman"/>
          <w:sz w:val="14"/>
          <w:szCs w:val="14"/>
          <w:b w:val="1"/>
          <w:bCs w:val="1"/>
          <w:color w:val="auto"/>
        </w:rPr>
        <w:t>Series D Original Issue Price</w:t>
      </w:r>
      <w:r>
        <w:rPr>
          <w:rFonts w:ascii="Times New Roman" w:cs="Times New Roman" w:eastAsia="Times New Roman" w:hAnsi="Times New Roman"/>
          <w:sz w:val="14"/>
          <w:szCs w:val="14"/>
          <w:color w:val="auto"/>
        </w:rPr>
        <w:t>” shall mean $10.7631 per share, subject to appropriate adjustment in the event of any stock dividend, stock split, combination or other similar recapitalization with respect to the Series D Preferred Stock.</w:t>
      </w:r>
    </w:p>
    <w:p>
      <w:pPr>
        <w:spacing w:after="0" w:line="151" w:lineRule="exact"/>
        <w:rPr>
          <w:sz w:val="20"/>
          <w:szCs w:val="20"/>
          <w:color w:val="auto"/>
        </w:rPr>
      </w:pPr>
    </w:p>
    <w:p>
      <w:pPr>
        <w:ind w:right="20" w:firstLine="1662"/>
        <w:spacing w:after="0" w:line="255"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Series C Dividends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from and after the date of the issuance of any shares of Series C Preferred Stock, dividends at the rate per annum of eight percent (8%) of the Series C Original Issue Price (as defined below) of such share, plus the amount of previously accrued dividends, compounded annually, shall accrue on each share then outstanding (subject to appropriate adjustment in the event of any stock dividend, stock split, combination or other similar recapitalization with respect to the Series C Preferred Stock) (the “</w:t>
      </w: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 Accruing Dividends</w:t>
      </w:r>
      <w:r>
        <w:rPr>
          <w:rFonts w:ascii="Times New Roman" w:cs="Times New Roman" w:eastAsia="Times New Roman" w:hAnsi="Times New Roman"/>
          <w:sz w:val="14"/>
          <w:szCs w:val="14"/>
          <w:color w:val="auto"/>
        </w:rPr>
        <w:t>”). Series C Accruing Dividends shall accrue from day to day, whether or not declared, and shall be cumulative;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set forth in the following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sentence of this </w:t>
      </w:r>
      <w:r>
        <w:rPr>
          <w:rFonts w:ascii="Times New Roman" w:cs="Times New Roman" w:eastAsia="Times New Roman" w:hAnsi="Times New Roman"/>
          <w:sz w:val="14"/>
          <w:szCs w:val="14"/>
          <w:u w:val="single" w:color="auto"/>
          <w:color w:val="auto"/>
        </w:rPr>
        <w:t>Subsection 1.4</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2.4</w:t>
      </w:r>
      <w:r>
        <w:rPr>
          <w:rFonts w:ascii="Times New Roman" w:cs="Times New Roman" w:eastAsia="Times New Roman" w:hAnsi="Times New Roman"/>
          <w:sz w:val="14"/>
          <w:szCs w:val="14"/>
          <w:color w:val="auto"/>
        </w:rPr>
        <w:t xml:space="preserve">, such Series C Accruing Dividends shall be payable only when, as, and if declared by the Board of Directors and the Corporation shall be under no obligation to pay such Series C Accruing Dividends;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Series C Accruing Dividends shall be payable only after the dividends provided for in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have been paid on each outstanding share of Series F Preferred Stock, Series E Preferred Stock and Series D Preferred Stock, respectively. Subject to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the Corporation shall not declare, pay or set aside any dividends on shares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476250</wp:posOffset>
            </wp:positionV>
            <wp:extent cx="7188200" cy="38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79" w:name="page280"/>
    <w:bookmarkEnd w:id="279"/>
    <w:p>
      <w:pPr>
        <w:ind w:right="40"/>
        <w:spacing w:after="0" w:line="254" w:lineRule="auto"/>
        <w:rPr>
          <w:sz w:val="20"/>
          <w:szCs w:val="20"/>
          <w:color w:val="auto"/>
        </w:rPr>
      </w:pPr>
      <w:r>
        <w:rPr>
          <w:rFonts w:ascii="Times New Roman" w:cs="Times New Roman" w:eastAsia="Times New Roman" w:hAnsi="Times New Roman"/>
          <w:sz w:val="14"/>
          <w:szCs w:val="14"/>
          <w:color w:val="auto"/>
        </w:rPr>
        <w:t>other class or series of capital stock of the Corporation (other than dividends on shares of Common Stock payable in shares of Common Stock) unless (in addition to the obtaining of any consents required elsewhere in the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Accruing Dividends then accrued on such share of Series C Preferred Stock and not previously paid and (ii) (A) in the case of a dividend on Common Stock or any class or series that is convertible into Common Stock, that dividend per share of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w:t>
      </w:r>
    </w:p>
    <w:p>
      <w:pPr>
        <w:spacing w:after="0" w:line="2" w:lineRule="exact"/>
        <w:rPr>
          <w:sz w:val="20"/>
          <w:szCs w:val="20"/>
          <w:color w:val="auto"/>
        </w:rPr>
      </w:pPr>
    </w:p>
    <w:p>
      <w:pPr>
        <w:ind w:right="120" w:firstLine="4"/>
        <w:spacing w:after="0" w:line="252" w:lineRule="auto"/>
        <w:tabs>
          <w:tab w:leader="none" w:pos="22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C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C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C Preferred Stock dividend. The “</w:t>
      </w:r>
      <w:r>
        <w:rPr>
          <w:rFonts w:ascii="Times New Roman" w:cs="Times New Roman" w:eastAsia="Times New Roman" w:hAnsi="Times New Roman"/>
          <w:sz w:val="14"/>
          <w:szCs w:val="14"/>
          <w:b w:val="1"/>
          <w:bCs w:val="1"/>
          <w:color w:val="auto"/>
        </w:rPr>
        <w:t>Series C Original Issue Price</w:t>
      </w:r>
      <w:r>
        <w:rPr>
          <w:rFonts w:ascii="Times New Roman" w:cs="Times New Roman" w:eastAsia="Times New Roman" w:hAnsi="Times New Roman"/>
          <w:sz w:val="14"/>
          <w:szCs w:val="14"/>
          <w:color w:val="auto"/>
        </w:rPr>
        <w:t>” shall mean $14.4894 per share, subject to appropriate adjustment in the event of any stock dividend, stock split, combination or other similar recapitalization with respect to the Series C Preferred Stock.</w:t>
      </w:r>
    </w:p>
    <w:p>
      <w:pPr>
        <w:spacing w:after="0" w:line="148" w:lineRule="exact"/>
        <w:rPr>
          <w:sz w:val="20"/>
          <w:szCs w:val="20"/>
          <w:color w:val="auto"/>
        </w:rPr>
      </w:pPr>
    </w:p>
    <w:p>
      <w:pPr>
        <w:ind w:firstLine="1662"/>
        <w:spacing w:after="0" w:line="252"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Series B Dividends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from and after the date of the issuance of any shares of Series B Preferred Stock, dividends at the rate per annum of $1.125176 shall accrue on such shares of Series B Preferred Stock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4"/>
          <w:szCs w:val="14"/>
          <w:b w:val="1"/>
          <w:bCs w:val="1"/>
          <w:color w:val="auto"/>
        </w:rPr>
        <w:t>Series B Accruing Dividends</w:t>
      </w:r>
      <w:r>
        <w:rPr>
          <w:rFonts w:ascii="Times New Roman" w:cs="Times New Roman" w:eastAsia="Times New Roman" w:hAnsi="Times New Roman"/>
          <w:sz w:val="14"/>
          <w:szCs w:val="14"/>
          <w:color w:val="auto"/>
        </w:rPr>
        <w:t xml:space="preserve">”). Series B Accruing Dividends shall accrue from day to day, whether or not declared, and shall be cumulative;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set forth in the following sentence of this </w:t>
      </w:r>
      <w:r>
        <w:rPr>
          <w:rFonts w:ascii="Times New Roman" w:cs="Times New Roman" w:eastAsia="Times New Roman" w:hAnsi="Times New Roman"/>
          <w:sz w:val="14"/>
          <w:szCs w:val="14"/>
          <w:u w:val="single" w:color="auto"/>
          <w:color w:val="auto"/>
        </w:rPr>
        <w:t>Subsection 1.5</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2.5</w:t>
      </w:r>
      <w:r>
        <w:rPr>
          <w:rFonts w:ascii="Times New Roman" w:cs="Times New Roman" w:eastAsia="Times New Roman" w:hAnsi="Times New Roman"/>
          <w:sz w:val="14"/>
          <w:szCs w:val="14"/>
          <w:color w:val="auto"/>
        </w:rPr>
        <w:t xml:space="preserve">, such Series B Accruing Dividends shall be payable only when, as, and if declared by the Board of Directors and the Corporation shall be under no obligation to pay such Series B Accruing Dividends;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Series B Accruing Dividends shall be payable only after the dividends provided for in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1.2, 1.3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have been paid on each outstanding share of Series F Preferred Stock, Series E Preferred Stock, Series D Preferred Stock and Series C Preferred Stock, respectively. Subject to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B Preferred Stock then outstanding shall first receive, or simultaneously receive, a dividend on each outstanding share of Series B Preferred Stock in an amount at least equal to the greater of (i) the amount of the aggregate Series B Accruing Dividends then accrued on such share of Series B Preferred Stock and not previously paid and (ii) (A) in the case of a dividend on Common Stock or any class or series that is convertible into Common Stock, that dividend per share of Series B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 Preferred Stock, in each case calculated on the record date for determination of holders entitled to receive such dividend or (B) in the case of a dividend on any class or series that is not convertible into Common Stock, at a rate per share of Series B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B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B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B Preferred Stock dividend. The “</w:t>
      </w:r>
      <w:r>
        <w:rPr>
          <w:rFonts w:ascii="Times New Roman" w:cs="Times New Roman" w:eastAsia="Times New Roman" w:hAnsi="Times New Roman"/>
          <w:sz w:val="14"/>
          <w:szCs w:val="14"/>
          <w:b w:val="1"/>
          <w:bCs w:val="1"/>
          <w:color w:val="auto"/>
        </w:rPr>
        <w:t>Series B Original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Issue Price</w:t>
      </w:r>
      <w:r>
        <w:rPr>
          <w:rFonts w:ascii="Times New Roman" w:cs="Times New Roman" w:eastAsia="Times New Roman" w:hAnsi="Times New Roman"/>
          <w:sz w:val="14"/>
          <w:szCs w:val="14"/>
          <w:color w:val="auto"/>
        </w:rPr>
        <w:t>” shall mean $14.0647 per share, subject to appropriate adjustment in the event of any stock dividend, stock split, combination or other similar recapitalization with respect to the Series 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Preferred Stock.</w:t>
      </w:r>
    </w:p>
    <w:p>
      <w:pPr>
        <w:spacing w:after="0" w:line="151" w:lineRule="exact"/>
        <w:rPr>
          <w:sz w:val="20"/>
          <w:szCs w:val="20"/>
          <w:color w:val="auto"/>
        </w:rPr>
      </w:pPr>
    </w:p>
    <w:p>
      <w:pPr>
        <w:ind w:right="20" w:firstLine="1662"/>
        <w:spacing w:after="0" w:line="256" w:lineRule="auto"/>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Series A Dividends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1.5</w:t>
      </w:r>
      <w:r>
        <w:rPr>
          <w:rFonts w:ascii="Times New Roman" w:cs="Times New Roman" w:eastAsia="Times New Roman" w:hAnsi="Times New Roman"/>
          <w:sz w:val="14"/>
          <w:szCs w:val="14"/>
          <w:color w:val="auto"/>
        </w:rPr>
        <w:t>, from and after the date of the issuance of any shares of Series A Preferred Stock, dividends at the rate per annum of $0.62 shall accrue on such shares of Series A Preferred Stock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4"/>
          <w:szCs w:val="14"/>
          <w:b w:val="1"/>
          <w:bCs w:val="1"/>
          <w:color w:val="auto"/>
        </w:rPr>
        <w:t>Series A Accruing Dividends</w:t>
      </w:r>
      <w:r>
        <w:rPr>
          <w:rFonts w:ascii="Times New Roman" w:cs="Times New Roman" w:eastAsia="Times New Roman" w:hAnsi="Times New Roman"/>
          <w:sz w:val="14"/>
          <w:szCs w:val="14"/>
          <w:color w:val="auto"/>
        </w:rPr>
        <w:t xml:space="preserve">”). Series A Accruing Dividends shall accrue from day to day, whether or not declared, and shall be cumulative;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set forth in the following sentence of this </w:t>
      </w:r>
      <w:r>
        <w:rPr>
          <w:rFonts w:ascii="Times New Roman" w:cs="Times New Roman" w:eastAsia="Times New Roman" w:hAnsi="Times New Roman"/>
          <w:sz w:val="14"/>
          <w:szCs w:val="14"/>
          <w:u w:val="single" w:color="auto"/>
          <w:color w:val="auto"/>
        </w:rPr>
        <w:t>Subsection 1.6</w:t>
      </w:r>
      <w:r>
        <w:rPr>
          <w:rFonts w:ascii="Times New Roman" w:cs="Times New Roman" w:eastAsia="Times New Roman" w:hAnsi="Times New Roman"/>
          <w:sz w:val="14"/>
          <w:szCs w:val="14"/>
          <w:color w:val="auto"/>
        </w:rPr>
        <w:t xml:space="preserve"> or in </w:t>
      </w:r>
      <w:r>
        <w:rPr>
          <w:rFonts w:ascii="Times New Roman" w:cs="Times New Roman" w:eastAsia="Times New Roman" w:hAnsi="Times New Roman"/>
          <w:sz w:val="14"/>
          <w:szCs w:val="14"/>
          <w:u w:val="single" w:color="auto"/>
          <w:color w:val="auto"/>
        </w:rPr>
        <w:t>Subsection 2.6</w:t>
      </w:r>
      <w:r>
        <w:rPr>
          <w:rFonts w:ascii="Times New Roman" w:cs="Times New Roman" w:eastAsia="Times New Roman" w:hAnsi="Times New Roman"/>
          <w:sz w:val="14"/>
          <w:szCs w:val="14"/>
          <w:color w:val="auto"/>
        </w:rPr>
        <w:t xml:space="preserve">, such Series A Accruing Dividends shall be payable only when, as, and if declared by the Board of Directors and the Corporation shall be under no obligation to pay such Series A Accruing Dividends;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Series A Accruing Dividends shall be payable only after the dividends provided for in </w:t>
      </w:r>
      <w:r>
        <w:rPr>
          <w:rFonts w:ascii="Times New Roman" w:cs="Times New Roman" w:eastAsia="Times New Roman" w:hAnsi="Times New Roman"/>
          <w:sz w:val="14"/>
          <w:szCs w:val="14"/>
          <w:u w:val="single" w:color="auto"/>
          <w:color w:val="auto"/>
        </w:rPr>
        <w:t>Subsections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1.5</w:t>
      </w:r>
      <w:r>
        <w:rPr>
          <w:rFonts w:ascii="Times New Roman" w:cs="Times New Roman" w:eastAsia="Times New Roman" w:hAnsi="Times New Roman"/>
          <w:sz w:val="14"/>
          <w:szCs w:val="14"/>
          <w:color w:val="auto"/>
        </w:rPr>
        <w:t xml:space="preserve">, have been paid on each outstanding share of Series F Preferred Stock, Series E Preferred Stock, Series D Preferred Stock, Series C Preferred Stock and Series B Preferred Stock, respectively. Subject to </w:t>
      </w:r>
      <w:r>
        <w:rPr>
          <w:rFonts w:ascii="Times New Roman" w:cs="Times New Roman" w:eastAsia="Times New Roman" w:hAnsi="Times New Roman"/>
          <w:sz w:val="14"/>
          <w:szCs w:val="14"/>
          <w:u w:val="single" w:color="auto"/>
          <w:color w:val="auto"/>
        </w:rPr>
        <w:t>Subsection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1.5</w:t>
      </w:r>
      <w:r>
        <w:rPr>
          <w:rFonts w:ascii="Times New Roman" w:cs="Times New Roman" w:eastAsia="Times New Roman" w:hAnsi="Times New Roman"/>
          <w:sz w:val="14"/>
          <w:szCs w:val="14"/>
          <w:color w:val="auto"/>
        </w:rPr>
        <w:t>, the Corporation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80" w:name="page281"/>
    <w:bookmarkEnd w:id="280"/>
    <w:p>
      <w:pPr>
        <w:ind w:right="80"/>
        <w:spacing w:after="0" w:line="253" w:lineRule="auto"/>
        <w:rPr>
          <w:sz w:val="20"/>
          <w:szCs w:val="20"/>
          <w:color w:val="auto"/>
        </w:rPr>
      </w:pPr>
      <w:r>
        <w:rPr>
          <w:rFonts w:ascii="Times New Roman" w:cs="Times New Roman" w:eastAsia="Times New Roman" w:hAnsi="Times New Roman"/>
          <w:sz w:val="14"/>
          <w:szCs w:val="14"/>
          <w:color w:val="auto"/>
        </w:rPr>
        <w:t xml:space="preserve">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A Preferred Stock then outstanding shall first receive, or simultaneously receive, a dividend on each outstanding share of Series A Preferred Stock in an amount at least equal to the greater of (i) the amount of the aggregate Series A Accruing Dividends then accrued on such share of Series A Preferred Stock and not previously paid and (ii) (A) in the case of a dividend on Common Stock or any class or series that is convertible into Common Stock, that dividend per share of Series A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in each case calculated on the record date for determination of holders entitled to receive such dividend or (B) in the case of a dividend on any class or series that is not convertible into Common Stock, at a rate per share of Series A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Series A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Series A Preferred Stock dividend. The “</w:t>
      </w:r>
      <w:r>
        <w:rPr>
          <w:rFonts w:ascii="Times New Roman" w:cs="Times New Roman" w:eastAsia="Times New Roman" w:hAnsi="Times New Roman"/>
          <w:sz w:val="14"/>
          <w:szCs w:val="14"/>
          <w:b w:val="1"/>
          <w:bCs w:val="1"/>
          <w:color w:val="auto"/>
        </w:rPr>
        <w:t>Series A Original Issue Price</w:t>
      </w:r>
      <w:r>
        <w:rPr>
          <w:rFonts w:ascii="Times New Roman" w:cs="Times New Roman" w:eastAsia="Times New Roman" w:hAnsi="Times New Roman"/>
          <w:sz w:val="14"/>
          <w:szCs w:val="14"/>
          <w:color w:val="auto"/>
        </w:rPr>
        <w:t>” shall mean $7.75 per share, subject to appropriate adjustment in the event of any stock dividend, stock split, combination or other similar recapitalization with respect to the Series A Preferred Stock.</w:t>
      </w:r>
    </w:p>
    <w:p>
      <w:pPr>
        <w:spacing w:after="0" w:line="149" w:lineRule="exact"/>
        <w:rPr>
          <w:sz w:val="20"/>
          <w:szCs w:val="20"/>
          <w:color w:val="auto"/>
        </w:rPr>
      </w:pPr>
    </w:p>
    <w:p>
      <w:pPr>
        <w:ind w:left="1300" w:hanging="138"/>
        <w:spacing w:after="0"/>
        <w:tabs>
          <w:tab w:leader="none" w:pos="13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Liquidation, Dissolution or Winding Up; Certain Mergers, Consolidations and Asset Sales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662"/>
        <w:spacing w:after="0" w:line="254"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Preferential Payments to Holders of Series F Preferred Stock</w:t>
      </w:r>
      <w:r>
        <w:rPr>
          <w:rFonts w:ascii="Times New Roman" w:cs="Times New Roman" w:eastAsia="Times New Roman" w:hAnsi="Times New Roman"/>
          <w:sz w:val="14"/>
          <w:szCs w:val="14"/>
          <w:color w:val="auto"/>
        </w:rPr>
        <w:t>. In the event of any voluntary or involuntary liquidation, dissolution or winding up of the Corporation or Deemed Liquidation Event, the holders of shares of Series F Preferred Stock then outstanding shall be entitled to be paid out of the assets of the Corporation available for distribution to its stockholders before any payment shall be made to the holders of Series E Preferred Stock, Series D Preferred Stock, Series C Preferred Stock, Series B Preferred Stock, Series A Preferred Stock and Common Stock by reason of their ownership thereof, an amount per share equal to the Series F Original Issue Price, plus any Series F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F Preference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F Preferred Stock the full amount to which they shall be entitled under this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the holders of shares of Series F Preferred Stock shall share ratably in any distribution of the assets available for distribution in proportion to the respective amounts which would otherwise be payable in respect of the shares of Series F Preferred Stock held by them upon such distribution if all amounts payable on or with respect to such shares of Series F Preferred Stock were paid in full.</w:t>
      </w:r>
    </w:p>
    <w:p>
      <w:pPr>
        <w:spacing w:after="0" w:line="149" w:lineRule="exact"/>
        <w:rPr>
          <w:sz w:val="20"/>
          <w:szCs w:val="20"/>
          <w:color w:val="auto"/>
        </w:rPr>
      </w:pPr>
    </w:p>
    <w:p>
      <w:pPr>
        <w:ind w:firstLine="1662"/>
        <w:spacing w:after="0" w:line="25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Preferential Payments to Holders of Series E Preferred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hereof, the holders of shares of Series E Preferred Stock then outstanding shall be entitled to be paid out of the assets of the Corporation available for distribution to its stockholders before any payment shall be made to the holders of Series D Preferred Stock, Series C Preferred Stock, Series B Preferred Stock, Series A Preferred Stock and Common Stock by reason of their ownership thereof, an amount per share equal to the Series E Original Issue Price, plus any Series E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E Preference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E Preferred Stock the full amount to which they shall be entitled under this </w:t>
      </w:r>
      <w:r>
        <w:rPr>
          <w:rFonts w:ascii="Times New Roman" w:cs="Times New Roman" w:eastAsia="Times New Roman" w:hAnsi="Times New Roman"/>
          <w:sz w:val="14"/>
          <w:szCs w:val="14"/>
          <w:u w:val="single" w:color="auto"/>
          <w:color w:val="auto"/>
        </w:rPr>
        <w:t>Subsection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the holders of shares of Series E Preferred Stock shall share ratably in any distribution of the assets available for distribution in proportion to the respective amounts which would otherwise be payable in respect of the shares of Series E Preferred Stock held by them upon such distribution if all amounts payable on or with respect to such shares of Series E Preferred Stock were paid in full.</w:t>
      </w:r>
    </w:p>
    <w:p>
      <w:pPr>
        <w:spacing w:after="0" w:line="149" w:lineRule="exact"/>
        <w:rPr>
          <w:sz w:val="20"/>
          <w:szCs w:val="20"/>
          <w:color w:val="auto"/>
        </w:rPr>
      </w:pPr>
    </w:p>
    <w:p>
      <w:pPr>
        <w:ind w:right="20" w:firstLine="1662"/>
        <w:spacing w:after="0" w:line="256"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Preferential Payments to Holders of Series D Preferred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and Series E Preferred Stock,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hereof, the holders of shares of Series D Preferred Stock then outstanding shall be entitled to be paid out of the assets of the Corporation available for distribution to its stockholders before any payment shall be made to the holders of Series C Preferred Stock, Series B Preferred Stock, Series A Preferred Stock and Common Stock by reason of their ownership thereof, an amount per share equal to the Series D Original Issue Price, plus any Series D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D Preference Amount</w:t>
      </w:r>
      <w:r>
        <w:rPr>
          <w:rFonts w:ascii="Times New Roman" w:cs="Times New Roman" w:eastAsia="Times New Roman" w:hAnsi="Times New Roman"/>
          <w:sz w:val="14"/>
          <w:szCs w:val="14"/>
          <w:color w:val="auto"/>
        </w:rPr>
        <w:t>”). If upon any such liquidation, dissolution or winding up of the Corporation or Deemed Liquidation Event, the assets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81" w:name="page282"/>
    <w:bookmarkEnd w:id="281"/>
    <w:p>
      <w:pPr>
        <w:ind w:right="120"/>
        <w:spacing w:after="0" w:line="261" w:lineRule="auto"/>
        <w:rPr>
          <w:sz w:val="20"/>
          <w:szCs w:val="20"/>
          <w:color w:val="auto"/>
        </w:rPr>
      </w:pPr>
      <w:r>
        <w:rPr>
          <w:rFonts w:ascii="Times New Roman" w:cs="Times New Roman" w:eastAsia="Times New Roman" w:hAnsi="Times New Roman"/>
          <w:sz w:val="14"/>
          <w:szCs w:val="14"/>
          <w:color w:val="auto"/>
        </w:rPr>
        <w:t xml:space="preserve">Corporation available for distribution to its stockholders shall be insufficient to pay the holders of shares of Series D Preferred Stock the full amount to which they shall be entitled under this </w:t>
      </w:r>
      <w:r>
        <w:rPr>
          <w:rFonts w:ascii="Times New Roman" w:cs="Times New Roman" w:eastAsia="Times New Roman" w:hAnsi="Times New Roman"/>
          <w:sz w:val="14"/>
          <w:szCs w:val="14"/>
          <w:u w:val="single" w:color="auto"/>
          <w:color w:val="auto"/>
        </w:rPr>
        <w:t>Subsection 2.3</w:t>
      </w:r>
      <w:r>
        <w:rPr>
          <w:rFonts w:ascii="Times New Roman" w:cs="Times New Roman" w:eastAsia="Times New Roman" w:hAnsi="Times New Roman"/>
          <w:sz w:val="14"/>
          <w:szCs w:val="14"/>
          <w:color w:val="auto"/>
        </w:rPr>
        <w:t>, the holders of shares of Series D Preferred Stock shall share ratably in any distribution of the assets available for distribution in proportion to the respective amounts which would otherwise be payable in respect of the shares of Series D Preferred Stock held by them upon such distribution if all amounts payable on or with respect to such shares of Series D Preferred Stock were paid in full.</w:t>
      </w:r>
    </w:p>
    <w:p>
      <w:pPr>
        <w:spacing w:after="0" w:line="141" w:lineRule="exact"/>
        <w:rPr>
          <w:sz w:val="20"/>
          <w:szCs w:val="20"/>
          <w:color w:val="auto"/>
        </w:rPr>
      </w:pPr>
    </w:p>
    <w:p>
      <w:pPr>
        <w:ind w:firstLine="1662"/>
        <w:spacing w:after="0" w:line="254"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Preferential Payments to Holders of Series C Preferred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Series E Preferred Stock and Series D Preferred Stock,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hereof, the holders of shares of Series C Preferred Stock then outstanding shall be entitled to be paid out of the assets of the Corporation available for distribution to its stockholders before any payment shall be made to the holders of Series B Preferred Stock, Series A Preferred Stock and Common Stock by reason of their ownership thereof, an amount per share equal to the Series C Original Issue Price, plus any Series C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C Preference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4"/>
          <w:szCs w:val="14"/>
          <w:u w:val="single" w:color="auto"/>
          <w:color w:val="auto"/>
        </w:rPr>
        <w:t>Subsection 2.4</w:t>
      </w:r>
      <w:r>
        <w:rPr>
          <w:rFonts w:ascii="Times New Roman" w:cs="Times New Roman" w:eastAsia="Times New Roman" w:hAnsi="Times New Roman"/>
          <w:sz w:val="14"/>
          <w:szCs w:val="14"/>
          <w:color w:val="auto"/>
        </w:rPr>
        <w:t>, the holders of shares of Series C Preferred Stock shall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of Series C Preferred Stock were paid in full.</w:t>
      </w:r>
    </w:p>
    <w:p>
      <w:pPr>
        <w:spacing w:after="0" w:line="317" w:lineRule="exact"/>
        <w:rPr>
          <w:sz w:val="20"/>
          <w:szCs w:val="20"/>
          <w:color w:val="auto"/>
        </w:rPr>
      </w:pPr>
    </w:p>
    <w:p>
      <w:pPr>
        <w:ind w:firstLine="1662"/>
        <w:spacing w:after="0" w:line="254"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Preferential Payments to Holders of Series B Preferred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Series E Preferred Stock, Series D Preferred Stock and Series C Preferred Stock pursuant to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hereof, respectively, the holders of shares of Series B Preferred Stock then outstanding shall be entitled to be paid out of the assets of the Corporation available for distribution to its stockholders before any payment shall be made to the holders of Series A Preferred Stock and Common Stock by reason of their ownership thereof, an amount per share equal to the Series B Original Issue Price, plus any Series B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B Preference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Times New Roman" w:cs="Times New Roman" w:eastAsia="Times New Roman" w:hAnsi="Times New Roman"/>
          <w:sz w:val="14"/>
          <w:szCs w:val="14"/>
          <w:u w:val="single" w:color="auto"/>
          <w:color w:val="auto"/>
        </w:rPr>
        <w:t>Subsection 2.5</w:t>
      </w:r>
      <w:r>
        <w:rPr>
          <w:rFonts w:ascii="Times New Roman" w:cs="Times New Roman" w:eastAsia="Times New Roman" w:hAnsi="Times New Roman"/>
          <w:sz w:val="14"/>
          <w:szCs w:val="14"/>
          <w:color w:val="auto"/>
        </w:rPr>
        <w:t>, the holders of shares of Series B Preferred Stock shall share ratably in any distribution of the assets available for distribution in proportion to the respective amounts which would otherwise be payable in respect of the shares of Series B Preferred Stock held by them upon such distribution if all amounts payable on or with respect to such shares of Series B Preferred Stock were paid in full.</w:t>
      </w:r>
    </w:p>
    <w:p>
      <w:pPr>
        <w:spacing w:after="0" w:line="146" w:lineRule="exact"/>
        <w:rPr>
          <w:sz w:val="20"/>
          <w:szCs w:val="20"/>
          <w:color w:val="auto"/>
        </w:rPr>
      </w:pPr>
    </w:p>
    <w:p>
      <w:pPr>
        <w:ind w:right="20" w:firstLine="1662"/>
        <w:spacing w:after="0" w:line="254"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Preferential Payments to Holders of Series A Preferred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Series E Preferred Stock, Series D Preferred Stock, Series C Preferred Stock and Series B Preferred Stock pursuant to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2.5</w:t>
      </w:r>
      <w:r>
        <w:rPr>
          <w:rFonts w:ascii="Times New Roman" w:cs="Times New Roman" w:eastAsia="Times New Roman" w:hAnsi="Times New Roman"/>
          <w:sz w:val="14"/>
          <w:szCs w:val="14"/>
          <w:color w:val="auto"/>
        </w:rPr>
        <w:t xml:space="preserve"> hereof, respectively, the holders of shares of Series A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Series A Original Issue Price, plus any Series A Accruing Dividends accrued but unpaid thereon, whether or not declared, together with any other dividends declared but unpaid thereon (the sum of such per share amounts being the “</w:t>
      </w:r>
      <w:r>
        <w:rPr>
          <w:rFonts w:ascii="Times New Roman" w:cs="Times New Roman" w:eastAsia="Times New Roman" w:hAnsi="Times New Roman"/>
          <w:sz w:val="14"/>
          <w:szCs w:val="14"/>
          <w:b w:val="1"/>
          <w:bCs w:val="1"/>
          <w:color w:val="auto"/>
        </w:rPr>
        <w:t>Series A Preference Amount</w:t>
      </w:r>
      <w:r>
        <w:rPr>
          <w:rFonts w:ascii="Times New Roman" w:cs="Times New Roman" w:eastAsia="Times New Roman" w:hAnsi="Times New Roman"/>
          <w:sz w:val="14"/>
          <w:szCs w:val="14"/>
          <w:color w:val="auto"/>
        </w:rPr>
        <w:t>” and the Series A Preference Amount, Series B Preference Amount, Series C Preference Amount, Series D Preference Amount, Series E Preference Amount and Series F Preference Amount, each, a “</w:t>
      </w:r>
      <w:r>
        <w:rPr>
          <w:rFonts w:ascii="Times New Roman" w:cs="Times New Roman" w:eastAsia="Times New Roman" w:hAnsi="Times New Roman"/>
          <w:sz w:val="14"/>
          <w:szCs w:val="14"/>
          <w:b w:val="1"/>
          <w:bCs w:val="1"/>
          <w:color w:val="auto"/>
        </w:rPr>
        <w:t>Preference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4"/>
          <w:szCs w:val="14"/>
          <w:u w:val="single" w:color="auto"/>
          <w:color w:val="auto"/>
        </w:rPr>
        <w:t>Subsection 2.6</w:t>
      </w:r>
      <w:r>
        <w:rPr>
          <w:rFonts w:ascii="Times New Roman" w:cs="Times New Roman" w:eastAsia="Times New Roman" w:hAnsi="Times New Roman"/>
          <w:sz w:val="14"/>
          <w:szCs w:val="14"/>
          <w:color w:val="auto"/>
        </w:rPr>
        <w:t>, the holders of shares of Series A Preferred Stock shall share ratably in any distribution of the assets available for distribution in proportion to the respective amounts which would otherwise be payable in respect of the shares of Series A Preferred Stock held by them upon such distribution if all amounts payable on or with respect to such shares of Series A Preferred Stock were paid in full.</w:t>
      </w:r>
    </w:p>
    <w:p>
      <w:pPr>
        <w:spacing w:after="0" w:line="144" w:lineRule="exact"/>
        <w:rPr>
          <w:sz w:val="20"/>
          <w:szCs w:val="20"/>
          <w:color w:val="auto"/>
        </w:rPr>
      </w:pPr>
    </w:p>
    <w:p>
      <w:pPr>
        <w:ind w:firstLine="1662"/>
        <w:spacing w:after="0" w:line="258" w:lineRule="auto"/>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Distribution of Remaining Assets</w:t>
      </w:r>
      <w:r>
        <w:rPr>
          <w:rFonts w:ascii="Times New Roman" w:cs="Times New Roman" w:eastAsia="Times New Roman" w:hAnsi="Times New Roman"/>
          <w:sz w:val="14"/>
          <w:szCs w:val="14"/>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The aggregate amount which a holder of a share of Series A Preferred Stock is entitled to receive under </w:t>
      </w:r>
      <w:r>
        <w:rPr>
          <w:rFonts w:ascii="Times New Roman" w:cs="Times New Roman" w:eastAsia="Times New Roman" w:hAnsi="Times New Roman"/>
          <w:sz w:val="14"/>
          <w:szCs w:val="14"/>
          <w:u w:val="single" w:color="auto"/>
          <w:color w:val="auto"/>
        </w:rPr>
        <w:t>Subsections 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82" w:name="page283"/>
    <w:bookmarkEnd w:id="282"/>
    <w:p>
      <w:pPr>
        <w:spacing w:after="0" w:line="256" w:lineRule="auto"/>
        <w:rPr>
          <w:sz w:val="20"/>
          <w:szCs w:val="20"/>
          <w:color w:val="auto"/>
        </w:rPr>
      </w:pPr>
      <w:r>
        <w:rPr>
          <w:rFonts w:ascii="Times New Roman" w:cs="Times New Roman" w:eastAsia="Times New Roman" w:hAnsi="Times New Roman"/>
          <w:sz w:val="14"/>
          <w:szCs w:val="14"/>
          <w:color w:val="auto"/>
        </w:rPr>
        <w:t>referred to as the “</w:t>
      </w:r>
      <w:r>
        <w:rPr>
          <w:rFonts w:ascii="Times New Roman" w:cs="Times New Roman" w:eastAsia="Times New Roman" w:hAnsi="Times New Roman"/>
          <w:sz w:val="14"/>
          <w:szCs w:val="14"/>
          <w:b w:val="1"/>
          <w:bCs w:val="1"/>
          <w:color w:val="auto"/>
        </w:rPr>
        <w:t>Series A Liquidation Amount</w:t>
      </w:r>
      <w:r>
        <w:rPr>
          <w:rFonts w:ascii="Times New Roman" w:cs="Times New Roman" w:eastAsia="Times New Roman" w:hAnsi="Times New Roman"/>
          <w:sz w:val="14"/>
          <w:szCs w:val="14"/>
          <w:color w:val="auto"/>
        </w:rPr>
        <w:t xml:space="preserve">.” The aggregate amount which a holder of a share of Series B Preferred Stock is entitled to receive under </w:t>
      </w:r>
      <w:r>
        <w:rPr>
          <w:rFonts w:ascii="Times New Roman" w:cs="Times New Roman" w:eastAsia="Times New Roman" w:hAnsi="Times New Roman"/>
          <w:sz w:val="14"/>
          <w:szCs w:val="14"/>
          <w:u w:val="single" w:color="auto"/>
          <w:color w:val="auto"/>
        </w:rPr>
        <w:t>Subsections 2.5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 referred to as the </w:t>
      </w:r>
      <w:r>
        <w:rPr>
          <w:rFonts w:ascii="Times New Roman" w:cs="Times New Roman" w:eastAsia="Times New Roman" w:hAnsi="Times New Roman"/>
          <w:sz w:val="14"/>
          <w:szCs w:val="14"/>
          <w:b w:val="1"/>
          <w:bCs w:val="1"/>
          <w:color w:val="auto"/>
        </w:rPr>
        <w:t>“Series B Liquidation Amount</w:t>
      </w:r>
      <w:r>
        <w:rPr>
          <w:rFonts w:ascii="Times New Roman" w:cs="Times New Roman" w:eastAsia="Times New Roman" w:hAnsi="Times New Roman"/>
          <w:sz w:val="14"/>
          <w:szCs w:val="14"/>
          <w:color w:val="auto"/>
        </w:rPr>
        <w:t xml:space="preserve">”. The aggregate amount which a holder of a share of Series C Preferred Stock is entitled to receive under </w:t>
      </w:r>
      <w:r>
        <w:rPr>
          <w:rFonts w:ascii="Times New Roman" w:cs="Times New Roman" w:eastAsia="Times New Roman" w:hAnsi="Times New Roman"/>
          <w:sz w:val="14"/>
          <w:szCs w:val="14"/>
          <w:u w:val="single" w:color="auto"/>
          <w:color w:val="auto"/>
        </w:rPr>
        <w:t>Subsections 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 referred to as the “</w:t>
      </w:r>
      <w:r>
        <w:rPr>
          <w:rFonts w:ascii="Times New Roman" w:cs="Times New Roman" w:eastAsia="Times New Roman" w:hAnsi="Times New Roman"/>
          <w:sz w:val="14"/>
          <w:szCs w:val="14"/>
          <w:b w:val="1"/>
          <w:bCs w:val="1"/>
          <w:color w:val="auto"/>
        </w:rPr>
        <w:t>Series C Liquidation Amount</w:t>
      </w:r>
      <w:r>
        <w:rPr>
          <w:rFonts w:ascii="Times New Roman" w:cs="Times New Roman" w:eastAsia="Times New Roman" w:hAnsi="Times New Roman"/>
          <w:sz w:val="14"/>
          <w:szCs w:val="14"/>
          <w:color w:val="auto"/>
        </w:rPr>
        <w:t xml:space="preserve">”. The aggregate amount which a holder of a share of Series D Preferred Stock is entitled to receive under </w:t>
      </w:r>
      <w:r>
        <w:rPr>
          <w:rFonts w:ascii="Times New Roman" w:cs="Times New Roman" w:eastAsia="Times New Roman" w:hAnsi="Times New Roman"/>
          <w:sz w:val="14"/>
          <w:szCs w:val="14"/>
          <w:u w:val="single" w:color="auto"/>
          <w:color w:val="auto"/>
        </w:rPr>
        <w:t>Subsections 2.3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 referred to as the “</w:t>
      </w:r>
      <w:r>
        <w:rPr>
          <w:rFonts w:ascii="Times New Roman" w:cs="Times New Roman" w:eastAsia="Times New Roman" w:hAnsi="Times New Roman"/>
          <w:sz w:val="14"/>
          <w:szCs w:val="14"/>
          <w:b w:val="1"/>
          <w:bCs w:val="1"/>
          <w:color w:val="auto"/>
        </w:rPr>
        <w:t>Series D Liquidation Amount</w:t>
      </w:r>
      <w:r>
        <w:rPr>
          <w:rFonts w:ascii="Times New Roman" w:cs="Times New Roman" w:eastAsia="Times New Roman" w:hAnsi="Times New Roman"/>
          <w:sz w:val="14"/>
          <w:szCs w:val="14"/>
          <w:color w:val="auto"/>
        </w:rPr>
        <w:t xml:space="preserve">”. The aggregate amount which a holder of a share of Series E Preferred Stock is entitled to receive under </w:t>
      </w:r>
      <w:r>
        <w:rPr>
          <w:rFonts w:ascii="Times New Roman" w:cs="Times New Roman" w:eastAsia="Times New Roman" w:hAnsi="Times New Roman"/>
          <w:sz w:val="14"/>
          <w:szCs w:val="14"/>
          <w:u w:val="single" w:color="auto"/>
          <w:color w:val="auto"/>
        </w:rPr>
        <w:t>Subsections 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 referred to as the “</w:t>
      </w:r>
      <w:r>
        <w:rPr>
          <w:rFonts w:ascii="Times New Roman" w:cs="Times New Roman" w:eastAsia="Times New Roman" w:hAnsi="Times New Roman"/>
          <w:sz w:val="14"/>
          <w:szCs w:val="14"/>
          <w:b w:val="1"/>
          <w:bCs w:val="1"/>
          <w:color w:val="auto"/>
        </w:rPr>
        <w:t>Series E Liquidation Amount</w:t>
      </w:r>
      <w:r>
        <w:rPr>
          <w:rFonts w:ascii="Times New Roman" w:cs="Times New Roman" w:eastAsia="Times New Roman" w:hAnsi="Times New Roman"/>
          <w:sz w:val="14"/>
          <w:szCs w:val="14"/>
          <w:color w:val="auto"/>
        </w:rPr>
        <w:t xml:space="preserve">”. The aggregate amount which a holder of a share of Series F Preferred Stock is entitled to receive under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is hereinafter referred to as the “</w:t>
      </w:r>
      <w:r>
        <w:rPr>
          <w:rFonts w:ascii="Times New Roman" w:cs="Times New Roman" w:eastAsia="Times New Roman" w:hAnsi="Times New Roman"/>
          <w:sz w:val="14"/>
          <w:szCs w:val="14"/>
          <w:b w:val="1"/>
          <w:bCs w:val="1"/>
          <w:color w:val="auto"/>
        </w:rPr>
        <w:t>Series F Liquidation Amount</w:t>
      </w:r>
      <w:r>
        <w:rPr>
          <w:rFonts w:ascii="Times New Roman" w:cs="Times New Roman" w:eastAsia="Times New Roman" w:hAnsi="Times New Roman"/>
          <w:sz w:val="14"/>
          <w:szCs w:val="14"/>
          <w:color w:val="auto"/>
        </w:rPr>
        <w:t>,” and, together with the Series A Liquidation Amount, Series B Liquidation Amount, Series C Liquidation Amount, Series D Liquidation Amount and Series E Liquidation Amount, each a “</w:t>
      </w:r>
      <w:r>
        <w:rPr>
          <w:rFonts w:ascii="Times New Roman" w:cs="Times New Roman" w:eastAsia="Times New Roman" w:hAnsi="Times New Roman"/>
          <w:sz w:val="14"/>
          <w:szCs w:val="14"/>
          <w:b w:val="1"/>
          <w:bCs w:val="1"/>
          <w:color w:val="auto"/>
        </w:rPr>
        <w:t>Liquidation Amount</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Deemed Liquidation Events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firstLine="2301"/>
        <w:spacing w:after="0" w:line="256" w:lineRule="auto"/>
        <w:rPr>
          <w:sz w:val="20"/>
          <w:szCs w:val="20"/>
          <w:color w:val="auto"/>
        </w:rPr>
      </w:pPr>
      <w:r>
        <w:rPr>
          <w:rFonts w:ascii="Times New Roman" w:cs="Times New Roman" w:eastAsia="Times New Roman" w:hAnsi="Times New Roman"/>
          <w:sz w:val="14"/>
          <w:szCs w:val="14"/>
          <w:color w:val="auto"/>
        </w:rPr>
        <w:t xml:space="preserve">2.8.1 </w:t>
      </w: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Each of the following events shall be considered a “</w:t>
      </w:r>
      <w:r>
        <w:rPr>
          <w:rFonts w:ascii="Times New Roman" w:cs="Times New Roman" w:eastAsia="Times New Roman" w:hAnsi="Times New Roman"/>
          <w:sz w:val="14"/>
          <w:szCs w:val="14"/>
          <w:b w:val="1"/>
          <w:bCs w:val="1"/>
          <w:color w:val="auto"/>
        </w:rPr>
        <w:t>Deemed Liquidation Event</w:t>
      </w:r>
      <w:r>
        <w:rPr>
          <w:rFonts w:ascii="Times New Roman" w:cs="Times New Roman" w:eastAsia="Times New Roman" w:hAnsi="Times New Roman"/>
          <w:sz w:val="14"/>
          <w:szCs w:val="14"/>
          <w:color w:val="auto"/>
        </w:rPr>
        <w:t>” unless each of (i) the holders of a majority of the issued and outstanding shares of Preferred Stock, voting on an as-converted basis and together as a single class (the “</w:t>
      </w:r>
      <w:r>
        <w:rPr>
          <w:rFonts w:ascii="Times New Roman" w:cs="Times New Roman" w:eastAsia="Times New Roman" w:hAnsi="Times New Roman"/>
          <w:sz w:val="14"/>
          <w:szCs w:val="14"/>
          <w:b w:val="1"/>
          <w:bCs w:val="1"/>
          <w:color w:val="auto"/>
        </w:rPr>
        <w:t>Requisite Preferred Stock Holders</w:t>
      </w:r>
      <w:r>
        <w:rPr>
          <w:rFonts w:ascii="Times New Roman" w:cs="Times New Roman" w:eastAsia="Times New Roman" w:hAnsi="Times New Roman"/>
          <w:sz w:val="14"/>
          <w:szCs w:val="14"/>
          <w:color w:val="auto"/>
        </w:rPr>
        <w:t>”), (ii) the holders of at least sixty-six and two-thirds percent (66 2/3%) of the issued and outstanding shares of Series C Preferred Stock, exclusively and as a separate class (the “</w:t>
      </w:r>
      <w:r>
        <w:rPr>
          <w:rFonts w:ascii="Times New Roman" w:cs="Times New Roman" w:eastAsia="Times New Roman" w:hAnsi="Times New Roman"/>
          <w:sz w:val="14"/>
          <w:szCs w:val="14"/>
          <w:b w:val="1"/>
          <w:bCs w:val="1"/>
          <w:color w:val="auto"/>
        </w:rPr>
        <w:t>Requisite Series C Holders</w:t>
      </w:r>
      <w:r>
        <w:rPr>
          <w:rFonts w:ascii="Times New Roman" w:cs="Times New Roman" w:eastAsia="Times New Roman" w:hAnsi="Times New Roman"/>
          <w:sz w:val="14"/>
          <w:szCs w:val="14"/>
          <w:color w:val="auto"/>
        </w:rPr>
        <w:t>”), (iii) the holders of a majority of the issued and outstanding shares of Series D Preferred Stock, voting on an as-converted basis and together as a single class (the “</w:t>
      </w:r>
      <w:r>
        <w:rPr>
          <w:rFonts w:ascii="Times New Roman" w:cs="Times New Roman" w:eastAsia="Times New Roman" w:hAnsi="Times New Roman"/>
          <w:sz w:val="14"/>
          <w:szCs w:val="14"/>
          <w:b w:val="1"/>
          <w:bCs w:val="1"/>
          <w:color w:val="auto"/>
        </w:rPr>
        <w:t>Requisite Series D Holders</w:t>
      </w:r>
      <w:r>
        <w:rPr>
          <w:rFonts w:ascii="Times New Roman" w:cs="Times New Roman" w:eastAsia="Times New Roman" w:hAnsi="Times New Roman"/>
          <w:sz w:val="14"/>
          <w:szCs w:val="14"/>
          <w:color w:val="auto"/>
        </w:rPr>
        <w:t>”), (iv) the holders of at least sixty percent (60%) of the issued and outstanding shares of Series E Preferred Stock, voting on an as-converted basis and together as a single class (the “</w:t>
      </w:r>
      <w:r>
        <w:rPr>
          <w:rFonts w:ascii="Times New Roman" w:cs="Times New Roman" w:eastAsia="Times New Roman" w:hAnsi="Times New Roman"/>
          <w:sz w:val="14"/>
          <w:szCs w:val="14"/>
          <w:b w:val="1"/>
          <w:bCs w:val="1"/>
          <w:color w:val="auto"/>
        </w:rPr>
        <w:t>Requisite Series E Holders</w:t>
      </w:r>
      <w:r>
        <w:rPr>
          <w:rFonts w:ascii="Times New Roman" w:cs="Times New Roman" w:eastAsia="Times New Roman" w:hAnsi="Times New Roman"/>
          <w:sz w:val="14"/>
          <w:szCs w:val="14"/>
          <w:color w:val="auto"/>
        </w:rPr>
        <w:t>”), and (v) the holders of at least sixty-five percent (65%) of the issued and outstanding shares of Series F Preferred Stock, voting on an as-converted basis and together as a single class (the “</w:t>
      </w:r>
      <w:r>
        <w:rPr>
          <w:rFonts w:ascii="Times New Roman" w:cs="Times New Roman" w:eastAsia="Times New Roman" w:hAnsi="Times New Roman"/>
          <w:sz w:val="14"/>
          <w:szCs w:val="14"/>
          <w:b w:val="1"/>
          <w:bCs w:val="1"/>
          <w:color w:val="auto"/>
        </w:rPr>
        <w:t>Requisite Series F Holders</w:t>
      </w:r>
      <w:r>
        <w:rPr>
          <w:rFonts w:ascii="Times New Roman" w:cs="Times New Roman" w:eastAsia="Times New Roman" w:hAnsi="Times New Roman"/>
          <w:sz w:val="14"/>
          <w:szCs w:val="14"/>
          <w:color w:val="auto"/>
        </w:rPr>
        <w:t>”) elect otherwise by written notice sent to the Corporation at least ten (10) days prior to the effective date of any such event:</w:t>
      </w:r>
    </w:p>
    <w:p>
      <w:pPr>
        <w:spacing w:after="0" w:line="146" w:lineRule="exact"/>
        <w:rPr>
          <w:sz w:val="20"/>
          <w:szCs w:val="20"/>
          <w:color w:val="auto"/>
        </w:rPr>
      </w:pPr>
    </w:p>
    <w:p>
      <w:pPr>
        <w:ind w:left="3000" w:hanging="191"/>
        <w:spacing w:after="0"/>
        <w:tabs>
          <w:tab w:leader="none" w:pos="30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consolidation, statutory conversion, transfer of the Corporation, domestication, or continuance in which</w:t>
      </w:r>
    </w:p>
    <w:p>
      <w:pPr>
        <w:spacing w:after="0" w:line="175" w:lineRule="exact"/>
        <w:rPr>
          <w:rFonts w:ascii="Times New Roman" w:cs="Times New Roman" w:eastAsia="Times New Roman" w:hAnsi="Times New Roman"/>
          <w:sz w:val="14"/>
          <w:szCs w:val="14"/>
          <w:color w:val="auto"/>
        </w:rPr>
      </w:pPr>
    </w:p>
    <w:p>
      <w:pPr>
        <w:ind w:left="3500" w:hanging="172"/>
        <w:spacing w:after="0"/>
        <w:tabs>
          <w:tab w:leader="none" w:pos="350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is a constituent party or</w:t>
      </w:r>
    </w:p>
    <w:p>
      <w:pPr>
        <w:spacing w:after="0" w:line="175" w:lineRule="exact"/>
        <w:rPr>
          <w:rFonts w:ascii="Times New Roman" w:cs="Times New Roman" w:eastAsia="Times New Roman" w:hAnsi="Times New Roman"/>
          <w:sz w:val="14"/>
          <w:szCs w:val="14"/>
          <w:color w:val="auto"/>
        </w:rPr>
      </w:pPr>
    </w:p>
    <w:p>
      <w:pPr>
        <w:ind w:left="520" w:firstLine="2808"/>
        <w:spacing w:after="0" w:line="255" w:lineRule="auto"/>
        <w:tabs>
          <w:tab w:leader="none" w:pos="3539"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subsidiary of the Corporation is a constituent party and the Corporation issues shares of its capital stock pursuant to such merger, consolidation, statutory conversion, transfer of the Corporation, domestication, or continuance except any such merger, consolidation, statutory conversion, transfer of the Corporation, domestication, or continuance involving the Corporation or a subsidiary in which the shares of capital stock of the Corporation outstanding immediately prior to such merger, consolidation statutory conversion, transfer of the Corporation, domestication, or continuance continue to represent, or are converted into or exchanged for shares of capital stock or other equity interests that represent, immediately following such merger, consolidation, statutory conversion, transfer of the Corporation,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of the Corporation, domestication, or continuance, the parent corporation or entity of such surviving or resulting corporation or entity; or</w:t>
      </w:r>
    </w:p>
    <w:p>
      <w:pPr>
        <w:spacing w:after="0" w:line="145" w:lineRule="exact"/>
        <w:rPr>
          <w:rFonts w:ascii="Times New Roman" w:cs="Times New Roman" w:eastAsia="Times New Roman" w:hAnsi="Times New Roman"/>
          <w:sz w:val="14"/>
          <w:szCs w:val="14"/>
          <w:color w:val="auto"/>
        </w:rPr>
      </w:pPr>
    </w:p>
    <w:p>
      <w:pPr>
        <w:ind w:left="1140" w:right="60" w:firstLine="1669"/>
        <w:spacing w:after="0" w:line="257" w:lineRule="auto"/>
        <w:tabs>
          <w:tab w:leader="none" w:pos="30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(ii) the sale, lease, transfer, exclusive license or other disposition (whether by merger, consolidation, statutory conversion, transfer of the Corporation, domestication, continuance or otherwise, and whether in a single transaction or a series of related transactions)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283" w:name="page284"/>
    <w:bookmarkEnd w:id="283"/>
    <w:p>
      <w:pPr>
        <w:ind w:left="1160"/>
        <w:spacing w:after="0"/>
        <w:rPr>
          <w:sz w:val="20"/>
          <w:szCs w:val="20"/>
          <w:color w:val="auto"/>
        </w:rPr>
      </w:pPr>
      <w:r>
        <w:rPr>
          <w:rFonts w:ascii="Times New Roman" w:cs="Times New Roman" w:eastAsia="Times New Roman" w:hAnsi="Times New Roman"/>
          <w:sz w:val="14"/>
          <w:szCs w:val="14"/>
          <w:color w:val="auto"/>
        </w:rPr>
        <w:t xml:space="preserve">2.8.2 </w:t>
      </w:r>
      <w:r>
        <w:rPr>
          <w:rFonts w:ascii="Times New Roman" w:cs="Times New Roman" w:eastAsia="Times New Roman" w:hAnsi="Times New Roman"/>
          <w:sz w:val="14"/>
          <w:szCs w:val="14"/>
          <w:u w:val="single" w:color="auto"/>
          <w:color w:val="auto"/>
        </w:rPr>
        <w:t>Effecting a Deemed Liquidation Event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0" w:right="40" w:firstLine="1656"/>
        <w:spacing w:after="0" w:line="261" w:lineRule="auto"/>
        <w:tabs>
          <w:tab w:leader="none" w:pos="18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shall not have the power to effect a Deemed Liquidation Event referred to in </w:t>
      </w:r>
      <w:r>
        <w:rPr>
          <w:rFonts w:ascii="Times New Roman" w:cs="Times New Roman" w:eastAsia="Times New Roman" w:hAnsi="Times New Roman"/>
          <w:sz w:val="14"/>
          <w:szCs w:val="14"/>
          <w:u w:val="single" w:color="auto"/>
          <w:color w:val="auto"/>
        </w:rPr>
        <w:t>Subsection 2.8.1(a)(i)</w:t>
      </w:r>
      <w:r>
        <w:rPr>
          <w:rFonts w:ascii="Times New Roman" w:cs="Times New Roman" w:eastAsia="Times New Roman" w:hAnsi="Times New Roman"/>
          <w:sz w:val="14"/>
          <w:szCs w:val="14"/>
          <w:color w:val="auto"/>
        </w:rPr>
        <w:t xml:space="preserve"> unless the agreement or plan with respect to such transaction, or terms of such transaction (any such agreement, plan or terms, the “</w:t>
      </w:r>
      <w:r>
        <w:rPr>
          <w:rFonts w:ascii="Times New Roman" w:cs="Times New Roman" w:eastAsia="Times New Roman" w:hAnsi="Times New Roman"/>
          <w:sz w:val="14"/>
          <w:szCs w:val="14"/>
          <w:b w:val="1"/>
          <w:bCs w:val="1"/>
          <w:color w:val="auto"/>
        </w:rPr>
        <w:t>Transaction Document</w:t>
      </w:r>
      <w:r>
        <w:rPr>
          <w:rFonts w:ascii="Times New Roman" w:cs="Times New Roman" w:eastAsia="Times New Roman" w:hAnsi="Times New Roman"/>
          <w:sz w:val="14"/>
          <w:szCs w:val="14"/>
          <w:color w:val="auto"/>
        </w:rPr>
        <w:t xml:space="preserve">”) provides that the consideration payable to the stockholders of the Corporation in such Deemed Liquidation Event shall be allocated among the holders of capital stock of the Corporation in accordance with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right="20" w:firstLine="1669"/>
        <w:spacing w:after="0" w:line="251" w:lineRule="auto"/>
        <w:tabs>
          <w:tab w:leader="none" w:pos="18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Deemed Liquidation Event referred to in </w:t>
      </w:r>
      <w:r>
        <w:rPr>
          <w:rFonts w:ascii="Times New Roman" w:cs="Times New Roman" w:eastAsia="Times New Roman" w:hAnsi="Times New Roman"/>
          <w:sz w:val="14"/>
          <w:szCs w:val="14"/>
          <w:u w:val="single" w:color="auto"/>
          <w:color w:val="auto"/>
        </w:rPr>
        <w:t>Subsection 2.8.1(a)(ii)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2.8.1(b)</w:t>
      </w:r>
      <w:r>
        <w:rPr>
          <w:rFonts w:ascii="Times New Roman" w:cs="Times New Roman" w:eastAsia="Times New Roman" w:hAnsi="Times New Roman"/>
          <w:sz w:val="14"/>
          <w:szCs w:val="14"/>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 after the Deemed Liquidation Event advising such holders of their right (and the requirements to be met to secure such right) pursuant to the terms of the following clause; (ii) to require the redemption of such shares of Preferred Stock, and (iii) if holders representing the Requisite Preferred Stock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4"/>
          <w:szCs w:val="14"/>
          <w:b w:val="1"/>
          <w:bCs w:val="1"/>
          <w:color w:val="auto"/>
        </w:rPr>
        <w:t>Available Proceeds</w:t>
      </w:r>
      <w:r>
        <w:rPr>
          <w:rFonts w:ascii="Times New Roman" w:cs="Times New Roman" w:eastAsia="Times New Roman" w:hAnsi="Times New Roman"/>
          <w:sz w:val="14"/>
          <w:szCs w:val="14"/>
          <w:color w:val="auto"/>
        </w:rPr>
        <w:t>”), on the one hundred fiftieth (150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 after such Deemed Liquidation Event (the “</w:t>
      </w:r>
      <w:r>
        <w:rPr>
          <w:rFonts w:ascii="Times New Roman" w:cs="Times New Roman" w:eastAsia="Times New Roman" w:hAnsi="Times New Roman"/>
          <w:sz w:val="14"/>
          <w:szCs w:val="14"/>
          <w:b w:val="1"/>
          <w:bCs w:val="1"/>
          <w:color w:val="auto"/>
        </w:rPr>
        <w:t>Redemption Date</w:t>
      </w:r>
      <w:r>
        <w:rPr>
          <w:rFonts w:ascii="Times New Roman" w:cs="Times New Roman" w:eastAsia="Times New Roman" w:hAnsi="Times New Roman"/>
          <w:sz w:val="14"/>
          <w:szCs w:val="14"/>
          <w:color w:val="auto"/>
        </w:rPr>
        <w:t>”), to redeem all outstanding shares of each series of Preferred Stock at a price per share equal to the applicable Liquidation Amount for such series (the “</w:t>
      </w:r>
      <w:r>
        <w:rPr>
          <w:rFonts w:ascii="Times New Roman" w:cs="Times New Roman" w:eastAsia="Times New Roman" w:hAnsi="Times New Roman"/>
          <w:sz w:val="14"/>
          <w:szCs w:val="14"/>
          <w:b w:val="1"/>
          <w:bCs w:val="1"/>
          <w:color w:val="auto"/>
        </w:rPr>
        <w:t>Redemption Price</w:t>
      </w:r>
      <w:r>
        <w:rPr>
          <w:rFonts w:ascii="Times New Roman" w:cs="Times New Roman" w:eastAsia="Times New Roman" w:hAnsi="Times New Roman"/>
          <w:sz w:val="14"/>
          <w:szCs w:val="14"/>
          <w:color w:val="auto"/>
        </w:rPr>
        <w:t xml:space="preserve">”). Notwithstanding the foregoing, in the event of a redemption pursuant to the preceding sentence, if the Available Proceeds are not sufficient to redeem all outstanding shares of Preferred Stock, the Corporation shall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ratably redeem each holder’s shares of Series F Preferred Stock to the fullest extent of such Available Proceeds based on the respective amounts which would otherwise be payable in respect of the shares of Series F Preferred Stock if the Available Proceeds were sufficient to redeem all such shares,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xml:space="preserve">, ratably redeem each holder’s shares of Series E Preferred Stock to the fullest extent of such Available Proceeds (after the payment to holders of Series F Preferred Stock of all amounts owed with respect thereto pursuant to this Subsection 2.8.2.(b)) based on the respective amounts which would otherwise be payable in respect of the shares of Series E Preferred Stock if the Available Proceeds were sufficient to redeem all such shares,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xml:space="preserve">, ratably redeem each holder’s shares of Series D Preferred Stock to the fullest extent of such Available Proceeds (after the payment to holders of Series F Preferred Stock and Series E Preferred Stock of all amounts owed with respect thereto pursuant to this </w:t>
      </w:r>
      <w:r>
        <w:rPr>
          <w:rFonts w:ascii="Times New Roman" w:cs="Times New Roman" w:eastAsia="Times New Roman" w:hAnsi="Times New Roman"/>
          <w:sz w:val="14"/>
          <w:szCs w:val="14"/>
          <w:u w:val="single" w:color="auto"/>
          <w:color w:val="auto"/>
        </w:rPr>
        <w:t>Subsection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2.8.2.(b)</w:t>
      </w:r>
      <w:r>
        <w:rPr>
          <w:rFonts w:ascii="Times New Roman" w:cs="Times New Roman" w:eastAsia="Times New Roman" w:hAnsi="Times New Roman"/>
          <w:sz w:val="14"/>
          <w:szCs w:val="14"/>
          <w:color w:val="auto"/>
        </w:rPr>
        <w:t xml:space="preserve">) based on the respective amounts which would otherwise be payable in respect of the shares of Series D Preferred Stock if the Available Proceeds were sufficient to redeem all such shares, </w:t>
      </w: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xml:space="preserve"> ratably redeem each holder’s shares of Series C Preferred Stock to the fullest extent of such Available Proceeds (after the payment to holders of Series F Preferred Stock, Series E Preferred Stock and Series D Preferred Stock of all amounts owed with respect thereto pursuant to this </w:t>
      </w:r>
      <w:r>
        <w:rPr>
          <w:rFonts w:ascii="Times New Roman" w:cs="Times New Roman" w:eastAsia="Times New Roman" w:hAnsi="Times New Roman"/>
          <w:sz w:val="14"/>
          <w:szCs w:val="14"/>
          <w:u w:val="single" w:color="auto"/>
          <w:color w:val="auto"/>
        </w:rPr>
        <w:t>Subsection 2.8.2.(b)</w:t>
      </w:r>
      <w:r>
        <w:rPr>
          <w:rFonts w:ascii="Times New Roman" w:cs="Times New Roman" w:eastAsia="Times New Roman" w:hAnsi="Times New Roman"/>
          <w:sz w:val="14"/>
          <w:szCs w:val="14"/>
          <w:color w:val="auto"/>
        </w:rPr>
        <w:t xml:space="preserve">) based on the respective amounts which would otherwise be payable in respect of the shares of Series C Preferred Stock to be redeemed if the Available Proceeds were sufficient to redeem all such shares, </w:t>
      </w: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xml:space="preserve"> ratably redeem each holder’s shares of Series B Preferred Stock to the fullest extent of such Available Proceeds (after the payment to holders of Series F Preferred Stock, Series E Preferred Stock, Series D Preferred Stock and Series C Preferred Stock of all amounts owed with respect thereto pursuant to this </w:t>
      </w:r>
      <w:r>
        <w:rPr>
          <w:rFonts w:ascii="Times New Roman" w:cs="Times New Roman" w:eastAsia="Times New Roman" w:hAnsi="Times New Roman"/>
          <w:sz w:val="14"/>
          <w:szCs w:val="14"/>
          <w:u w:val="single" w:color="auto"/>
          <w:color w:val="auto"/>
        </w:rPr>
        <w:t>Subsection 2.8.2(b)</w:t>
      </w:r>
      <w:r>
        <w:rPr>
          <w:rFonts w:ascii="Times New Roman" w:cs="Times New Roman" w:eastAsia="Times New Roman" w:hAnsi="Times New Roman"/>
          <w:sz w:val="14"/>
          <w:szCs w:val="14"/>
          <w:color w:val="auto"/>
        </w:rPr>
        <w:t xml:space="preserve">) based on the respective amounts which would otherwise be payable in respect of the shares of Series B Preferred Stock if the Available Proceeds were sufficient to redeem all such shares, </w:t>
      </w:r>
      <w:r>
        <w:rPr>
          <w:rFonts w:ascii="Times New Roman" w:cs="Times New Roman" w:eastAsia="Times New Roman" w:hAnsi="Times New Roman"/>
          <w:sz w:val="14"/>
          <w:szCs w:val="14"/>
          <w:i w:val="1"/>
          <w:iCs w:val="1"/>
          <w:color w:val="auto"/>
        </w:rPr>
        <w:t>sixth,</w:t>
      </w:r>
      <w:r>
        <w:rPr>
          <w:rFonts w:ascii="Times New Roman" w:cs="Times New Roman" w:eastAsia="Times New Roman" w:hAnsi="Times New Roman"/>
          <w:sz w:val="14"/>
          <w:szCs w:val="14"/>
          <w:color w:val="auto"/>
        </w:rPr>
        <w:t xml:space="preserve"> ratably redeem each holder’s shares of Series A Preferred Stock to the fullest extent of such remaining Available Proceeds (after the payment to holders of Series F Preferred Stock, Series E Preferred Stock, Series D Preferred Stock, Series C Preferred Stock and Series B Preferred Stock of all amounts owed with respect thereto pursuant to this </w:t>
      </w:r>
      <w:r>
        <w:rPr>
          <w:rFonts w:ascii="Times New Roman" w:cs="Times New Roman" w:eastAsia="Times New Roman" w:hAnsi="Times New Roman"/>
          <w:sz w:val="14"/>
          <w:szCs w:val="14"/>
          <w:u w:val="single" w:color="auto"/>
          <w:color w:val="auto"/>
        </w:rPr>
        <w:t>Subsection</w:t>
      </w:r>
    </w:p>
    <w:p>
      <w:pPr>
        <w:spacing w:after="0" w:line="10" w:lineRule="exact"/>
        <w:rPr>
          <w:rFonts w:ascii="Times New Roman" w:cs="Times New Roman" w:eastAsia="Times New Roman" w:hAnsi="Times New Roman"/>
          <w:sz w:val="14"/>
          <w:szCs w:val="14"/>
          <w:color w:val="auto"/>
        </w:rPr>
      </w:pPr>
    </w:p>
    <w:p>
      <w:pPr>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2.8.2(b)</w:t>
      </w:r>
      <w:r>
        <w:rPr>
          <w:rFonts w:ascii="Times New Roman" w:cs="Times New Roman" w:eastAsia="Times New Roman" w:hAnsi="Times New Roman"/>
          <w:sz w:val="14"/>
          <w:szCs w:val="14"/>
          <w:color w:val="auto"/>
        </w:rPr>
        <w:t xml:space="preserve">) based on the respective amounts which would otherwise be payable in respect of the shares of Series A Preferred Stock if the Available Proceeds were sufficient to redeem all such shares and </w:t>
      </w:r>
      <w:r>
        <w:rPr>
          <w:rFonts w:ascii="Times New Roman" w:cs="Times New Roman" w:eastAsia="Times New Roman" w:hAnsi="Times New Roman"/>
          <w:sz w:val="14"/>
          <w:szCs w:val="14"/>
          <w:i w:val="1"/>
          <w:iCs w:val="1"/>
          <w:color w:val="auto"/>
        </w:rPr>
        <w:t>then</w:t>
      </w:r>
      <w:r>
        <w:rPr>
          <w:rFonts w:ascii="Times New Roman" w:cs="Times New Roman" w:eastAsia="Times New Roman" w:hAnsi="Times New Roman"/>
          <w:sz w:val="14"/>
          <w:szCs w:val="14"/>
          <w:color w:val="auto"/>
        </w:rPr>
        <w:t xml:space="preserve">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4"/>
          <w:szCs w:val="14"/>
          <w:u w:val="single" w:color="auto"/>
          <w:color w:val="auto"/>
        </w:rPr>
        <w:t>Subsection 2.8.2(b)</w:t>
      </w:r>
      <w:r>
        <w:rPr>
          <w:rFonts w:ascii="Times New Roman" w:cs="Times New Roman" w:eastAsia="Times New Roman" w:hAnsi="Times New Roman"/>
          <w:sz w:val="14"/>
          <w:szCs w:val="14"/>
          <w:color w:val="auto"/>
        </w:rPr>
        <w:t>, the Corporation shall not expend or dissipate the consideration received for such Deemed Liquidation Event, except to discharge expenses incurred in connection with such Deemed Liquidation Event.</w:t>
      </w:r>
    </w:p>
    <w:p>
      <w:pPr>
        <w:spacing w:after="0" w:line="142" w:lineRule="exact"/>
        <w:rPr>
          <w:rFonts w:ascii="Times New Roman" w:cs="Times New Roman" w:eastAsia="Times New Roman" w:hAnsi="Times New Roman"/>
          <w:sz w:val="14"/>
          <w:szCs w:val="14"/>
          <w:color w:val="auto"/>
        </w:rPr>
      </w:pPr>
    </w:p>
    <w:p>
      <w:pPr>
        <w:ind w:right="520" w:firstLine="1669"/>
        <w:spacing w:after="0" w:line="286" w:lineRule="auto"/>
        <w:tabs>
          <w:tab w:leader="none" w:pos="185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Redemption Notice</w:t>
      </w:r>
      <w:r>
        <w:rPr>
          <w:rFonts w:ascii="Times New Roman" w:cs="Times New Roman" w:eastAsia="Times New Roman" w:hAnsi="Times New Roman"/>
          <w:sz w:val="14"/>
          <w:szCs w:val="14"/>
          <w:color w:val="auto"/>
        </w:rPr>
        <w:t>. The Corporation shall send a written notice of the redemption (the “</w:t>
      </w:r>
      <w:r>
        <w:rPr>
          <w:rFonts w:ascii="Times New Roman" w:cs="Times New Roman" w:eastAsia="Times New Roman" w:hAnsi="Times New Roman"/>
          <w:sz w:val="14"/>
          <w:szCs w:val="14"/>
          <w:b w:val="1"/>
          <w:bCs w:val="1"/>
          <w:color w:val="auto"/>
        </w:rPr>
        <w:t>Redemption Notice</w:t>
      </w:r>
      <w:r>
        <w:rPr>
          <w:rFonts w:ascii="Times New Roman" w:cs="Times New Roman" w:eastAsia="Times New Roman" w:hAnsi="Times New Roman"/>
          <w:sz w:val="14"/>
          <w:szCs w:val="14"/>
          <w:color w:val="auto"/>
        </w:rPr>
        <w:t>”) to each holder of record of Preferred Stock not less than twenty (20) days prior to the Redemption Date. Such Redemption Notice shall state:</w:t>
      </w:r>
    </w:p>
    <w:p>
      <w:pPr>
        <w:spacing w:after="0" w:line="122" w:lineRule="exact"/>
        <w:rPr>
          <w:rFonts w:ascii="Times New Roman" w:cs="Times New Roman" w:eastAsia="Times New Roman" w:hAnsi="Times New Roman"/>
          <w:sz w:val="14"/>
          <w:szCs w:val="14"/>
          <w:color w:val="auto"/>
        </w:rPr>
      </w:pPr>
    </w:p>
    <w:p>
      <w:pPr>
        <w:ind w:left="2480" w:hanging="172"/>
        <w:spacing w:after="0"/>
        <w:tabs>
          <w:tab w:leader="none" w:pos="248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held by the holder that the Corporation shall redeem on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495300</wp:posOffset>
            </wp:positionV>
            <wp:extent cx="7188200"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40"/>
          </w:cols>
          <w:pgMar w:left="1440" w:top="987" w:right="319" w:bottom="1440" w:gutter="0" w:footer="0" w:header="0"/>
        </w:sectPr>
      </w:pPr>
    </w:p>
    <w:bookmarkStart w:id="284" w:name="page285"/>
    <w:bookmarkEnd w:id="284"/>
    <w:p>
      <w:pPr>
        <w:ind w:left="3660" w:hanging="212"/>
        <w:spacing w:after="0"/>
        <w:tabs>
          <w:tab w:leader="none" w:pos="366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 and the applicable Liquidation Amount; and</w:t>
      </w:r>
    </w:p>
    <w:p>
      <w:pPr>
        <w:spacing w:after="0" w:line="175" w:lineRule="exact"/>
        <w:rPr>
          <w:rFonts w:ascii="Times New Roman" w:cs="Times New Roman" w:eastAsia="Times New Roman" w:hAnsi="Times New Roman"/>
          <w:sz w:val="14"/>
          <w:szCs w:val="14"/>
          <w:color w:val="auto"/>
        </w:rPr>
      </w:pPr>
    </w:p>
    <w:p>
      <w:pPr>
        <w:ind w:left="1140" w:right="300" w:firstLine="2308"/>
        <w:spacing w:after="0" w:line="283" w:lineRule="auto"/>
        <w:tabs>
          <w:tab w:leader="none" w:pos="3686"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holder is to surrender to the Corporation, in the manner and at the place designated, his, her or its certificate or certificates representing the shares of Preferred Stock to be redeemed.</w:t>
      </w:r>
    </w:p>
    <w:p>
      <w:pPr>
        <w:spacing w:after="0" w:line="124" w:lineRule="exact"/>
        <w:rPr>
          <w:rFonts w:ascii="Times New Roman" w:cs="Times New Roman" w:eastAsia="Times New Roman" w:hAnsi="Times New Roman"/>
          <w:sz w:val="14"/>
          <w:szCs w:val="14"/>
          <w:color w:val="auto"/>
        </w:rPr>
      </w:pPr>
    </w:p>
    <w:p>
      <w:pPr>
        <w:ind w:left="1140" w:right="60" w:firstLine="1669"/>
        <w:spacing w:after="0" w:line="255" w:lineRule="auto"/>
        <w:tabs>
          <w:tab w:leader="none" w:pos="30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Surrender of Certificates: Payment</w:t>
      </w:r>
      <w:r>
        <w:rPr>
          <w:rFonts w:ascii="Times New Roman" w:cs="Times New Roman" w:eastAsia="Times New Roman" w:hAnsi="Times New Roman"/>
          <w:sz w:val="14"/>
          <w:szCs w:val="14"/>
          <w:color w:val="auto"/>
        </w:rPr>
        <w:t xml:space="preserve">. On or before the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notice described in </w:t>
      </w:r>
      <w:r>
        <w:rPr>
          <w:rFonts w:ascii="Times New Roman" w:cs="Times New Roman" w:eastAsia="Times New Roman" w:hAnsi="Times New Roman"/>
          <w:sz w:val="14"/>
          <w:szCs w:val="14"/>
          <w:u w:val="single" w:color="auto"/>
          <w:color w:val="auto"/>
        </w:rPr>
        <w:t>Subsection 2.8.2(c)</w:t>
      </w:r>
      <w:r>
        <w:rPr>
          <w:rFonts w:ascii="Times New Roman" w:cs="Times New Roman" w:eastAsia="Times New Roman" w:hAnsi="Times New Roman"/>
          <w:sz w:val="14"/>
          <w:szCs w:val="14"/>
          <w:color w:val="auto"/>
        </w:rPr>
        <w:t xml:space="preserve">, and thereupon the amount payable for such shares in accordance with </w:t>
      </w:r>
      <w:r>
        <w:rPr>
          <w:rFonts w:ascii="Times New Roman" w:cs="Times New Roman" w:eastAsia="Times New Roman" w:hAnsi="Times New Roman"/>
          <w:sz w:val="14"/>
          <w:szCs w:val="14"/>
          <w:u w:val="single" w:color="auto"/>
          <w:color w:val="auto"/>
        </w:rPr>
        <w:t>Subsection 2.8.2(c)</w:t>
      </w:r>
      <w:r>
        <w:rPr>
          <w:rFonts w:ascii="Times New Roman" w:cs="Times New Roman" w:eastAsia="Times New Roman" w:hAnsi="Times New Roman"/>
          <w:sz w:val="14"/>
          <w:szCs w:val="14"/>
          <w:color w:val="auto"/>
        </w:rPr>
        <w:t xml:space="preserve">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 Preferred Stock shall promptly be issued to such holder.</w:t>
      </w:r>
    </w:p>
    <w:p>
      <w:pPr>
        <w:spacing w:after="0" w:line="145" w:lineRule="exact"/>
        <w:rPr>
          <w:rFonts w:ascii="Times New Roman" w:cs="Times New Roman" w:eastAsia="Times New Roman" w:hAnsi="Times New Roman"/>
          <w:sz w:val="14"/>
          <w:szCs w:val="14"/>
          <w:color w:val="auto"/>
        </w:rPr>
      </w:pPr>
    </w:p>
    <w:p>
      <w:pPr>
        <w:ind w:left="1140" w:right="60" w:firstLine="1669"/>
        <w:spacing w:after="0" w:line="257" w:lineRule="auto"/>
        <w:tabs>
          <w:tab w:leader="none" w:pos="299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Subsequent to Redemption</w:t>
      </w:r>
      <w:r>
        <w:rPr>
          <w:rFonts w:ascii="Times New Roman" w:cs="Times New Roman" w:eastAsia="Times New Roman" w:hAnsi="Times New Roman"/>
          <w:sz w:val="14"/>
          <w:szCs w:val="14"/>
          <w:color w:val="auto"/>
        </w:rPr>
        <w:t xml:space="preserve">. If the notice described in </w:t>
      </w:r>
      <w:r>
        <w:rPr>
          <w:rFonts w:ascii="Times New Roman" w:cs="Times New Roman" w:eastAsia="Times New Roman" w:hAnsi="Times New Roman"/>
          <w:sz w:val="14"/>
          <w:szCs w:val="14"/>
          <w:u w:val="single" w:color="auto"/>
          <w:color w:val="auto"/>
        </w:rPr>
        <w:t>Subsection 2.8.2(c)</w:t>
      </w:r>
      <w:r>
        <w:rPr>
          <w:rFonts w:ascii="Times New Roman" w:cs="Times New Roman" w:eastAsia="Times New Roman" w:hAnsi="Times New Roman"/>
          <w:sz w:val="14"/>
          <w:szCs w:val="14"/>
          <w:color w:val="auto"/>
        </w:rPr>
        <w:t xml:space="preserve"> shall have been duly given, and if on the Redemption Date the amount payable upon redemption of the shares of Preferred Stock to be redeemed on such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143" w:lineRule="exact"/>
        <w:rPr>
          <w:sz w:val="20"/>
          <w:szCs w:val="20"/>
          <w:color w:val="auto"/>
        </w:rPr>
      </w:pPr>
    </w:p>
    <w:p>
      <w:pPr>
        <w:ind w:firstLine="2301"/>
        <w:spacing w:after="0" w:line="261" w:lineRule="auto"/>
        <w:rPr>
          <w:sz w:val="20"/>
          <w:szCs w:val="20"/>
          <w:color w:val="auto"/>
        </w:rPr>
      </w:pPr>
      <w:r>
        <w:rPr>
          <w:rFonts w:ascii="Times New Roman" w:cs="Times New Roman" w:eastAsia="Times New Roman" w:hAnsi="Times New Roman"/>
          <w:sz w:val="14"/>
          <w:szCs w:val="14"/>
          <w:color w:val="auto"/>
        </w:rPr>
        <w:t xml:space="preserve">2.8.3 </w:t>
      </w:r>
      <w:r>
        <w:rPr>
          <w:rFonts w:ascii="Times New Roman" w:cs="Times New Roman" w:eastAsia="Times New Roman" w:hAnsi="Times New Roman"/>
          <w:sz w:val="14"/>
          <w:szCs w:val="14"/>
          <w:u w:val="single" w:color="auto"/>
          <w:color w:val="auto"/>
        </w:rPr>
        <w:t>Amount Deemed Paid or Distributed</w:t>
      </w:r>
      <w:r>
        <w:rPr>
          <w:rFonts w:ascii="Times New Roman" w:cs="Times New Roman" w:eastAsia="Times New Roman" w:hAnsi="Times New Roman"/>
          <w:sz w:val="14"/>
          <w:szCs w:val="14"/>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including a majority of the Preferred Directors then serving (as defined below)(the “</w:t>
      </w:r>
      <w:r>
        <w:rPr>
          <w:rFonts w:ascii="Times New Roman" w:cs="Times New Roman" w:eastAsia="Times New Roman" w:hAnsi="Times New Roman"/>
          <w:sz w:val="14"/>
          <w:szCs w:val="14"/>
          <w:b w:val="1"/>
          <w:bCs w:val="1"/>
          <w:color w:val="auto"/>
        </w:rPr>
        <w:t>Requisite Preferred Directors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right="20" w:firstLine="2301"/>
        <w:spacing w:after="0" w:line="255" w:lineRule="auto"/>
        <w:rPr>
          <w:sz w:val="20"/>
          <w:szCs w:val="20"/>
          <w:color w:val="auto"/>
        </w:rPr>
      </w:pPr>
      <w:r>
        <w:rPr>
          <w:rFonts w:ascii="Times New Roman" w:cs="Times New Roman" w:eastAsia="Times New Roman" w:hAnsi="Times New Roman"/>
          <w:sz w:val="14"/>
          <w:szCs w:val="14"/>
          <w:color w:val="auto"/>
        </w:rPr>
        <w:t xml:space="preserve">2.8.4 </w:t>
      </w:r>
      <w:r>
        <w:rPr>
          <w:rFonts w:ascii="Times New Roman" w:cs="Times New Roman" w:eastAsia="Times New Roman" w:hAnsi="Times New Roman"/>
          <w:sz w:val="14"/>
          <w:szCs w:val="14"/>
          <w:u w:val="single" w:color="auto"/>
          <w:color w:val="auto"/>
        </w:rPr>
        <w:t>Allocation of Escrow and Contingent Consideration</w:t>
      </w:r>
      <w:r>
        <w:rPr>
          <w:rFonts w:ascii="Times New Roman" w:cs="Times New Roman" w:eastAsia="Times New Roman" w:hAnsi="Times New Roman"/>
          <w:sz w:val="14"/>
          <w:szCs w:val="14"/>
          <w:color w:val="auto"/>
        </w:rPr>
        <w:t xml:space="preserve">. In the event of a Deemed Liquidation Event pursuant to </w:t>
      </w:r>
      <w:r>
        <w:rPr>
          <w:rFonts w:ascii="Times New Roman" w:cs="Times New Roman" w:eastAsia="Times New Roman" w:hAnsi="Times New Roman"/>
          <w:sz w:val="14"/>
          <w:szCs w:val="14"/>
          <w:u w:val="single" w:color="auto"/>
          <w:color w:val="auto"/>
        </w:rPr>
        <w:t>Subsection 2.8.1(a)(i)</w:t>
      </w:r>
      <w:r>
        <w:rPr>
          <w:rFonts w:ascii="Times New Roman" w:cs="Times New Roman" w:eastAsia="Times New Roman" w:hAnsi="Times New Roman"/>
          <w:sz w:val="14"/>
          <w:szCs w:val="14"/>
          <w:color w:val="auto"/>
        </w:rPr>
        <w:t>, if any portion of the consideration payable to the stockholders of the Corporation is placed into escrow and/or is payable only upon satisfaction of contingencies (the “</w:t>
      </w:r>
      <w:r>
        <w:rPr>
          <w:rFonts w:ascii="Times New Roman" w:cs="Times New Roman" w:eastAsia="Times New Roman" w:hAnsi="Times New Roman"/>
          <w:sz w:val="14"/>
          <w:szCs w:val="14"/>
          <w:b w:val="1"/>
          <w:bCs w:val="1"/>
          <w:color w:val="auto"/>
        </w:rPr>
        <w:t>Additional Consideration</w:t>
      </w:r>
      <w:r>
        <w:rPr>
          <w:rFonts w:ascii="Times New Roman" w:cs="Times New Roman" w:eastAsia="Times New Roman" w:hAnsi="Times New Roman"/>
          <w:sz w:val="14"/>
          <w:szCs w:val="14"/>
          <w:color w:val="auto"/>
        </w:rPr>
        <w:t>”), the Transaction Document shall provide that (a) the portion of such consideration that is not Additional Consideration (such portion, the “</w:t>
      </w:r>
      <w:r>
        <w:rPr>
          <w:rFonts w:ascii="Times New Roman" w:cs="Times New Roman" w:eastAsia="Times New Roman" w:hAnsi="Times New Roman"/>
          <w:sz w:val="14"/>
          <w:szCs w:val="14"/>
          <w:b w:val="1"/>
          <w:bCs w:val="1"/>
          <w:color w:val="auto"/>
        </w:rPr>
        <w:t>Initial Consideration</w:t>
      </w:r>
      <w:r>
        <w:rPr>
          <w:rFonts w:ascii="Times New Roman" w:cs="Times New Roman" w:eastAsia="Times New Roman" w:hAnsi="Times New Roman"/>
          <w:sz w:val="14"/>
          <w:szCs w:val="14"/>
          <w:color w:val="auto"/>
        </w:rPr>
        <w:t xml:space="preserve">”) shall be allocated among the holders of capital stock of the Corporation in accordance with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as if the Initial Consideration were the only consideration payable in connection with such Deemed Liquidation Event; and (b) any Additional Consideration which becomes payable to the stockholders of the Corporation upon release from escrow and/or satisfaction of such contingencies shall be allocated among the holders of capital stock of the Corporation in accordance with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2.5, 2.6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2.7</w:t>
      </w:r>
      <w:r>
        <w:rPr>
          <w:rFonts w:ascii="Times New Roman" w:cs="Times New Roman" w:eastAsia="Times New Roman" w:hAnsi="Times New Roman"/>
          <w:sz w:val="14"/>
          <w:szCs w:val="14"/>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4"/>
          <w:szCs w:val="14"/>
          <w:u w:val="single" w:color="auto"/>
          <w:color w:val="auto"/>
        </w:rPr>
        <w:t>Subsection 2.8.4</w:t>
      </w:r>
      <w:r>
        <w:rPr>
          <w:rFonts w:ascii="Times New Roman" w:cs="Times New Roman" w:eastAsia="Times New Roman" w:hAnsi="Times New Roman"/>
          <w:sz w:val="14"/>
          <w:szCs w:val="14"/>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45" w:lineRule="exact"/>
        <w:rPr>
          <w:sz w:val="20"/>
          <w:szCs w:val="20"/>
          <w:color w:val="auto"/>
        </w:rPr>
      </w:pPr>
    </w:p>
    <w:p>
      <w:pPr>
        <w:ind w:left="1300" w:hanging="145"/>
        <w:spacing w:after="0"/>
        <w:tabs>
          <w:tab w:leader="none" w:pos="13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662"/>
        <w:spacing w:after="0" w:line="261"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and on an as-converted to Common Stock basis.</w:t>
      </w:r>
    </w:p>
    <w:p>
      <w:pPr>
        <w:spacing w:after="0" w:line="141" w:lineRule="exact"/>
        <w:rPr>
          <w:sz w:val="20"/>
          <w:szCs w:val="20"/>
          <w:color w:val="auto"/>
        </w:rPr>
      </w:pPr>
    </w:p>
    <w:p>
      <w:pPr>
        <w:ind w:right="80" w:firstLine="1662"/>
        <w:spacing w:after="0" w:line="261"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 The holders of record of at least sixty percent (60%) of the outstanding shares of Series A Preferred Stock, exclusively and as a separate class (the “</w:t>
      </w:r>
      <w:r>
        <w:rPr>
          <w:rFonts w:ascii="Times New Roman" w:cs="Times New Roman" w:eastAsia="Times New Roman" w:hAnsi="Times New Roman"/>
          <w:sz w:val="14"/>
          <w:szCs w:val="14"/>
          <w:b w:val="1"/>
          <w:bCs w:val="1"/>
          <w:color w:val="auto"/>
        </w:rPr>
        <w:t>Requisite Series A Holders</w:t>
      </w:r>
      <w:r>
        <w:rPr>
          <w:rFonts w:ascii="Times New Roman" w:cs="Times New Roman" w:eastAsia="Times New Roman" w:hAnsi="Times New Roman"/>
          <w:sz w:val="14"/>
          <w:szCs w:val="14"/>
          <w:color w:val="auto"/>
        </w:rPr>
        <w:t>”), shall be entitled to elect one (1) director of the Corporation (the “</w:t>
      </w:r>
      <w:r>
        <w:rPr>
          <w:rFonts w:ascii="Times New Roman" w:cs="Times New Roman" w:eastAsia="Times New Roman" w:hAnsi="Times New Roman"/>
          <w:sz w:val="14"/>
          <w:szCs w:val="14"/>
          <w:b w:val="1"/>
          <w:bCs w:val="1"/>
          <w:color w:val="auto"/>
        </w:rPr>
        <w:t>Series A Director</w:t>
      </w:r>
      <w:r>
        <w:rPr>
          <w:rFonts w:ascii="Times New Roman" w:cs="Times New Roman" w:eastAsia="Times New Roman" w:hAnsi="Times New Roman"/>
          <w:sz w:val="14"/>
          <w:szCs w:val="14"/>
          <w:color w:val="auto"/>
        </w:rPr>
        <w:t>”). The holders of record of least sixty percent (60%) of the outstanding shares of Series B Preferred Stock, exclusively and as a separate class (the “</w:t>
      </w:r>
      <w:r>
        <w:rPr>
          <w:rFonts w:ascii="Times New Roman" w:cs="Times New Roman" w:eastAsia="Times New Roman" w:hAnsi="Times New Roman"/>
          <w:sz w:val="14"/>
          <w:szCs w:val="14"/>
          <w:b w:val="1"/>
          <w:bCs w:val="1"/>
          <w:color w:val="auto"/>
        </w:rPr>
        <w:t>Requisite Series B Holders</w:t>
      </w:r>
      <w:r>
        <w:rPr>
          <w:rFonts w:ascii="Times New Roman" w:cs="Times New Roman" w:eastAsia="Times New Roman" w:hAnsi="Times New Roman"/>
          <w:sz w:val="14"/>
          <w:szCs w:val="14"/>
          <w:color w:val="auto"/>
        </w:rPr>
        <w:t>”), shall be entitled to elect one (1) director of the Corporation (the “</w:t>
      </w:r>
      <w:r>
        <w:rPr>
          <w:rFonts w:ascii="Times New Roman" w:cs="Times New Roman" w:eastAsia="Times New Roman" w:hAnsi="Times New Roman"/>
          <w:sz w:val="14"/>
          <w:szCs w:val="14"/>
          <w:b w:val="1"/>
          <w:bCs w:val="1"/>
          <w:color w:val="auto"/>
        </w:rPr>
        <w:t>Series B Director</w:t>
      </w:r>
      <w:r>
        <w:rPr>
          <w:rFonts w:ascii="Times New Roman" w:cs="Times New Roman" w:eastAsia="Times New Roman" w:hAnsi="Times New Roman"/>
          <w:sz w:val="14"/>
          <w:szCs w:val="14"/>
          <w:color w:val="auto"/>
        </w:rPr>
        <w:t>”). The Requisite Series C Holders shall be entitled to elect one (1)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85" w:name="page286"/>
    <w:bookmarkEnd w:id="285"/>
    <w:p>
      <w:pPr>
        <w:ind w:right="40"/>
        <w:spacing w:after="0" w:line="253"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Series C Director</w:t>
      </w:r>
      <w:r>
        <w:rPr>
          <w:rFonts w:ascii="Times New Roman" w:cs="Times New Roman" w:eastAsia="Times New Roman" w:hAnsi="Times New Roman"/>
          <w:sz w:val="14"/>
          <w:szCs w:val="14"/>
          <w:color w:val="auto"/>
        </w:rPr>
        <w:t>”). The Requisite Series D Holders, exclusively and as a separate class, shall be entitled to elect one (1) director of the Corporation (the “</w:t>
      </w:r>
      <w:r>
        <w:rPr>
          <w:rFonts w:ascii="Times New Roman" w:cs="Times New Roman" w:eastAsia="Times New Roman" w:hAnsi="Times New Roman"/>
          <w:sz w:val="14"/>
          <w:szCs w:val="14"/>
          <w:b w:val="1"/>
          <w:bCs w:val="1"/>
          <w:color w:val="auto"/>
        </w:rPr>
        <w:t>Series D Director</w:t>
      </w:r>
      <w:r>
        <w:rPr>
          <w:rFonts w:ascii="Times New Roman" w:cs="Times New Roman" w:eastAsia="Times New Roman" w:hAnsi="Times New Roman"/>
          <w:sz w:val="14"/>
          <w:szCs w:val="14"/>
          <w:color w:val="auto"/>
        </w:rPr>
        <w:t>”). The Requisite Series E Holders, exclusively and as a separate class, shall be entitled to elect one (1) director of the Corporation (the “</w:t>
      </w:r>
      <w:r>
        <w:rPr>
          <w:rFonts w:ascii="Times New Roman" w:cs="Times New Roman" w:eastAsia="Times New Roman" w:hAnsi="Times New Roman"/>
          <w:sz w:val="14"/>
          <w:szCs w:val="14"/>
          <w:b w:val="1"/>
          <w:bCs w:val="1"/>
          <w:color w:val="auto"/>
        </w:rPr>
        <w:t>Series E Director</w:t>
      </w:r>
      <w:r>
        <w:rPr>
          <w:rFonts w:ascii="Times New Roman" w:cs="Times New Roman" w:eastAsia="Times New Roman" w:hAnsi="Times New Roman"/>
          <w:sz w:val="14"/>
          <w:szCs w:val="14"/>
          <w:color w:val="auto"/>
        </w:rPr>
        <w:t>”). The Requisite Series F Holders, exclusively and as a separate class, shall be entitled to elect one (1) director of the Corporation (the “</w:t>
      </w:r>
      <w:r>
        <w:rPr>
          <w:rFonts w:ascii="Times New Roman" w:cs="Times New Roman" w:eastAsia="Times New Roman" w:hAnsi="Times New Roman"/>
          <w:sz w:val="14"/>
          <w:szCs w:val="14"/>
          <w:b w:val="1"/>
          <w:bCs w:val="1"/>
          <w:color w:val="auto"/>
        </w:rPr>
        <w:t>Series F Director</w:t>
      </w:r>
      <w:r>
        <w:rPr>
          <w:rFonts w:ascii="Times New Roman" w:cs="Times New Roman" w:eastAsia="Times New Roman" w:hAnsi="Times New Roman"/>
          <w:sz w:val="14"/>
          <w:szCs w:val="14"/>
          <w:color w:val="auto"/>
        </w:rPr>
        <w:t>,” and together with the Series A Director, Series B Director, Series C Director, Series D Director and Series E Director, the “</w:t>
      </w:r>
      <w:r>
        <w:rPr>
          <w:rFonts w:ascii="Times New Roman" w:cs="Times New Roman" w:eastAsia="Times New Roman" w:hAnsi="Times New Roman"/>
          <w:sz w:val="14"/>
          <w:szCs w:val="14"/>
          <w:b w:val="1"/>
          <w:bCs w:val="1"/>
          <w:color w:val="auto"/>
        </w:rPr>
        <w:t>Preferred Directors</w:t>
      </w:r>
      <w:r>
        <w:rPr>
          <w:rFonts w:ascii="Times New Roman" w:cs="Times New Roman" w:eastAsia="Times New Roman" w:hAnsi="Times New Roman"/>
          <w:sz w:val="14"/>
          <w:szCs w:val="14"/>
          <w:color w:val="auto"/>
        </w:rPr>
        <w:t xml:space="preserve">”). The holders of record of the shares of Common Stock and Preferred Stock, voting together as a single class (on an as converted basis in accordance with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shall be entitled to elect the balance of the directors of the Corporation. Notwithstanding the foregoing, for administrative convenience, the initial Series F Director may also be appointed by the Board of Directors in connection with the approval of the initial issuance of Series F Preferred Stock without a separate action by the Requisite Series F Holders. Any director elected as provided in the preceding sentences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Series C Preferred Stock, Series D Preferred Stock, Series E Preferred Stock, Series F Preferred Stock or Common Stock, as the case may be, fail to elect a sufficient number of directors to fill all directorships for which they are entitled to elect directors, voting exclusively and as a separate class, pursuant to this </w:t>
      </w:r>
      <w:r>
        <w:rPr>
          <w:rFonts w:ascii="Times New Roman" w:cs="Times New Roman" w:eastAsia="Times New Roman" w:hAnsi="Times New Roman"/>
          <w:sz w:val="14"/>
          <w:szCs w:val="14"/>
          <w:u w:val="single" w:color="auto"/>
          <w:color w:val="auto"/>
        </w:rPr>
        <w:t>Subsection 3.2</w:t>
      </w:r>
      <w:r>
        <w:rPr>
          <w:rFonts w:ascii="Times New Roman" w:cs="Times New Roman" w:eastAsia="Times New Roman" w:hAnsi="Times New Roman"/>
          <w:sz w:val="14"/>
          <w:szCs w:val="14"/>
          <w:color w:val="auto"/>
        </w:rPr>
        <w:t xml:space="preserve">, then any directorship not so filled shall remain vacant until such time as the holders of Series A Preferred Stock, Series B Preferred Stock, Series C Preferred Stock, Series D Preferred Stock, Series E Preferred Stock, Series F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4"/>
          <w:szCs w:val="14"/>
          <w:u w:val="single" w:color="auto"/>
          <w:color w:val="auto"/>
        </w:rPr>
        <w:t>Subsection 3.2</w:t>
      </w:r>
      <w:r>
        <w:rPr>
          <w:rFonts w:ascii="Times New Roman" w:cs="Times New Roman" w:eastAsia="Times New Roman" w:hAnsi="Times New Roman"/>
          <w:sz w:val="14"/>
          <w:szCs w:val="14"/>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4"/>
          <w:szCs w:val="14"/>
          <w:u w:val="single" w:color="auto"/>
          <w:color w:val="auto"/>
        </w:rPr>
        <w:t>Subsection 3.2</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right="60" w:firstLine="1662"/>
        <w:spacing w:after="0" w:line="257"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Preferred Stock Protective Provisions</w:t>
      </w:r>
      <w:r>
        <w:rPr>
          <w:rFonts w:ascii="Times New Roman" w:cs="Times New Roman" w:eastAsia="Times New Roman" w:hAnsi="Times New Roman"/>
          <w:sz w:val="14"/>
          <w:szCs w:val="14"/>
          <w:color w:val="auto"/>
        </w:rPr>
        <w:t xml:space="preserve">. At any time when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Preferred Stock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3.3.1 liquidate, dissolve or wind-up the business and affairs of the Corporation, effect any merger or consolidation or any other Deemed Liquidation Event,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any of the foregoing;</w:t>
      </w:r>
    </w:p>
    <w:p>
      <w:pPr>
        <w:spacing w:after="0" w:line="16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3.3.2 amend, alter or repeal any provision of the Certificate of Incorporation or Bylaws of the Corporation;</w:t>
      </w:r>
    </w:p>
    <w:p>
      <w:pPr>
        <w:spacing w:after="0" w:line="175" w:lineRule="exact"/>
        <w:rPr>
          <w:sz w:val="20"/>
          <w:szCs w:val="20"/>
          <w:color w:val="auto"/>
        </w:rPr>
      </w:pPr>
    </w:p>
    <w:p>
      <w:pPr>
        <w:ind w:firstLine="2301"/>
        <w:spacing w:after="0" w:line="261" w:lineRule="auto"/>
        <w:rPr>
          <w:sz w:val="20"/>
          <w:szCs w:val="20"/>
          <w:color w:val="auto"/>
        </w:rPr>
      </w:pPr>
      <w:r>
        <w:rPr>
          <w:rFonts w:ascii="Times New Roman" w:cs="Times New Roman" w:eastAsia="Times New Roman" w:hAnsi="Times New Roman"/>
          <w:sz w:val="14"/>
          <w:szCs w:val="14"/>
          <w:color w:val="auto"/>
        </w:rPr>
        <w:t>3.3.3 create, or authorize the creation of, or issue or obligate itself to issue shares of, any additional class or series of capital stock unless the same ranks junior to the Preferred Stock with respect to the distribution of assets on the liquidation, dissolution or winding up of the Corporation, the payment of dividends and rights of redemption, or increase the authorized number of shares of Preferred Stock or increase the authorized number of shares of any additional class or series of capital stock (other than the Preferred Stock) unless the same ranks junior to the Preferred Stock with respect to the distribution of assets on the liquidation, dissolution or winding up of the Corporation, the payment of dividends and rights of redemption;</w:t>
      </w:r>
    </w:p>
    <w:p>
      <w:pPr>
        <w:spacing w:after="0" w:line="141" w:lineRule="exact"/>
        <w:rPr>
          <w:sz w:val="20"/>
          <w:szCs w:val="20"/>
          <w:color w:val="auto"/>
        </w:rPr>
      </w:pPr>
    </w:p>
    <w:p>
      <w:pPr>
        <w:ind w:right="60" w:firstLine="2301"/>
        <w:spacing w:after="0" w:line="258" w:lineRule="auto"/>
        <w:rPr>
          <w:sz w:val="20"/>
          <w:szCs w:val="20"/>
          <w:color w:val="auto"/>
        </w:rPr>
      </w:pPr>
      <w:r>
        <w:rPr>
          <w:rFonts w:ascii="Times New Roman" w:cs="Times New Roman" w:eastAsia="Times New Roman" w:hAnsi="Times New Roman"/>
          <w:sz w:val="14"/>
          <w:szCs w:val="14"/>
          <w:color w:val="auto"/>
        </w:rPr>
        <w:t>3.3.4 (a) reclassify, alter or amend any existing security of the Corporation that is pari passu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such series of Preferred Stock in respect of any such right, preference, or privilege, or (b)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such series of Preferred Stock in respect of any such right, preference or privilege;</w:t>
      </w:r>
    </w:p>
    <w:p>
      <w:pPr>
        <w:spacing w:after="0" w:line="144" w:lineRule="exact"/>
        <w:rPr>
          <w:sz w:val="20"/>
          <w:szCs w:val="20"/>
          <w:color w:val="auto"/>
        </w:rPr>
      </w:pPr>
    </w:p>
    <w:p>
      <w:pPr>
        <w:ind w:right="40" w:firstLine="2301"/>
        <w:spacing w:after="0" w:line="283" w:lineRule="auto"/>
        <w:rPr>
          <w:sz w:val="20"/>
          <w:szCs w:val="20"/>
          <w:color w:val="auto"/>
        </w:rPr>
      </w:pPr>
      <w:r>
        <w:rPr>
          <w:rFonts w:ascii="Times New Roman" w:cs="Times New Roman" w:eastAsia="Times New Roman" w:hAnsi="Times New Roman"/>
          <w:sz w:val="14"/>
          <w:szCs w:val="14"/>
          <w:color w:val="auto"/>
        </w:rPr>
        <w:t>3.3.5 create, or authorize the creation of, or issue or obligate itself to issue any security convertible into or exercisable for any equity security (or reclassify any outstanding security such that it has) rights, preferences or privileges senior to or pari passu with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286" w:name="page287"/>
    <w:bookmarkEnd w:id="286"/>
    <w:p>
      <w:pPr>
        <w:ind w:right="240" w:firstLine="2301"/>
        <w:spacing w:after="0" w:line="267" w:lineRule="auto"/>
        <w:rPr>
          <w:sz w:val="20"/>
          <w:szCs w:val="20"/>
          <w:color w:val="auto"/>
        </w:rPr>
      </w:pPr>
      <w:r>
        <w:rPr>
          <w:rFonts w:ascii="Times New Roman" w:cs="Times New Roman" w:eastAsia="Times New Roman" w:hAnsi="Times New Roman"/>
          <w:sz w:val="14"/>
          <w:szCs w:val="14"/>
          <w:color w:val="auto"/>
        </w:rPr>
        <w:t>3.3.6 purchase or redeem (or permit any subsidiary to purchase or redeem) or pay or declare any dividend or make any distribution on, any shares of capital stock of the Corporation other than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36" w:lineRule="exact"/>
        <w:rPr>
          <w:sz w:val="20"/>
          <w:szCs w:val="20"/>
          <w:color w:val="auto"/>
        </w:rPr>
      </w:pPr>
    </w:p>
    <w:p>
      <w:pPr>
        <w:jc w:val="both"/>
        <w:ind w:firstLine="2301"/>
        <w:spacing w:after="0" w:line="267" w:lineRule="auto"/>
        <w:rPr>
          <w:sz w:val="20"/>
          <w:szCs w:val="20"/>
          <w:color w:val="auto"/>
        </w:rPr>
      </w:pPr>
      <w:r>
        <w:rPr>
          <w:rFonts w:ascii="Times New Roman" w:cs="Times New Roman" w:eastAsia="Times New Roman" w:hAnsi="Times New Roman"/>
          <w:sz w:val="14"/>
          <w:szCs w:val="14"/>
          <w:color w:val="auto"/>
        </w:rPr>
        <w:t>3.3.7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$1,000,000, other than equipment leases or bank lines of credit;</w:t>
      </w:r>
    </w:p>
    <w:p>
      <w:pPr>
        <w:spacing w:after="0" w:line="136" w:lineRule="exact"/>
        <w:rPr>
          <w:sz w:val="20"/>
          <w:szCs w:val="20"/>
          <w:color w:val="auto"/>
        </w:rPr>
      </w:pPr>
    </w:p>
    <w:p>
      <w:pPr>
        <w:ind w:right="120" w:firstLine="2301"/>
        <w:spacing w:after="0" w:line="267" w:lineRule="auto"/>
        <w:rPr>
          <w:sz w:val="20"/>
          <w:szCs w:val="20"/>
          <w:color w:val="auto"/>
        </w:rPr>
      </w:pPr>
      <w:r>
        <w:rPr>
          <w:rFonts w:ascii="Times New Roman" w:cs="Times New Roman" w:eastAsia="Times New Roman" w:hAnsi="Times New Roman"/>
          <w:sz w:val="14"/>
          <w:szCs w:val="14"/>
          <w:color w:val="auto"/>
        </w:rPr>
        <w:t>3.3.8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3.3.9 increase or decrease the authorized number of directors constituting the Board of Directors;</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3.3.10 increase the number of authorized shares of any class or series of the Corporation’s capital stock; or</w:t>
      </w:r>
    </w:p>
    <w:p>
      <w:pPr>
        <w:spacing w:after="0" w:line="175" w:lineRule="exact"/>
        <w:rPr>
          <w:sz w:val="20"/>
          <w:szCs w:val="20"/>
          <w:color w:val="auto"/>
        </w:rPr>
      </w:pPr>
    </w:p>
    <w:p>
      <w:pPr>
        <w:ind w:right="300" w:firstLine="2301"/>
        <w:spacing w:after="0" w:line="283" w:lineRule="auto"/>
        <w:rPr>
          <w:sz w:val="20"/>
          <w:szCs w:val="20"/>
          <w:color w:val="auto"/>
        </w:rPr>
      </w:pPr>
      <w:r>
        <w:rPr>
          <w:rFonts w:ascii="Times New Roman" w:cs="Times New Roman" w:eastAsia="Times New Roman" w:hAnsi="Times New Roman"/>
          <w:sz w:val="14"/>
          <w:szCs w:val="14"/>
          <w:color w:val="auto"/>
        </w:rPr>
        <w:t>3.3.11 approve the closing of the sale of shares of Common Stock to the public in a firm-commitment underwritten public offering pursuant to an effective registration statement under the Securities Act of 1933, as amended, that does not qualify as a QIPO (as defined below).</w:t>
      </w:r>
    </w:p>
    <w:p>
      <w:pPr>
        <w:spacing w:after="0" w:line="125" w:lineRule="exact"/>
        <w:rPr>
          <w:sz w:val="20"/>
          <w:szCs w:val="20"/>
          <w:color w:val="auto"/>
        </w:rPr>
      </w:pPr>
    </w:p>
    <w:p>
      <w:pPr>
        <w:ind w:right="60" w:firstLine="1662"/>
        <w:spacing w:after="0" w:line="258"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Series F Preferred Stock Protective Provisions</w:t>
      </w:r>
      <w:r>
        <w:rPr>
          <w:rFonts w:ascii="Times New Roman" w:cs="Times New Roman" w:eastAsia="Times New Roman" w:hAnsi="Times New Roman"/>
          <w:sz w:val="14"/>
          <w:szCs w:val="14"/>
          <w:color w:val="auto"/>
        </w:rPr>
        <w:t xml:space="preserve">. At any time when shares of Series F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F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right="100" w:firstLine="2301"/>
        <w:spacing w:after="0" w:line="267" w:lineRule="auto"/>
        <w:rPr>
          <w:sz w:val="20"/>
          <w:szCs w:val="20"/>
          <w:color w:val="auto"/>
        </w:rPr>
      </w:pPr>
      <w:r>
        <w:rPr>
          <w:rFonts w:ascii="Times New Roman" w:cs="Times New Roman" w:eastAsia="Times New Roman" w:hAnsi="Times New Roman"/>
          <w:sz w:val="14"/>
          <w:szCs w:val="14"/>
          <w:color w:val="auto"/>
        </w:rPr>
        <w:t>3.4.1 amend, alter or repeal any provision of the Certificate of Incorporation or Bylaws of the Corporation in a manner that adversely affects the powers, preferences or rights of the Series F Preferred Stock (it being understood that the creation of a new security having powers, preferences or special rights shall not constitute an amendment or alteration of the powers, preferences or rights of the Series F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3.4.2 increase the par value of the Series F Preferred Stock;</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3.4.3 increase the authorized number of shares of Series F Preferred Stock;</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3.4.4 amend, alter, or modify or waive the Series F Liquidation Amount;</w:t>
      </w:r>
    </w:p>
    <w:p>
      <w:pPr>
        <w:spacing w:after="0" w:line="175" w:lineRule="exact"/>
        <w:rPr>
          <w:sz w:val="20"/>
          <w:szCs w:val="20"/>
          <w:color w:val="auto"/>
        </w:rPr>
      </w:pPr>
    </w:p>
    <w:p>
      <w:pPr>
        <w:ind w:firstLine="2301"/>
        <w:spacing w:after="0" w:line="261" w:lineRule="auto"/>
        <w:rPr>
          <w:sz w:val="20"/>
          <w:szCs w:val="20"/>
          <w:color w:val="auto"/>
        </w:rPr>
      </w:pPr>
      <w:r>
        <w:rPr>
          <w:rFonts w:ascii="Times New Roman" w:cs="Times New Roman" w:eastAsia="Times New Roman" w:hAnsi="Times New Roman"/>
          <w:sz w:val="14"/>
          <w:szCs w:val="14"/>
          <w:color w:val="auto"/>
        </w:rPr>
        <w:t>3.4.5 reclassify, alter or amend any existing security of the Corporation that is pari passu with, or junior to, as applicable, the Series F Preferred Stock in respect of the distribution of assets on the liquidation, dissolution or winding up of the Corporation, the payment of dividends or rights of redemption, if such reclassification, alteration or amendment would increase the liquidation preference of such security or render such other security senior to, or pari passu with, as applicable, the Series F Preferred Stock in respect of any such right, preference or privilege;</w:t>
      </w:r>
    </w:p>
    <w:p>
      <w:pPr>
        <w:spacing w:after="0" w:line="141" w:lineRule="exact"/>
        <w:rPr>
          <w:sz w:val="20"/>
          <w:szCs w:val="20"/>
          <w:color w:val="auto"/>
        </w:rPr>
      </w:pPr>
    </w:p>
    <w:p>
      <w:pPr>
        <w:ind w:right="120" w:firstLine="2301"/>
        <w:spacing w:after="0" w:line="267" w:lineRule="auto"/>
        <w:rPr>
          <w:sz w:val="20"/>
          <w:szCs w:val="20"/>
          <w:color w:val="auto"/>
        </w:rPr>
      </w:pPr>
      <w:r>
        <w:rPr>
          <w:rFonts w:ascii="Times New Roman" w:cs="Times New Roman" w:eastAsia="Times New Roman" w:hAnsi="Times New Roman"/>
          <w:sz w:val="14"/>
          <w:szCs w:val="14"/>
          <w:color w:val="auto"/>
        </w:rPr>
        <w:t>3.4.6 (i) amend, alter or modify the Series F Conversion Price, (ii) waive any other adjustment to Series F Conversion Price or (iii) exempt any new issuance that is not contemplated by the definition of “Exempted Securities” (as in effect on the date of the filing of this Certificate of Incorporation) from the antidilution provisions in Section 4.4 with respect to the Series F Preferred Stock;</w:t>
      </w:r>
    </w:p>
    <w:p>
      <w:pPr>
        <w:spacing w:after="0" w:line="136" w:lineRule="exact"/>
        <w:rPr>
          <w:sz w:val="20"/>
          <w:szCs w:val="20"/>
          <w:color w:val="auto"/>
        </w:rPr>
      </w:pPr>
    </w:p>
    <w:p>
      <w:pPr>
        <w:ind w:right="60" w:firstLine="2301"/>
        <w:spacing w:after="0" w:line="283" w:lineRule="auto"/>
        <w:rPr>
          <w:sz w:val="20"/>
          <w:szCs w:val="20"/>
          <w:color w:val="auto"/>
        </w:rPr>
      </w:pPr>
      <w:r>
        <w:rPr>
          <w:rFonts w:ascii="Times New Roman" w:cs="Times New Roman" w:eastAsia="Times New Roman" w:hAnsi="Times New Roman"/>
          <w:sz w:val="14"/>
          <w:szCs w:val="14"/>
          <w:color w:val="auto"/>
        </w:rPr>
        <w:t>3.4.7 exchange or convert the Series F Preferred Stock into any other security of the Corporation other than by operation of Sections 4.1 and 5 (in each case, as in effect on the date of the filing of this Certificate of Incorporation); or</w:t>
      </w:r>
    </w:p>
    <w:p>
      <w:pPr>
        <w:spacing w:after="0" w:line="1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3.4.8 effect or consent to a Deemed Liquidation Event.</w:t>
      </w:r>
    </w:p>
    <w:p>
      <w:pPr>
        <w:spacing w:after="0" w:line="175" w:lineRule="exact"/>
        <w:rPr>
          <w:sz w:val="20"/>
          <w:szCs w:val="20"/>
          <w:color w:val="auto"/>
        </w:rPr>
      </w:pPr>
    </w:p>
    <w:p>
      <w:pPr>
        <w:ind w:right="420" w:firstLine="1662"/>
        <w:spacing w:after="0" w:line="283"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Series E Preferred Stock Protective Provisions</w:t>
      </w:r>
      <w:r>
        <w:rPr>
          <w:rFonts w:ascii="Times New Roman" w:cs="Times New Roman" w:eastAsia="Times New Roman" w:hAnsi="Times New Roman"/>
          <w:sz w:val="14"/>
          <w:szCs w:val="14"/>
          <w:color w:val="auto"/>
        </w:rPr>
        <w:t>. At any time when shares of Series E Preferred Stock are outstanding, the Corporation shall not, either directly or indirectly by amendment, merger, consolidation, domestication, transfer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87" w:name="page288"/>
    <w:bookmarkEnd w:id="287"/>
    <w:p>
      <w:pPr>
        <w:jc w:val="both"/>
        <w:ind w:right="80"/>
        <w:spacing w:after="0" w:line="261" w:lineRule="auto"/>
        <w:rPr>
          <w:sz w:val="20"/>
          <w:szCs w:val="20"/>
          <w:color w:val="auto"/>
        </w:rPr>
      </w:pPr>
      <w:r>
        <w:rPr>
          <w:rFonts w:ascii="Times New Roman" w:cs="Times New Roman" w:eastAsia="Times New Roman" w:hAnsi="Times New Roman"/>
          <w:sz w:val="14"/>
          <w:szCs w:val="14"/>
          <w:color w:val="auto"/>
        </w:rPr>
        <w:t xml:space="preserve">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E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1" w:lineRule="exact"/>
        <w:rPr>
          <w:sz w:val="20"/>
          <w:szCs w:val="20"/>
          <w:color w:val="auto"/>
        </w:rPr>
      </w:pPr>
    </w:p>
    <w:p>
      <w:pPr>
        <w:ind w:right="80" w:firstLine="2301"/>
        <w:spacing w:after="0" w:line="267" w:lineRule="auto"/>
        <w:rPr>
          <w:sz w:val="20"/>
          <w:szCs w:val="20"/>
          <w:color w:val="auto"/>
        </w:rPr>
      </w:pPr>
      <w:r>
        <w:rPr>
          <w:rFonts w:ascii="Times New Roman" w:cs="Times New Roman" w:eastAsia="Times New Roman" w:hAnsi="Times New Roman"/>
          <w:sz w:val="14"/>
          <w:szCs w:val="14"/>
          <w:color w:val="auto"/>
        </w:rPr>
        <w:t>3.5.1 amend, alter or repeal any provision of the Certificate of Incorporation or Bylaws of the Corporation in a manner that adversely affects the powers, preferences or rights of the Series E Preferred Stock (it being understood that the creation of a new security having powers, preferences or special rights shall not constitute an amendment or alteration of the powers, preferences or rights of the Series E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3.5.2 increase the par value of the Series E Preferred Stock;</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3.5.3 increase the authorized number of shares of Series E Preferred Stock; or</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3.5.4 effect or consent to a Deemed Liquidation Event.</w:t>
      </w:r>
    </w:p>
    <w:p>
      <w:pPr>
        <w:spacing w:after="0" w:line="175" w:lineRule="exact"/>
        <w:rPr>
          <w:sz w:val="20"/>
          <w:szCs w:val="20"/>
          <w:color w:val="auto"/>
        </w:rPr>
      </w:pPr>
    </w:p>
    <w:p>
      <w:pPr>
        <w:ind w:firstLine="1662"/>
        <w:spacing w:after="0" w:line="258"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Series D Preferred Stock Protective Provisions</w:t>
      </w:r>
      <w:r>
        <w:rPr>
          <w:rFonts w:ascii="Times New Roman" w:cs="Times New Roman" w:eastAsia="Times New Roman" w:hAnsi="Times New Roman"/>
          <w:sz w:val="14"/>
          <w:szCs w:val="14"/>
          <w:color w:val="auto"/>
        </w:rPr>
        <w:t xml:space="preserve">. At any time when shares of Series D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D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right="60" w:firstLine="2301"/>
        <w:spacing w:after="0" w:line="267" w:lineRule="auto"/>
        <w:rPr>
          <w:sz w:val="20"/>
          <w:szCs w:val="20"/>
          <w:color w:val="auto"/>
        </w:rPr>
      </w:pPr>
      <w:r>
        <w:rPr>
          <w:rFonts w:ascii="Times New Roman" w:cs="Times New Roman" w:eastAsia="Times New Roman" w:hAnsi="Times New Roman"/>
          <w:sz w:val="14"/>
          <w:szCs w:val="14"/>
          <w:color w:val="auto"/>
        </w:rPr>
        <w:t>3.6.1 amend, alter or repeal any provision of the Certificate of Incorporation or Bylaws of the Corporation in a manner that adversely affects the powers, preferences or rights of the Series D Preferred Stock (it being understood that the creation of a new security having powers, preferences or special rights shall not constitute an amendment or alteration of the powers, preferences or rights of the Series D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3.6.2 increase the par value of the Series D Preferred Stock;</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3.6.3 increase the authorized number of shares of Series D Preferred Stock; or</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3.6.4 effect or consent to a Deemed Liquidation Event.</w:t>
      </w:r>
    </w:p>
    <w:p>
      <w:pPr>
        <w:spacing w:after="0" w:line="175" w:lineRule="exact"/>
        <w:rPr>
          <w:sz w:val="20"/>
          <w:szCs w:val="20"/>
          <w:color w:val="auto"/>
        </w:rPr>
      </w:pPr>
    </w:p>
    <w:p>
      <w:pPr>
        <w:ind w:right="20" w:firstLine="1662"/>
        <w:spacing w:after="0" w:line="258"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Series C Preferred Stock Protective Provisions</w:t>
      </w:r>
      <w:r>
        <w:rPr>
          <w:rFonts w:ascii="Times New Roman" w:cs="Times New Roman" w:eastAsia="Times New Roman" w:hAnsi="Times New Roman"/>
          <w:sz w:val="14"/>
          <w:szCs w:val="14"/>
          <w:color w:val="auto"/>
        </w:rPr>
        <w:t xml:space="preserve">. At any time when shares of Series C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C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right="60" w:firstLine="2301"/>
        <w:spacing w:after="0" w:line="267" w:lineRule="auto"/>
        <w:rPr>
          <w:sz w:val="20"/>
          <w:szCs w:val="20"/>
          <w:color w:val="auto"/>
        </w:rPr>
      </w:pPr>
      <w:r>
        <w:rPr>
          <w:rFonts w:ascii="Times New Roman" w:cs="Times New Roman" w:eastAsia="Times New Roman" w:hAnsi="Times New Roman"/>
          <w:sz w:val="14"/>
          <w:szCs w:val="14"/>
          <w:color w:val="auto"/>
        </w:rPr>
        <w:t>3.7.1 amend, alter or repeal any provision of the Certificate of Incorporation or Bylaws of the Corporation in a manner that adversely affects the powers, preferences or rights of the Series C Preferred Stock (it being understood that the creation of a new security having powers, preferences or special rights shall not constitute an amendment or alteration of the powers, preferences or rights of the Series C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3.7.2 increase the par value of the Series C Preferred Stock; or</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3.7.3 increase the authorized number of shares of Series C Preferred Stock.</w:t>
      </w:r>
    </w:p>
    <w:p>
      <w:pPr>
        <w:spacing w:after="0" w:line="175" w:lineRule="exact"/>
        <w:rPr>
          <w:sz w:val="20"/>
          <w:szCs w:val="20"/>
          <w:color w:val="auto"/>
        </w:rPr>
      </w:pPr>
    </w:p>
    <w:p>
      <w:pPr>
        <w:ind w:right="20" w:firstLine="1662"/>
        <w:spacing w:after="0" w:line="261" w:lineRule="auto"/>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14"/>
          <w:szCs w:val="14"/>
          <w:u w:val="single" w:color="auto"/>
          <w:color w:val="auto"/>
        </w:rPr>
        <w:t>Series B Preferred Stock Protective Provisions</w:t>
      </w:r>
      <w:r>
        <w:rPr>
          <w:rFonts w:ascii="Times New Roman" w:cs="Times New Roman" w:eastAsia="Times New Roman" w:hAnsi="Times New Roman"/>
          <w:sz w:val="14"/>
          <w:szCs w:val="14"/>
          <w:color w:val="auto"/>
        </w:rPr>
        <w:t>. At any time when shares of Series B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B Holders, given in writing or by vote at a meeting, consenting or voting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288" w:name="page289"/>
    <w:bookmarkEnd w:id="288"/>
    <w:p>
      <w:pPr>
        <w:ind w:right="80"/>
        <w:spacing w:after="0" w:line="283" w:lineRule="auto"/>
        <w:rPr>
          <w:sz w:val="20"/>
          <w:szCs w:val="20"/>
          <w:color w:val="auto"/>
        </w:rPr>
      </w:pPr>
      <w:r>
        <w:rPr>
          <w:rFonts w:ascii="Times New Roman" w:cs="Times New Roman" w:eastAsia="Times New Roman" w:hAnsi="Times New Roman"/>
          <w:sz w:val="14"/>
          <w:szCs w:val="14"/>
          <w:color w:val="auto"/>
        </w:rPr>
        <w:t>case may be) separately as a class, and any such act or transaction that has not been approved by such consent or vote prior to such act or transaction being effected shall be null and void ab initio, and of no force or effect.</w:t>
      </w:r>
    </w:p>
    <w:p>
      <w:pPr>
        <w:spacing w:after="0" w:line="125" w:lineRule="exact"/>
        <w:rPr>
          <w:sz w:val="20"/>
          <w:szCs w:val="20"/>
          <w:color w:val="auto"/>
        </w:rPr>
      </w:pPr>
    </w:p>
    <w:p>
      <w:pPr>
        <w:ind w:right="60" w:firstLine="2301"/>
        <w:spacing w:after="0" w:line="267" w:lineRule="auto"/>
        <w:rPr>
          <w:sz w:val="20"/>
          <w:szCs w:val="20"/>
          <w:color w:val="auto"/>
        </w:rPr>
      </w:pPr>
      <w:r>
        <w:rPr>
          <w:rFonts w:ascii="Times New Roman" w:cs="Times New Roman" w:eastAsia="Times New Roman" w:hAnsi="Times New Roman"/>
          <w:sz w:val="14"/>
          <w:szCs w:val="14"/>
          <w:color w:val="auto"/>
        </w:rPr>
        <w:t>3.8.1 amend, alter or repeal any provision of the Certificate of Incorporation or Bylaws of the Corporation in a manner that adversely affects the powers, preferences or rights of the Series B Preferred Stock (it being understood that the creation of a new security having powers, preferences or special rights shall not constitute an amendment or alteration of the powers, preferences or rights of the Series B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3.8.2 increase the par value of the Series B Preferred Stock; or</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3.8.3 increase the authorized number of shares of Series B Preferred Stock.</w:t>
      </w:r>
    </w:p>
    <w:p>
      <w:pPr>
        <w:spacing w:after="0" w:line="175" w:lineRule="exact"/>
        <w:rPr>
          <w:sz w:val="20"/>
          <w:szCs w:val="20"/>
          <w:color w:val="auto"/>
        </w:rPr>
      </w:pPr>
    </w:p>
    <w:p>
      <w:pPr>
        <w:ind w:firstLine="1662"/>
        <w:spacing w:after="0" w:line="258" w:lineRule="auto"/>
        <w:rPr>
          <w:sz w:val="20"/>
          <w:szCs w:val="20"/>
          <w:color w:val="auto"/>
        </w:rPr>
      </w:pPr>
      <w:r>
        <w:rPr>
          <w:rFonts w:ascii="Times New Roman" w:cs="Times New Roman" w:eastAsia="Times New Roman" w:hAnsi="Times New Roman"/>
          <w:sz w:val="14"/>
          <w:szCs w:val="14"/>
          <w:color w:val="auto"/>
        </w:rPr>
        <w:t xml:space="preserve">3.9 </w:t>
      </w:r>
      <w:r>
        <w:rPr>
          <w:rFonts w:ascii="Times New Roman" w:cs="Times New Roman" w:eastAsia="Times New Roman" w:hAnsi="Times New Roman"/>
          <w:sz w:val="14"/>
          <w:szCs w:val="14"/>
          <w:u w:val="single" w:color="auto"/>
          <w:color w:val="auto"/>
        </w:rPr>
        <w:t>Series A Preferred Stock Protective Provisions</w:t>
      </w:r>
      <w:r>
        <w:rPr>
          <w:rFonts w:ascii="Times New Roman" w:cs="Times New Roman" w:eastAsia="Times New Roman" w:hAnsi="Times New Roman"/>
          <w:sz w:val="14"/>
          <w:szCs w:val="14"/>
          <w:color w:val="auto"/>
        </w:rPr>
        <w:t xml:space="preserve">. At any time when shares of Series A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the Certificate of Incorporation) the written consent or affirmative vote of the Requisite Series A Holders, given in writing or by vote at a meeting, consenting or voting (as the case may be) separately as a class,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right="60" w:firstLine="2301"/>
        <w:spacing w:after="0" w:line="267" w:lineRule="auto"/>
        <w:rPr>
          <w:sz w:val="20"/>
          <w:szCs w:val="20"/>
          <w:color w:val="auto"/>
        </w:rPr>
      </w:pPr>
      <w:r>
        <w:rPr>
          <w:rFonts w:ascii="Times New Roman" w:cs="Times New Roman" w:eastAsia="Times New Roman" w:hAnsi="Times New Roman"/>
          <w:sz w:val="14"/>
          <w:szCs w:val="14"/>
          <w:color w:val="auto"/>
        </w:rPr>
        <w:t>3.9.1 amend, alter or repeal any provision of the Certificate of Incorporation or Bylaws of the Corporation in a manner that adversely affects the powers, preferences or rights of the Series A Preferred Stock (it being understood that the creation of a new security having powers, preferences or special rights shall not constitute an amendment or alteration of the powers, preferences or rights of the Series A Preferred Stock for this purpose);</w:t>
      </w:r>
    </w:p>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3.9.2 increase the par value of the Series A Preferred Stock; or</w:t>
      </w:r>
    </w:p>
    <w:p>
      <w:pPr>
        <w:spacing w:after="0" w:line="17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3.9.3 increase the authorized number of shares of Series A Preferred Stock.</w:t>
      </w:r>
    </w:p>
    <w:p>
      <w:pPr>
        <w:spacing w:after="0" w:line="175" w:lineRule="exact"/>
        <w:rPr>
          <w:sz w:val="20"/>
          <w:szCs w:val="20"/>
          <w:color w:val="auto"/>
        </w:rPr>
      </w:pPr>
    </w:p>
    <w:p>
      <w:pPr>
        <w:ind w:left="1300" w:hanging="145"/>
        <w:spacing w:after="0"/>
        <w:tabs>
          <w:tab w:leader="none" w:pos="13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Conversion</w:t>
      </w:r>
      <w:r>
        <w:rPr>
          <w:rFonts w:ascii="Times New Roman" w:cs="Times New Roman" w:eastAsia="Times New Roman" w:hAnsi="Times New Roman"/>
          <w:sz w:val="14"/>
          <w:szCs w:val="14"/>
          <w:color w:val="auto"/>
        </w:rPr>
        <w:t>.</w:t>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Preferred Stock shall have conversion rights as follows (the “</w:t>
      </w:r>
      <w:r>
        <w:rPr>
          <w:rFonts w:ascii="Times New Roman" w:cs="Times New Roman" w:eastAsia="Times New Roman" w:hAnsi="Times New Roman"/>
          <w:sz w:val="14"/>
          <w:szCs w:val="14"/>
          <w:b w:val="1"/>
          <w:bCs w:val="1"/>
          <w:color w:val="auto"/>
        </w:rPr>
        <w:t>Conversion Rights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Right to Convert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40" w:firstLine="2301"/>
        <w:spacing w:after="0" w:line="254"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Conversion Ratio</w:t>
      </w:r>
      <w:r>
        <w:rPr>
          <w:rFonts w:ascii="Times New Roman" w:cs="Times New Roman" w:eastAsia="Times New Roman" w:hAnsi="Times New Roman"/>
          <w:sz w:val="14"/>
          <w:szCs w:val="14"/>
          <w:color w:val="auto"/>
        </w:rPr>
        <w:t>. Each share of each series of Preferred Stock shall be convertible, at the option of the holder thereof, at any time and from time to time, and without the payment of additional consideration by the holder thereof, into such whole number of fully paid and nonassessable shares of Common Stock as is determined by dividing the Original Issue Price applicable to such series of Preferred Stock by the applicable Conversion Price (as defined below) in effect at the time of conversion. The “</w:t>
      </w:r>
      <w:r>
        <w:rPr>
          <w:rFonts w:ascii="Times New Roman" w:cs="Times New Roman" w:eastAsia="Times New Roman" w:hAnsi="Times New Roman"/>
          <w:sz w:val="14"/>
          <w:szCs w:val="14"/>
          <w:b w:val="1"/>
          <w:bCs w:val="1"/>
          <w:color w:val="auto"/>
        </w:rPr>
        <w:t>Series A Conversion Price</w:t>
      </w:r>
      <w:r>
        <w:rPr>
          <w:rFonts w:ascii="Times New Roman" w:cs="Times New Roman" w:eastAsia="Times New Roman" w:hAnsi="Times New Roman"/>
          <w:sz w:val="14"/>
          <w:szCs w:val="14"/>
          <w:color w:val="auto"/>
        </w:rPr>
        <w:t>”, as of the Series F Original Issue Date (as defined below), is equal to $6.7999 and shall not be further adjusted upon the issuance of up to 49,518,175 shares of Series F Preferred Stock. The “</w:t>
      </w:r>
      <w:r>
        <w:rPr>
          <w:rFonts w:ascii="Times New Roman" w:cs="Times New Roman" w:eastAsia="Times New Roman" w:hAnsi="Times New Roman"/>
          <w:sz w:val="14"/>
          <w:szCs w:val="14"/>
          <w:b w:val="1"/>
          <w:bCs w:val="1"/>
          <w:color w:val="auto"/>
        </w:rPr>
        <w:t>Series B Conversion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4"/>
          <w:szCs w:val="14"/>
          <w:color w:val="auto"/>
        </w:rPr>
        <w:t>”, as of the Series F Original Issue Date, is equal to $8.7972 and shall not be further adjusted upon the issuance of up to 49,518,175 shares of Series F Preferred Stock. The “</w:t>
      </w:r>
      <w:r>
        <w:rPr>
          <w:rFonts w:ascii="Times New Roman" w:cs="Times New Roman" w:eastAsia="Times New Roman" w:hAnsi="Times New Roman"/>
          <w:sz w:val="14"/>
          <w:szCs w:val="14"/>
          <w:b w:val="1"/>
          <w:bCs w:val="1"/>
          <w:color w:val="auto"/>
        </w:rPr>
        <w:t>Series C Conversion Price</w:t>
      </w:r>
      <w:r>
        <w:rPr>
          <w:rFonts w:ascii="Times New Roman" w:cs="Times New Roman" w:eastAsia="Times New Roman" w:hAnsi="Times New Roman"/>
          <w:sz w:val="14"/>
          <w:szCs w:val="14"/>
          <w:color w:val="auto"/>
        </w:rPr>
        <w:t>”, as of the Series F Original Issue Date, is equal to $8.9008 and shall not be further adjusted upon the issuance of up to 49,518,175 shares of Series F Preferred Stock. The “</w:t>
      </w:r>
      <w:r>
        <w:rPr>
          <w:rFonts w:ascii="Times New Roman" w:cs="Times New Roman" w:eastAsia="Times New Roman" w:hAnsi="Times New Roman"/>
          <w:sz w:val="14"/>
          <w:szCs w:val="14"/>
          <w:b w:val="1"/>
          <w:bCs w:val="1"/>
          <w:color w:val="auto"/>
        </w:rPr>
        <w:t>Series D Conversion Price</w:t>
      </w:r>
      <w:r>
        <w:rPr>
          <w:rFonts w:ascii="Times New Roman" w:cs="Times New Roman" w:eastAsia="Times New Roman" w:hAnsi="Times New Roman"/>
          <w:sz w:val="14"/>
          <w:szCs w:val="14"/>
          <w:color w:val="auto"/>
        </w:rPr>
        <w:t>”, as of the Series F Original Issue Date, is equal to $7.9806 and shall not be further adjusted upon the issuance of up to 49,518,175 shares of Series F Preferred Stock. The “</w:t>
      </w:r>
      <w:r>
        <w:rPr>
          <w:rFonts w:ascii="Times New Roman" w:cs="Times New Roman" w:eastAsia="Times New Roman" w:hAnsi="Times New Roman"/>
          <w:sz w:val="14"/>
          <w:szCs w:val="14"/>
          <w:b w:val="1"/>
          <w:bCs w:val="1"/>
          <w:color w:val="auto"/>
        </w:rPr>
        <w:t>Series E Conversion Price</w:t>
      </w:r>
      <w:r>
        <w:rPr>
          <w:rFonts w:ascii="Times New Roman" w:cs="Times New Roman" w:eastAsia="Times New Roman" w:hAnsi="Times New Roman"/>
          <w:sz w:val="14"/>
          <w:szCs w:val="14"/>
          <w:color w:val="auto"/>
        </w:rPr>
        <w:t>”, as of the Series F Original Issue Date, is equal to $6.2034 and shall not be further adjusted upon the issuance of up to 49,518,175 shares of Series F Preferred Stock. The “</w:t>
      </w:r>
      <w:r>
        <w:rPr>
          <w:rFonts w:ascii="Times New Roman" w:cs="Times New Roman" w:eastAsia="Times New Roman" w:hAnsi="Times New Roman"/>
          <w:sz w:val="14"/>
          <w:szCs w:val="14"/>
          <w:b w:val="1"/>
          <w:bCs w:val="1"/>
          <w:color w:val="auto"/>
        </w:rPr>
        <w:t>Series F Conversion Price</w:t>
      </w:r>
      <w:r>
        <w:rPr>
          <w:rFonts w:ascii="Times New Roman" w:cs="Times New Roman" w:eastAsia="Times New Roman" w:hAnsi="Times New Roman"/>
          <w:sz w:val="14"/>
          <w:szCs w:val="14"/>
          <w:color w:val="auto"/>
        </w:rPr>
        <w:t>” shall initially be equal to $6.1644. Each such Conversion Price, and the rate at which shares of a series of Preferred Stock may be converted into shares of Common Stock, shall be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adjustment as provided below.</w:t>
      </w:r>
    </w:p>
    <w:p>
      <w:pPr>
        <w:spacing w:after="0" w:line="146" w:lineRule="exact"/>
        <w:rPr>
          <w:sz w:val="20"/>
          <w:szCs w:val="20"/>
          <w:color w:val="auto"/>
        </w:rPr>
      </w:pPr>
    </w:p>
    <w:p>
      <w:pPr>
        <w:ind w:firstLine="2301"/>
        <w:spacing w:after="0" w:line="283"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Termination of Conversion Rights</w:t>
      </w:r>
      <w:r>
        <w:rPr>
          <w:rFonts w:ascii="Times New Roman" w:cs="Times New Roman" w:eastAsia="Times New Roman" w:hAnsi="Times New Roman"/>
          <w:sz w:val="14"/>
          <w:szCs w:val="14"/>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25" w:lineRule="exact"/>
        <w:rPr>
          <w:sz w:val="20"/>
          <w:szCs w:val="20"/>
          <w:color w:val="auto"/>
        </w:rPr>
      </w:pPr>
    </w:p>
    <w:p>
      <w:pPr>
        <w:ind w:firstLine="1662"/>
        <w:spacing w:after="0" w:line="267"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Number of Shares Issuable Upon Conversion</w:t>
      </w:r>
      <w:r>
        <w:rPr>
          <w:rFonts w:ascii="Times New Roman" w:cs="Times New Roman" w:eastAsia="Times New Roman" w:hAnsi="Times New Roman"/>
          <w:sz w:val="14"/>
          <w:szCs w:val="14"/>
          <w:color w:val="auto"/>
        </w:rPr>
        <w:t>. The number of shares of Common Stock issuable to a holder of Preferred Stock upon conversion of such Preferred Stock shall be the nearest whole share, after aggregating all fractional interests in shares of Common Stock that would otherwise be issuable upon conversion of all shares of that same series of Preferred Stock being converted by such holder (with any fractional interests after such aggregation representing 0.5 or greater of a whole share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289" w:name="page290"/>
    <w:bookmarkEnd w:id="289"/>
    <w:p>
      <w:pPr>
        <w:ind w:right="320"/>
        <w:spacing w:after="0" w:line="283" w:lineRule="auto"/>
        <w:rPr>
          <w:sz w:val="20"/>
          <w:szCs w:val="20"/>
          <w:color w:val="auto"/>
        </w:rPr>
      </w:pPr>
      <w:r>
        <w:rPr>
          <w:rFonts w:ascii="Times New Roman" w:cs="Times New Roman" w:eastAsia="Times New Roman" w:hAnsi="Times New Roman"/>
          <w:sz w:val="14"/>
          <w:szCs w:val="14"/>
          <w:color w:val="auto"/>
        </w:rPr>
        <w:t xml:space="preserve">entitled to a whole share). For the avoidance of doubt, no fractional interests in shares of Common Stock shall be created or issuable as a result of the conversion of the Preferred Stock pursuant to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Mechanics of Conversion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40" w:firstLine="2301"/>
        <w:spacing w:after="0" w:line="253" w:lineRule="auto"/>
        <w:rPr>
          <w:sz w:val="20"/>
          <w:szCs w:val="20"/>
          <w:color w:val="auto"/>
        </w:rPr>
      </w:pPr>
      <w:r>
        <w:rPr>
          <w:rFonts w:ascii="Times New Roman" w:cs="Times New Roman" w:eastAsia="Times New Roman" w:hAnsi="Times New Roman"/>
          <w:sz w:val="14"/>
          <w:szCs w:val="14"/>
          <w:color w:val="auto"/>
        </w:rPr>
        <w:t xml:space="preserve">4.3.1 </w:t>
      </w:r>
      <w:r>
        <w:rPr>
          <w:rFonts w:ascii="Times New Roman" w:cs="Times New Roman" w:eastAsia="Times New Roman" w:hAnsi="Times New Roman"/>
          <w:sz w:val="14"/>
          <w:szCs w:val="14"/>
          <w:u w:val="single" w:color="auto"/>
          <w:color w:val="auto"/>
        </w:rPr>
        <w:t>Notice of Conversion</w:t>
      </w:r>
      <w:r>
        <w:rPr>
          <w:rFonts w:ascii="Times New Roman" w:cs="Times New Roman" w:eastAsia="Times New Roman" w:hAnsi="Times New Roman"/>
          <w:sz w:val="14"/>
          <w:szCs w:val="14"/>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4"/>
          <w:szCs w:val="14"/>
          <w:b w:val="1"/>
          <w:bCs w:val="1"/>
          <w:color w:val="auto"/>
        </w:rPr>
        <w:t>Conversion Time</w:t>
      </w:r>
      <w:r>
        <w:rPr>
          <w:rFonts w:ascii="Times New Roman" w:cs="Times New Roman" w:eastAsia="Times New Roman" w:hAnsi="Times New Roman"/>
          <w:sz w:val="14"/>
          <w:szCs w:val="14"/>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all declared but unpaid dividends on the shares of Preferred Stock converted.</w:t>
      </w:r>
    </w:p>
    <w:p>
      <w:pPr>
        <w:spacing w:after="0" w:line="147" w:lineRule="exact"/>
        <w:rPr>
          <w:sz w:val="20"/>
          <w:szCs w:val="20"/>
          <w:color w:val="auto"/>
        </w:rPr>
      </w:pPr>
    </w:p>
    <w:p>
      <w:pPr>
        <w:ind w:right="20" w:firstLine="2301"/>
        <w:spacing w:after="0" w:line="255" w:lineRule="auto"/>
        <w:rPr>
          <w:sz w:val="20"/>
          <w:szCs w:val="20"/>
          <w:color w:val="auto"/>
        </w:rPr>
      </w:pPr>
      <w:r>
        <w:rPr>
          <w:rFonts w:ascii="Times New Roman" w:cs="Times New Roman" w:eastAsia="Times New Roman" w:hAnsi="Times New Roman"/>
          <w:sz w:val="14"/>
          <w:szCs w:val="14"/>
          <w:color w:val="auto"/>
        </w:rPr>
        <w:t xml:space="preserve">4.3.2 </w:t>
      </w:r>
      <w:r>
        <w:rPr>
          <w:rFonts w:ascii="Times New Roman" w:cs="Times New Roman" w:eastAsia="Times New Roman" w:hAnsi="Times New Roman"/>
          <w:sz w:val="14"/>
          <w:szCs w:val="14"/>
          <w:u w:val="single" w:color="auto"/>
          <w:color w:val="auto"/>
        </w:rPr>
        <w:t>Reservation of Shares</w:t>
      </w:r>
      <w:r>
        <w:rPr>
          <w:rFonts w:ascii="Times New Roman" w:cs="Times New Roman" w:eastAsia="Times New Roman" w:hAnsi="Times New Roman"/>
          <w:sz w:val="14"/>
          <w:szCs w:val="14"/>
          <w:color w:val="auto"/>
        </w:rPr>
        <w:t>, The Corporation shall at all times when any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applicable to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the adjusted Conversion Price applicable to such series of Preferred Stock.</w:t>
      </w:r>
    </w:p>
    <w:p>
      <w:pPr>
        <w:spacing w:after="0" w:line="145" w:lineRule="exact"/>
        <w:rPr>
          <w:sz w:val="20"/>
          <w:szCs w:val="20"/>
          <w:color w:val="auto"/>
        </w:rPr>
      </w:pPr>
    </w:p>
    <w:p>
      <w:pPr>
        <w:ind w:right="80" w:firstLine="2301"/>
        <w:spacing w:after="0" w:line="258" w:lineRule="auto"/>
        <w:rPr>
          <w:sz w:val="20"/>
          <w:szCs w:val="20"/>
          <w:color w:val="auto"/>
        </w:rPr>
      </w:pPr>
      <w:r>
        <w:rPr>
          <w:rFonts w:ascii="Times New Roman" w:cs="Times New Roman" w:eastAsia="Times New Roman" w:hAnsi="Times New Roman"/>
          <w:sz w:val="14"/>
          <w:szCs w:val="14"/>
          <w:color w:val="auto"/>
        </w:rPr>
        <w:t xml:space="preserve">4.3.3 </w:t>
      </w:r>
      <w:r>
        <w:rPr>
          <w:rFonts w:ascii="Times New Roman" w:cs="Times New Roman" w:eastAsia="Times New Roman" w:hAnsi="Times New Roman"/>
          <w:sz w:val="14"/>
          <w:szCs w:val="14"/>
          <w:u w:val="single" w:color="auto"/>
          <w:color w:val="auto"/>
        </w:rPr>
        <w:t>Effect of Conversion</w:t>
      </w:r>
      <w:r>
        <w:rPr>
          <w:rFonts w:ascii="Times New Roman" w:cs="Times New Roman" w:eastAsia="Times New Roman" w:hAnsi="Times New Roman"/>
          <w:sz w:val="14"/>
          <w:szCs w:val="14"/>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4"/>
          <w:szCs w:val="14"/>
          <w:u w:val="single" w:color="auto"/>
          <w:color w:val="auto"/>
        </w:rPr>
        <w:t>Subsection 4.2</w:t>
      </w:r>
      <w:r>
        <w:rPr>
          <w:rFonts w:ascii="Times New Roman" w:cs="Times New Roman" w:eastAsia="Times New Roman" w:hAnsi="Times New Roman"/>
          <w:sz w:val="14"/>
          <w:szCs w:val="14"/>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44" w:lineRule="exact"/>
        <w:rPr>
          <w:sz w:val="20"/>
          <w:szCs w:val="20"/>
          <w:color w:val="auto"/>
        </w:rPr>
      </w:pPr>
    </w:p>
    <w:p>
      <w:pPr>
        <w:ind w:right="60" w:firstLine="2301"/>
        <w:spacing w:after="0" w:line="283" w:lineRule="auto"/>
        <w:rPr>
          <w:sz w:val="20"/>
          <w:szCs w:val="20"/>
          <w:color w:val="auto"/>
        </w:rPr>
      </w:pPr>
      <w:r>
        <w:rPr>
          <w:rFonts w:ascii="Times New Roman" w:cs="Times New Roman" w:eastAsia="Times New Roman" w:hAnsi="Times New Roman"/>
          <w:sz w:val="14"/>
          <w:szCs w:val="14"/>
          <w:color w:val="auto"/>
        </w:rPr>
        <w:t xml:space="preserve">4.3.4 </w:t>
      </w:r>
      <w:r>
        <w:rPr>
          <w:rFonts w:ascii="Times New Roman" w:cs="Times New Roman" w:eastAsia="Times New Roman" w:hAnsi="Times New Roman"/>
          <w:sz w:val="14"/>
          <w:szCs w:val="14"/>
          <w:u w:val="single" w:color="auto"/>
          <w:color w:val="auto"/>
        </w:rPr>
        <w:t>No Further Adjustment</w:t>
      </w:r>
      <w:r>
        <w:rPr>
          <w:rFonts w:ascii="Times New Roman" w:cs="Times New Roman" w:eastAsia="Times New Roman" w:hAnsi="Times New Roman"/>
          <w:sz w:val="14"/>
          <w:szCs w:val="14"/>
          <w:color w:val="auto"/>
        </w:rPr>
        <w:t>. Upon any such conversion, no adjustment to the Conversion Price applicable to a series of Preferred Stock shall be made for any declared but unpaid dividends on such series of Preferred Stock surrendered for conversion or on the Common Stock delivered upon conversion.</w:t>
      </w:r>
    </w:p>
    <w:p>
      <w:pPr>
        <w:spacing w:after="0" w:line="125" w:lineRule="exact"/>
        <w:rPr>
          <w:sz w:val="20"/>
          <w:szCs w:val="20"/>
          <w:color w:val="auto"/>
        </w:rPr>
      </w:pPr>
    </w:p>
    <w:p>
      <w:pPr>
        <w:ind w:firstLine="2301"/>
        <w:spacing w:after="0" w:line="258" w:lineRule="auto"/>
        <w:rPr>
          <w:sz w:val="20"/>
          <w:szCs w:val="20"/>
          <w:color w:val="auto"/>
        </w:rPr>
      </w:pPr>
      <w:r>
        <w:rPr>
          <w:rFonts w:ascii="Times New Roman" w:cs="Times New Roman" w:eastAsia="Times New Roman" w:hAnsi="Times New Roman"/>
          <w:sz w:val="14"/>
          <w:szCs w:val="14"/>
          <w:color w:val="auto"/>
        </w:rPr>
        <w:t xml:space="preserve">4.3.5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shall not, however, be required to pay any tax which may be payable in respect of any transfer involved in the issuance and delivery of shares of Common Stock in a name other</w:t>
      </w:r>
      <w:r>
        <w:rPr>
          <w:rFonts w:ascii="Times New Roman" w:cs="Times New Roman" w:eastAsia="Times New Roman" w:hAnsi="Times New Roman"/>
          <w:sz w:val="7"/>
          <w:szCs w:val="7"/>
          <w:color w:val="auto"/>
        </w:rPr>
        <w:t>-</w:t>
      </w:r>
      <w:r>
        <w:rPr>
          <w:rFonts w:ascii="Times New Roman" w:cs="Times New Roman" w:eastAsia="Times New Roman" w:hAnsi="Times New Roman"/>
          <w:sz w:val="14"/>
          <w:szCs w:val="14"/>
          <w:color w:val="auto"/>
        </w:rPr>
        <w:t>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Adjustments to Conversion Price for Diluting Issues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0" w:name="page291"/>
    <w:bookmarkEnd w:id="290"/>
    <w:p>
      <w:pPr>
        <w:ind w:left="2300"/>
        <w:spacing w:after="0"/>
        <w:rPr>
          <w:sz w:val="20"/>
          <w:szCs w:val="20"/>
          <w:color w:val="auto"/>
        </w:rPr>
      </w:pPr>
      <w:r>
        <w:rPr>
          <w:rFonts w:ascii="Times New Roman" w:cs="Times New Roman" w:eastAsia="Times New Roman" w:hAnsi="Times New Roman"/>
          <w:sz w:val="14"/>
          <w:szCs w:val="14"/>
          <w:color w:val="auto"/>
        </w:rPr>
        <w:t xml:space="preserve">4.4.1 </w:t>
      </w:r>
      <w:r>
        <w:rPr>
          <w:rFonts w:ascii="Times New Roman" w:cs="Times New Roman" w:eastAsia="Times New Roman" w:hAnsi="Times New Roman"/>
          <w:sz w:val="14"/>
          <w:szCs w:val="14"/>
          <w:u w:val="single" w:color="auto"/>
          <w:color w:val="auto"/>
        </w:rPr>
        <w:t>Special Definitions</w:t>
      </w:r>
      <w:r>
        <w:rPr>
          <w:rFonts w:ascii="Times New Roman" w:cs="Times New Roman" w:eastAsia="Times New Roman" w:hAnsi="Times New Roman"/>
          <w:sz w:val="14"/>
          <w:szCs w:val="14"/>
          <w:color w:val="auto"/>
        </w:rPr>
        <w:t>. For purposes of this Article Fourth, the following definitions shall apply:</w:t>
      </w:r>
    </w:p>
    <w:p>
      <w:pPr>
        <w:spacing w:after="0" w:line="173" w:lineRule="exact"/>
        <w:rPr>
          <w:sz w:val="20"/>
          <w:szCs w:val="20"/>
          <w:color w:val="auto"/>
        </w:rPr>
      </w:pPr>
    </w:p>
    <w:p>
      <w:pPr>
        <w:ind w:left="3000" w:hanging="191"/>
        <w:spacing w:after="0"/>
        <w:tabs>
          <w:tab w:leader="none" w:pos="30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shall mean rights, options or warrants to subscribe for, purchase or otherwise acquire Common Stock or Convertible Securities.</w:t>
      </w:r>
    </w:p>
    <w:p>
      <w:pPr>
        <w:spacing w:after="0" w:line="175" w:lineRule="exact"/>
        <w:rPr>
          <w:rFonts w:ascii="Times New Roman" w:cs="Times New Roman" w:eastAsia="Times New Roman" w:hAnsi="Times New Roman"/>
          <w:sz w:val="14"/>
          <w:szCs w:val="14"/>
          <w:color w:val="auto"/>
        </w:rPr>
      </w:pPr>
    </w:p>
    <w:p>
      <w:pPr>
        <w:ind w:left="3000" w:hanging="191"/>
        <w:spacing w:after="0"/>
        <w:tabs>
          <w:tab w:leader="none" w:pos="30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F Original Issue Date</w:t>
      </w:r>
      <w:r>
        <w:rPr>
          <w:rFonts w:ascii="Times New Roman" w:cs="Times New Roman" w:eastAsia="Times New Roman" w:hAnsi="Times New Roman"/>
          <w:sz w:val="14"/>
          <w:szCs w:val="14"/>
          <w:color w:val="auto"/>
        </w:rPr>
        <w:t>” shall mean the date on which the first share of Series F Preferred Stock was issued.</w:t>
      </w:r>
    </w:p>
    <w:p>
      <w:pPr>
        <w:spacing w:after="0" w:line="175" w:lineRule="exact"/>
        <w:rPr>
          <w:rFonts w:ascii="Times New Roman" w:cs="Times New Roman" w:eastAsia="Times New Roman" w:hAnsi="Times New Roman"/>
          <w:sz w:val="14"/>
          <w:szCs w:val="14"/>
          <w:color w:val="auto"/>
        </w:rPr>
      </w:pPr>
    </w:p>
    <w:p>
      <w:pPr>
        <w:ind w:left="1140" w:right="700" w:firstLine="1669"/>
        <w:spacing w:after="0" w:line="286" w:lineRule="auto"/>
        <w:tabs>
          <w:tab w:leader="none" w:pos="299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Convertible Securities</w:t>
      </w:r>
      <w:r>
        <w:rPr>
          <w:rFonts w:ascii="Times New Roman" w:cs="Times New Roman" w:eastAsia="Times New Roman" w:hAnsi="Times New Roman"/>
          <w:sz w:val="14"/>
          <w:szCs w:val="14"/>
          <w:color w:val="auto"/>
        </w:rPr>
        <w:t>” shall mean any evidences of indebtedness, shares or other securities directly or indirectly convertible into or exchangeable for Common Stock, but excluding Options.</w:t>
      </w:r>
    </w:p>
    <w:p>
      <w:pPr>
        <w:spacing w:after="0" w:line="120" w:lineRule="exact"/>
        <w:rPr>
          <w:rFonts w:ascii="Times New Roman" w:cs="Times New Roman" w:eastAsia="Times New Roman" w:hAnsi="Times New Roman"/>
          <w:sz w:val="14"/>
          <w:szCs w:val="14"/>
          <w:color w:val="auto"/>
        </w:rPr>
      </w:pPr>
    </w:p>
    <w:p>
      <w:pPr>
        <w:ind w:left="1140" w:right="20" w:firstLine="1669"/>
        <w:spacing w:after="0" w:line="268" w:lineRule="auto"/>
        <w:tabs>
          <w:tab w:leader="none" w:pos="30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Shares of Common Stock</w:t>
      </w:r>
      <w:r>
        <w:rPr>
          <w:rFonts w:ascii="Times New Roman" w:cs="Times New Roman" w:eastAsia="Times New Roman" w:hAnsi="Times New Roman"/>
          <w:sz w:val="14"/>
          <w:szCs w:val="14"/>
          <w:color w:val="auto"/>
        </w:rPr>
        <w:t xml:space="preserve">” shall mean all shares of Common Stock issued (or, pursuant to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xml:space="preserve"> below, deemed to be issued) by the Corporation after the Series F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4"/>
          <w:szCs w:val="14"/>
          <w:b w:val="1"/>
          <w:bCs w:val="1"/>
          <w:color w:val="auto"/>
        </w:rPr>
        <w:t>Exempted Securities</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3500" w:hanging="172"/>
        <w:spacing w:after="0"/>
        <w:tabs>
          <w:tab w:leader="none" w:pos="35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as a dividend or distribution on Preferred Stock;</w:t>
      </w:r>
    </w:p>
    <w:p>
      <w:pPr>
        <w:spacing w:after="0" w:line="175" w:lineRule="exact"/>
        <w:rPr>
          <w:rFonts w:ascii="Times New Roman" w:cs="Times New Roman" w:eastAsia="Times New Roman" w:hAnsi="Times New Roman"/>
          <w:sz w:val="14"/>
          <w:szCs w:val="14"/>
          <w:color w:val="auto"/>
        </w:rPr>
      </w:pPr>
    </w:p>
    <w:p>
      <w:pPr>
        <w:ind w:left="520" w:right="140" w:firstLine="2808"/>
        <w:spacing w:after="0" w:line="283" w:lineRule="auto"/>
        <w:tabs>
          <w:tab w:leader="none" w:pos="3539"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4"/>
          <w:szCs w:val="14"/>
          <w:u w:val="single" w:color="auto"/>
          <w:color w:val="auto"/>
        </w:rPr>
        <w:t>Subsection 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4.8</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520" w:right="140" w:firstLine="2808"/>
        <w:spacing w:after="0" w:line="283" w:lineRule="auto"/>
        <w:tabs>
          <w:tab w:leader="none" w:pos="3578"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Options issued to employees or directors of, or consultants or advisors to, the Corporation or any of its subsidiaries pursuant to a plan, agreement or arrangement approved (i) prior to the Series F Original Issue Date or (ii) by the Board of Directors, including the Requisite Preferred Directors;</w:t>
      </w:r>
    </w:p>
    <w:p>
      <w:pPr>
        <w:spacing w:after="0" w:line="124" w:lineRule="exact"/>
        <w:rPr>
          <w:rFonts w:ascii="Times New Roman" w:cs="Times New Roman" w:eastAsia="Times New Roman" w:hAnsi="Times New Roman"/>
          <w:sz w:val="14"/>
          <w:szCs w:val="14"/>
          <w:color w:val="auto"/>
        </w:rPr>
      </w:pPr>
    </w:p>
    <w:p>
      <w:pPr>
        <w:ind w:left="520" w:right="240" w:firstLine="2808"/>
        <w:spacing w:after="0" w:line="283" w:lineRule="auto"/>
        <w:tabs>
          <w:tab w:leader="none" w:pos="357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24" w:lineRule="exact"/>
        <w:rPr>
          <w:rFonts w:ascii="Times New Roman" w:cs="Times New Roman" w:eastAsia="Times New Roman" w:hAnsi="Times New Roman"/>
          <w:sz w:val="14"/>
          <w:szCs w:val="14"/>
          <w:color w:val="auto"/>
        </w:rPr>
      </w:pPr>
    </w:p>
    <w:p>
      <w:pPr>
        <w:ind w:left="520" w:right="140" w:firstLine="2808"/>
        <w:spacing w:after="0" w:line="283" w:lineRule="auto"/>
        <w:tabs>
          <w:tab w:leader="none" w:pos="3531"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the Requisite Preferred Directors;</w:t>
      </w:r>
    </w:p>
    <w:p>
      <w:pPr>
        <w:spacing w:after="0" w:line="124" w:lineRule="exact"/>
        <w:rPr>
          <w:rFonts w:ascii="Times New Roman" w:cs="Times New Roman" w:eastAsia="Times New Roman" w:hAnsi="Times New Roman"/>
          <w:sz w:val="14"/>
          <w:szCs w:val="14"/>
          <w:color w:val="auto"/>
        </w:rPr>
      </w:pPr>
    </w:p>
    <w:p>
      <w:pPr>
        <w:ind w:left="520" w:right="240" w:firstLine="2808"/>
        <w:spacing w:after="0" w:line="283" w:lineRule="auto"/>
        <w:tabs>
          <w:tab w:leader="none" w:pos="357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in connection with sponsored research, collaboration, technology license, development, OEM, marketing or other similar agreements or strategic partnerships approved by the Board of Directors, including the Requisite Preferred Directors; or</w:t>
      </w:r>
    </w:p>
    <w:p>
      <w:pPr>
        <w:spacing w:after="0" w:line="124" w:lineRule="exact"/>
        <w:rPr>
          <w:rFonts w:ascii="Times New Roman" w:cs="Times New Roman" w:eastAsia="Times New Roman" w:hAnsi="Times New Roman"/>
          <w:sz w:val="14"/>
          <w:szCs w:val="14"/>
          <w:color w:val="auto"/>
        </w:rPr>
      </w:pPr>
    </w:p>
    <w:p>
      <w:pPr>
        <w:ind w:left="3600" w:hanging="272"/>
        <w:spacing w:after="0"/>
        <w:tabs>
          <w:tab w:leader="none" w:pos="36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issued in connection with a firm underwritten public offering of Common Stock pursuant to an effective</w:t>
      </w:r>
    </w:p>
    <w:p>
      <w:pPr>
        <w:spacing w:after="0" w:line="2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w:t>
      </w:r>
    </w:p>
    <w:p>
      <w:pPr>
        <w:spacing w:after="0" w:line="161" w:lineRule="exact"/>
        <w:rPr>
          <w:sz w:val="20"/>
          <w:szCs w:val="20"/>
          <w:color w:val="auto"/>
        </w:rPr>
      </w:pPr>
    </w:p>
    <w:p>
      <w:pPr>
        <w:ind w:right="140" w:firstLine="2301"/>
        <w:spacing w:after="0" w:line="261" w:lineRule="auto"/>
        <w:rPr>
          <w:sz w:val="20"/>
          <w:szCs w:val="20"/>
          <w:color w:val="auto"/>
        </w:rPr>
      </w:pPr>
      <w:r>
        <w:rPr>
          <w:rFonts w:ascii="Times New Roman" w:cs="Times New Roman" w:eastAsia="Times New Roman" w:hAnsi="Times New Roman"/>
          <w:sz w:val="14"/>
          <w:szCs w:val="14"/>
          <w:color w:val="auto"/>
        </w:rPr>
        <w:t xml:space="preserve">4.4.2 </w:t>
      </w:r>
      <w:r>
        <w:rPr>
          <w:rFonts w:ascii="Times New Roman" w:cs="Times New Roman" w:eastAsia="Times New Roman" w:hAnsi="Times New Roman"/>
          <w:sz w:val="14"/>
          <w:szCs w:val="14"/>
          <w:u w:val="single" w:color="auto"/>
          <w:color w:val="auto"/>
        </w:rPr>
        <w:t>No Adjustment of Conversion Price</w:t>
      </w:r>
      <w:r>
        <w:rPr>
          <w:rFonts w:ascii="Times New Roman" w:cs="Times New Roman" w:eastAsia="Times New Roman" w:hAnsi="Times New Roman"/>
          <w:sz w:val="14"/>
          <w:szCs w:val="14"/>
          <w:color w:val="auto"/>
        </w:rPr>
        <w:t>. No adjustment in the Conversion Price applicable to a series of Preferred Stock shall be made as the result of the issuance or deemed issuance of Additional Shares of Common Stock if the Corporation receives written notice from (i) with respect to each series of Preferred Stock except for the Series F Preferred Stock, the Requisite Preferred Stock Holders, and (ii) with respect to the Series F Preferred Stock, the Requisite Series F Holders agreeing that no such adjustment shall be made as the result of the issuance or deemed issuance of such Additional Shares of Common Stock.</w:t>
      </w:r>
    </w:p>
    <w:p>
      <w:pPr>
        <w:spacing w:after="0" w:line="14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 xml:space="preserve">4.4.3 </w:t>
      </w:r>
      <w:r>
        <w:rPr>
          <w:rFonts w:ascii="Times New Roman" w:cs="Times New Roman" w:eastAsia="Times New Roman" w:hAnsi="Times New Roman"/>
          <w:sz w:val="14"/>
          <w:szCs w:val="14"/>
          <w:u w:val="single" w:color="auto"/>
          <w:color w:val="auto"/>
        </w:rPr>
        <w:t>Deemed Issue of Additional Shares of Common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60" w:firstLine="1656"/>
        <w:spacing w:after="0" w:line="256" w:lineRule="auto"/>
        <w:tabs>
          <w:tab w:leader="none" w:pos="301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at any time or from time to time after the Series F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291" w:name="page292"/>
    <w:bookmarkEnd w:id="291"/>
    <w:p>
      <w:pPr>
        <w:ind w:left="20" w:firstLine="1656"/>
        <w:spacing w:after="0" w:line="256" w:lineRule="auto"/>
        <w:tabs>
          <w:tab w:leader="none" w:pos="188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terms of any Option or Convertible Security, the issuance of which resulted in an adjustment to the Conversion Price applicable to a series of Preferred Stock pursuant to the terms of </w:t>
      </w:r>
      <w:r>
        <w:rPr>
          <w:rFonts w:ascii="Times New Roman" w:cs="Times New Roman" w:eastAsia="Times New Roman" w:hAnsi="Times New Roman"/>
          <w:sz w:val="14"/>
          <w:szCs w:val="14"/>
          <w:u w:val="single" w:color="auto"/>
          <w:color w:val="auto"/>
        </w:rPr>
        <w:t>Subsection 4.4.4</w:t>
      </w:r>
      <w:r>
        <w:rPr>
          <w:rFonts w:ascii="Times New Roman" w:cs="Times New Roman" w:eastAsia="Times New Roman" w:hAnsi="Times New Roman"/>
          <w:sz w:val="14"/>
          <w:szCs w:val="14"/>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w:t>
      </w:r>
    </w:p>
    <w:p>
      <w:pPr>
        <w:ind w:left="20" w:right="40" w:hanging="5"/>
        <w:spacing w:after="0" w:line="252" w:lineRule="auto"/>
        <w:tabs>
          <w:tab w:leader="none" w:pos="218"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 or decrease in the consideration payable to the Corporation upon such exercise, conversion and/or exchange, then, effective upon such increase or decrease becoming effective, the Conversion Price for such series of Preferred Stock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applicable to a series of Preferred Stock to an amount which exceeds the lower of (i) the Conversion Price in effect immediately prior to the original adjustment made as a result of the issuance of such Option or Convertible Security, or (ii) the Conversion Price applicable to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46" w:lineRule="exact"/>
        <w:rPr>
          <w:rFonts w:ascii="Times New Roman" w:cs="Times New Roman" w:eastAsia="Times New Roman" w:hAnsi="Times New Roman"/>
          <w:sz w:val="14"/>
          <w:szCs w:val="14"/>
          <w:color w:val="auto"/>
        </w:rPr>
      </w:pPr>
    </w:p>
    <w:p>
      <w:pPr>
        <w:ind w:left="20" w:right="20" w:firstLine="1656"/>
        <w:spacing w:after="0" w:line="254" w:lineRule="auto"/>
        <w:tabs>
          <w:tab w:leader="none" w:pos="1872"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terms of any Option or Convertible Security (excluding Options or Convertible Securities which are themselves Exempted Securities), the issuance of which did not result in an adjustment to the Conversion Price applicable to a series of Preferred Stock pursuant to the terms of </w:t>
      </w:r>
      <w:r>
        <w:rPr>
          <w:rFonts w:ascii="Times New Roman" w:cs="Times New Roman" w:eastAsia="Times New Roman" w:hAnsi="Times New Roman"/>
          <w:sz w:val="14"/>
          <w:szCs w:val="14"/>
          <w:u w:val="single" w:color="auto"/>
          <w:color w:val="auto"/>
        </w:rPr>
        <w:t>Subsection 4.4.4</w:t>
      </w:r>
      <w:r>
        <w:rPr>
          <w:rFonts w:ascii="Times New Roman" w:cs="Times New Roman" w:eastAsia="Times New Roman" w:hAnsi="Times New Roman"/>
          <w:sz w:val="14"/>
          <w:szCs w:val="14"/>
          <w:color w:val="auto"/>
        </w:rPr>
        <w:t xml:space="preserve"> (either because the consideration per share (determined pursuant to </w:t>
      </w:r>
      <w:r>
        <w:rPr>
          <w:rFonts w:ascii="Times New Roman" w:cs="Times New Roman" w:eastAsia="Times New Roman" w:hAnsi="Times New Roman"/>
          <w:sz w:val="14"/>
          <w:szCs w:val="14"/>
          <w:u w:val="single" w:color="auto"/>
          <w:color w:val="auto"/>
        </w:rPr>
        <w:t>Subsection 4.4.5</w:t>
      </w:r>
      <w:r>
        <w:rPr>
          <w:rFonts w:ascii="Times New Roman" w:cs="Times New Roman" w:eastAsia="Times New Roman" w:hAnsi="Times New Roman"/>
          <w:sz w:val="14"/>
          <w:szCs w:val="14"/>
          <w:color w:val="auto"/>
        </w:rPr>
        <w:t xml:space="preserve">) of the Additional Shares of Common Stock subject thereto was equal to or greater than the Conversion Price then in effect for such series of Preferred Stock, or because such Option or Convertible Security was issued before the Series F Original Issue Date), are revised after the Series F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4"/>
          <w:szCs w:val="14"/>
          <w:u w:val="single" w:color="auto"/>
          <w:color w:val="auto"/>
        </w:rPr>
        <w:t>Subsection 4.4.3(a)</w:t>
      </w:r>
      <w:r>
        <w:rPr>
          <w:rFonts w:ascii="Times New Roman" w:cs="Times New Roman" w:eastAsia="Times New Roman" w:hAnsi="Times New Roman"/>
          <w:sz w:val="14"/>
          <w:szCs w:val="14"/>
          <w:color w:val="auto"/>
        </w:rPr>
        <w:t>) shall be deemed to have been issued effective upon such increase or decrease becoming effective.</w:t>
      </w:r>
    </w:p>
    <w:p>
      <w:pPr>
        <w:spacing w:after="0" w:line="148" w:lineRule="exact"/>
        <w:rPr>
          <w:rFonts w:ascii="Times New Roman" w:cs="Times New Roman" w:eastAsia="Times New Roman" w:hAnsi="Times New Roman"/>
          <w:sz w:val="14"/>
          <w:szCs w:val="14"/>
          <w:color w:val="auto"/>
        </w:rPr>
      </w:pPr>
    </w:p>
    <w:p>
      <w:pPr>
        <w:ind w:left="20" w:right="80" w:firstLine="1656"/>
        <w:spacing w:after="0" w:line="261" w:lineRule="auto"/>
        <w:tabs>
          <w:tab w:leader="none" w:pos="1880"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applicable to a series of Preferred Stock pursuant to the terms of </w:t>
      </w:r>
      <w:r>
        <w:rPr>
          <w:rFonts w:ascii="Times New Roman" w:cs="Times New Roman" w:eastAsia="Times New Roman" w:hAnsi="Times New Roman"/>
          <w:sz w:val="14"/>
          <w:szCs w:val="14"/>
          <w:u w:val="single" w:color="auto"/>
          <w:color w:val="auto"/>
        </w:rPr>
        <w:t>Subsection 4.4.4</w:t>
      </w:r>
      <w:r>
        <w:rPr>
          <w:rFonts w:ascii="Times New Roman" w:cs="Times New Roman" w:eastAsia="Times New Roman" w:hAnsi="Times New Roman"/>
          <w:sz w:val="14"/>
          <w:szCs w:val="14"/>
          <w:color w:val="auto"/>
        </w:rPr>
        <w:t>, the Conversion Price applicable to such series of Preferred Stock shall be readjusted to such Conversion Price as would have obtained had such Option or Convertible Security (or portion thereof) never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473075</wp:posOffset>
            </wp:positionV>
            <wp:extent cx="7188200"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20"/>
          </w:cols>
          <w:pgMar w:left="1440" w:top="987" w:right="339" w:bottom="1440" w:gutter="0" w:footer="0" w:header="0"/>
        </w:sectPr>
      </w:pPr>
    </w:p>
    <w:bookmarkStart w:id="292" w:name="page293"/>
    <w:bookmarkEnd w:id="292"/>
    <w:p>
      <w:pPr>
        <w:ind w:left="1140" w:right="40" w:firstLine="1661"/>
        <w:spacing w:after="0" w:line="253" w:lineRule="auto"/>
        <w:tabs>
          <w:tab w:leader="none" w:pos="2985"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applicable to a series of Preferred Stock provided for in this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applicable to a series of Preferred Stock that would result under the terms of this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applicable to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w:t>
      </w:r>
    </w:p>
    <w:p>
      <w:pPr>
        <w:spacing w:after="0" w:line="14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 xml:space="preserve">4.4.4 </w:t>
      </w:r>
      <w:r>
        <w:rPr>
          <w:rFonts w:ascii="Times New Roman" w:cs="Times New Roman" w:eastAsia="Times New Roman" w:hAnsi="Times New Roman"/>
          <w:sz w:val="14"/>
          <w:szCs w:val="14"/>
          <w:u w:val="single" w:color="auto"/>
          <w:color w:val="auto"/>
        </w:rPr>
        <w:t>Adjustment of Conversion Price Upon Issuance of Additional Shares of Common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40" w:firstLine="1669"/>
        <w:spacing w:after="0" w:line="261" w:lineRule="auto"/>
        <w:tabs>
          <w:tab w:leader="none" w:pos="2992"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the Corporation shall at any time after the Series F Original Issue Date issue Additional Shares of Common Stock (including Additional Shares of Common Stock deemed to be issued pursuant to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without consideration or for a consideration per share less than the Series F Conversion Price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Step 1: CP</w:t>
      </w:r>
      <w:r>
        <w:rPr>
          <w:rFonts w:ascii="Times New Roman" w:cs="Times New Roman" w:eastAsia="Times New Roman" w:hAnsi="Times New Roman"/>
          <w:sz w:val="14"/>
          <w:szCs w:val="14"/>
          <w:color w:val="auto"/>
          <w:vertAlign w:val="subscript"/>
        </w:rPr>
        <w:t>2a</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14"/>
          <w:szCs w:val="14"/>
          <w:color w:val="auto"/>
          <w:vertAlign w:val="subscript"/>
        </w:rPr>
        <w:t>1a</w:t>
      </w:r>
      <w:r>
        <w:rPr>
          <w:rFonts w:ascii="Times New Roman" w:cs="Times New Roman" w:eastAsia="Times New Roman" w:hAnsi="Times New Roman"/>
          <w:sz w:val="14"/>
          <w:szCs w:val="14"/>
          <w:color w:val="auto"/>
        </w:rPr>
        <w:t xml:space="preserve"> * (A + B)÷(A + C).</w:t>
      </w:r>
    </w:p>
    <w:p>
      <w:pPr>
        <w:spacing w:after="0" w:line="17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Step 2: CP</w:t>
      </w:r>
      <w:r>
        <w:rPr>
          <w:rFonts w:ascii="Times New Roman" w:cs="Times New Roman" w:eastAsia="Times New Roman" w:hAnsi="Times New Roman"/>
          <w:sz w:val="14"/>
          <w:szCs w:val="14"/>
          <w:color w:val="auto"/>
          <w:vertAlign w:val="subscript"/>
        </w:rPr>
        <w:t>2</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14"/>
          <w:szCs w:val="14"/>
          <w:color w:val="auto"/>
          <w:vertAlign w:val="subscript"/>
        </w:rPr>
        <w:t>1</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14"/>
          <w:szCs w:val="14"/>
          <w:color w:val="auto"/>
          <w:vertAlign w:val="subscript"/>
        </w:rPr>
        <w:t>1a</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14"/>
          <w:szCs w:val="14"/>
          <w:color w:val="auto"/>
          <w:vertAlign w:val="subscript"/>
        </w:rPr>
        <w:t>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purposes of the foregoing formula, the following definitions shall apply:</w:t>
      </w:r>
    </w:p>
    <w:p>
      <w:pPr>
        <w:spacing w:after="0" w:line="175" w:lineRule="exact"/>
        <w:rPr>
          <w:sz w:val="20"/>
          <w:szCs w:val="20"/>
          <w:color w:val="auto"/>
        </w:rPr>
      </w:pPr>
    </w:p>
    <w:p>
      <w:pPr>
        <w:ind w:left="1140" w:right="40" w:firstLine="1669"/>
        <w:spacing w:after="0" w:line="283" w:lineRule="auto"/>
        <w:tabs>
          <w:tab w:leader="none" w:pos="30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14"/>
          <w:szCs w:val="14"/>
          <w:color w:val="auto"/>
          <w:vertAlign w:val="subscript"/>
        </w:rPr>
        <w:t>2</w:t>
      </w:r>
      <w:r>
        <w:rPr>
          <w:rFonts w:ascii="Times New Roman" w:cs="Times New Roman" w:eastAsia="Times New Roman" w:hAnsi="Times New Roman"/>
          <w:sz w:val="14"/>
          <w:szCs w:val="14"/>
          <w:color w:val="auto"/>
        </w:rPr>
        <w:t>” shall mean the Conversion Price in respect of such series of Preferred Stock in effect immediately after such issuance or deemed issuance of Additional Shares of Common Stock;</w:t>
      </w:r>
    </w:p>
    <w:p>
      <w:pPr>
        <w:spacing w:after="0" w:line="124" w:lineRule="exact"/>
        <w:rPr>
          <w:rFonts w:ascii="Times New Roman" w:cs="Times New Roman" w:eastAsia="Times New Roman" w:hAnsi="Times New Roman"/>
          <w:sz w:val="14"/>
          <w:szCs w:val="14"/>
          <w:color w:val="auto"/>
        </w:rPr>
      </w:pPr>
    </w:p>
    <w:p>
      <w:pPr>
        <w:ind w:left="1140" w:right="40" w:firstLine="1669"/>
        <w:spacing w:after="0" w:line="283" w:lineRule="auto"/>
        <w:tabs>
          <w:tab w:leader="none" w:pos="299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14"/>
          <w:szCs w:val="14"/>
          <w:color w:val="auto"/>
          <w:vertAlign w:val="subscript"/>
        </w:rPr>
        <w:t>1</w:t>
      </w:r>
      <w:r>
        <w:rPr>
          <w:rFonts w:ascii="Times New Roman" w:cs="Times New Roman" w:eastAsia="Times New Roman" w:hAnsi="Times New Roman"/>
          <w:sz w:val="14"/>
          <w:szCs w:val="14"/>
          <w:color w:val="auto"/>
        </w:rPr>
        <w:t>” shall mean the Conversion Price in respect of such series of Preferred Stock effect immediately prior to such issuance or deemed issuance of Additional Shares of Common Stock;</w:t>
      </w:r>
    </w:p>
    <w:p>
      <w:pPr>
        <w:spacing w:after="0" w:line="124" w:lineRule="exact"/>
        <w:rPr>
          <w:rFonts w:ascii="Times New Roman" w:cs="Times New Roman" w:eastAsia="Times New Roman" w:hAnsi="Times New Roman"/>
          <w:sz w:val="14"/>
          <w:szCs w:val="14"/>
          <w:color w:val="auto"/>
        </w:rPr>
      </w:pPr>
    </w:p>
    <w:p>
      <w:pPr>
        <w:ind w:left="3000" w:hanging="191"/>
        <w:spacing w:after="0"/>
        <w:tabs>
          <w:tab w:leader="none" w:pos="30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14"/>
          <w:szCs w:val="14"/>
          <w:color w:val="auto"/>
          <w:vertAlign w:val="subscript"/>
        </w:rPr>
        <w:t>1a</w:t>
      </w:r>
      <w:r>
        <w:rPr>
          <w:rFonts w:ascii="Times New Roman" w:cs="Times New Roman" w:eastAsia="Times New Roman" w:hAnsi="Times New Roman"/>
          <w:sz w:val="14"/>
          <w:szCs w:val="14"/>
          <w:color w:val="auto"/>
        </w:rPr>
        <w:t>” shall mean the lesser of CP</w:t>
      </w:r>
      <w:r>
        <w:rPr>
          <w:rFonts w:ascii="Times New Roman" w:cs="Times New Roman" w:eastAsia="Times New Roman" w:hAnsi="Times New Roman"/>
          <w:sz w:val="14"/>
          <w:szCs w:val="14"/>
          <w:color w:val="auto"/>
          <w:vertAlign w:val="subscript"/>
        </w:rPr>
        <w:t>1</w:t>
      </w:r>
      <w:r>
        <w:rPr>
          <w:rFonts w:ascii="Times New Roman" w:cs="Times New Roman" w:eastAsia="Times New Roman" w:hAnsi="Times New Roman"/>
          <w:sz w:val="14"/>
          <w:szCs w:val="14"/>
          <w:color w:val="auto"/>
        </w:rPr>
        <w:t xml:space="preserve"> or the Series F Conversion Price in effect immediately prior to such issuance or deemed issuance;</w:t>
      </w:r>
    </w:p>
    <w:p>
      <w:pPr>
        <w:spacing w:after="0" w:line="175" w:lineRule="exact"/>
        <w:rPr>
          <w:rFonts w:ascii="Times New Roman" w:cs="Times New Roman" w:eastAsia="Times New Roman" w:hAnsi="Times New Roman"/>
          <w:sz w:val="14"/>
          <w:szCs w:val="14"/>
          <w:color w:val="auto"/>
        </w:rPr>
      </w:pPr>
    </w:p>
    <w:p>
      <w:pPr>
        <w:ind w:left="1140" w:right="140" w:firstLine="1669"/>
        <w:spacing w:after="0" w:line="261" w:lineRule="auto"/>
        <w:tabs>
          <w:tab w:leader="none" w:pos="299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40" w:lineRule="exact"/>
        <w:rPr>
          <w:rFonts w:ascii="Times New Roman" w:cs="Times New Roman" w:eastAsia="Times New Roman" w:hAnsi="Times New Roman"/>
          <w:sz w:val="14"/>
          <w:szCs w:val="14"/>
          <w:color w:val="auto"/>
        </w:rPr>
      </w:pPr>
    </w:p>
    <w:p>
      <w:pPr>
        <w:ind w:left="1140" w:right="120" w:firstLine="1669"/>
        <w:spacing w:after="0" w:line="297" w:lineRule="auto"/>
        <w:tabs>
          <w:tab w:leader="none" w:pos="2977"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14"/>
          <w:szCs w:val="14"/>
          <w:color w:val="auto"/>
          <w:vertAlign w:val="subscript"/>
        </w:rPr>
        <w:t>1a</w:t>
      </w:r>
      <w:r>
        <w:rPr>
          <w:rFonts w:ascii="Times New Roman" w:cs="Times New Roman" w:eastAsia="Times New Roman" w:hAnsi="Times New Roman"/>
          <w:sz w:val="14"/>
          <w:szCs w:val="14"/>
          <w:color w:val="auto"/>
        </w:rPr>
        <w:t xml:space="preserve"> (determined by dividing the aggregate consideration received by the Corporation in respect of such issue by CP</w:t>
      </w:r>
      <w:r>
        <w:rPr>
          <w:rFonts w:ascii="Times New Roman" w:cs="Times New Roman" w:eastAsia="Times New Roman" w:hAnsi="Times New Roman"/>
          <w:sz w:val="14"/>
          <w:szCs w:val="14"/>
          <w:color w:val="auto"/>
          <w:vertAlign w:val="subscript"/>
        </w:rPr>
        <w:t>1a</w:t>
      </w:r>
      <w:r>
        <w:rPr>
          <w:rFonts w:ascii="Times New Roman" w:cs="Times New Roman" w:eastAsia="Times New Roman" w:hAnsi="Times New Roman"/>
          <w:sz w:val="14"/>
          <w:szCs w:val="14"/>
          <w:color w:val="auto"/>
        </w:rPr>
        <w:t>); and</w:t>
      </w:r>
    </w:p>
    <w:p>
      <w:pPr>
        <w:spacing w:after="0" w:line="106" w:lineRule="exact"/>
        <w:rPr>
          <w:rFonts w:ascii="Times New Roman" w:cs="Times New Roman" w:eastAsia="Times New Roman" w:hAnsi="Times New Roman"/>
          <w:sz w:val="14"/>
          <w:szCs w:val="14"/>
          <w:color w:val="auto"/>
        </w:rPr>
      </w:pPr>
    </w:p>
    <w:p>
      <w:pPr>
        <w:ind w:left="3000" w:hanging="191"/>
        <w:spacing w:after="0"/>
        <w:tabs>
          <w:tab w:leader="none" w:pos="30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shall mean the number of such Additional Shares of Common Stock issued in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3" w:name="page294"/>
    <w:bookmarkEnd w:id="293"/>
    <w:p>
      <w:pPr>
        <w:ind w:firstLine="2301"/>
        <w:spacing w:after="0" w:line="283" w:lineRule="auto"/>
        <w:rPr>
          <w:sz w:val="20"/>
          <w:szCs w:val="20"/>
          <w:color w:val="auto"/>
        </w:rPr>
      </w:pPr>
      <w:r>
        <w:rPr>
          <w:rFonts w:ascii="Times New Roman" w:cs="Times New Roman" w:eastAsia="Times New Roman" w:hAnsi="Times New Roman"/>
          <w:sz w:val="14"/>
          <w:szCs w:val="14"/>
          <w:color w:val="auto"/>
        </w:rPr>
        <w:t xml:space="preserve">4.4.5 </w:t>
      </w:r>
      <w:r>
        <w:rPr>
          <w:rFonts w:ascii="Times New Roman" w:cs="Times New Roman" w:eastAsia="Times New Roman" w:hAnsi="Times New Roman"/>
          <w:sz w:val="14"/>
          <w:szCs w:val="14"/>
          <w:u w:val="single" w:color="auto"/>
          <w:color w:val="auto"/>
        </w:rPr>
        <w:t>Determination of Consideration</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Subsection 4.4</w:t>
      </w:r>
      <w:r>
        <w:rPr>
          <w:rFonts w:ascii="Times New Roman" w:cs="Times New Roman" w:eastAsia="Times New Roman" w:hAnsi="Times New Roman"/>
          <w:sz w:val="14"/>
          <w:szCs w:val="14"/>
          <w:color w:val="auto"/>
        </w:rPr>
        <w:t>, the consideration received by the Corporation for the issuance or deemed issuance of any Additional Shares of Common Stock shall be computed as follows:</w:t>
      </w:r>
    </w:p>
    <w:p>
      <w:pPr>
        <w:spacing w:after="0" w:line="125" w:lineRule="exact"/>
        <w:rPr>
          <w:sz w:val="20"/>
          <w:szCs w:val="20"/>
          <w:color w:val="auto"/>
        </w:rPr>
      </w:pPr>
    </w:p>
    <w:p>
      <w:pPr>
        <w:ind w:left="3000" w:hanging="191"/>
        <w:spacing w:after="0"/>
        <w:tabs>
          <w:tab w:leader="none" w:pos="30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Property</w:t>
      </w:r>
      <w:r>
        <w:rPr>
          <w:rFonts w:ascii="Times New Roman" w:cs="Times New Roman" w:eastAsia="Times New Roman" w:hAnsi="Times New Roman"/>
          <w:sz w:val="14"/>
          <w:szCs w:val="14"/>
          <w:color w:val="auto"/>
        </w:rPr>
        <w:t>: Such consideration shall:</w:t>
      </w:r>
    </w:p>
    <w:p>
      <w:pPr>
        <w:spacing w:after="0" w:line="175" w:lineRule="exact"/>
        <w:rPr>
          <w:rFonts w:ascii="Times New Roman" w:cs="Times New Roman" w:eastAsia="Times New Roman" w:hAnsi="Times New Roman"/>
          <w:sz w:val="14"/>
          <w:szCs w:val="14"/>
          <w:color w:val="auto"/>
        </w:rPr>
      </w:pPr>
    </w:p>
    <w:p>
      <w:pPr>
        <w:ind w:left="3500" w:hanging="172"/>
        <w:spacing w:after="0"/>
        <w:tabs>
          <w:tab w:leader="none" w:pos="35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cash, be computed at the aggregate amount of cash received by the Corporation, excluding amounts paid or</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payable for accrued interest;</w:t>
      </w:r>
    </w:p>
    <w:p>
      <w:pPr>
        <w:spacing w:after="0" w:line="161" w:lineRule="exact"/>
        <w:rPr>
          <w:sz w:val="20"/>
          <w:szCs w:val="20"/>
          <w:color w:val="auto"/>
        </w:rPr>
      </w:pPr>
    </w:p>
    <w:p>
      <w:pPr>
        <w:ind w:left="520" w:right="140" w:firstLine="2808"/>
        <w:spacing w:after="0" w:line="283" w:lineRule="auto"/>
        <w:tabs>
          <w:tab w:leader="none" w:pos="3539"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property other than cash, be computed at the fair market value thereof at the time of such issue, as determined in good faith by the Board of Directors, including the Requisite Preferred Directors; and</w:t>
      </w:r>
    </w:p>
    <w:p>
      <w:pPr>
        <w:spacing w:after="0" w:line="124" w:lineRule="exact"/>
        <w:rPr>
          <w:rFonts w:ascii="Times New Roman" w:cs="Times New Roman" w:eastAsia="Times New Roman" w:hAnsi="Times New Roman"/>
          <w:sz w:val="14"/>
          <w:szCs w:val="14"/>
          <w:color w:val="auto"/>
        </w:rPr>
      </w:pPr>
    </w:p>
    <w:p>
      <w:pPr>
        <w:jc w:val="both"/>
        <w:ind w:left="520" w:right="40" w:firstLine="2808"/>
        <w:spacing w:after="0" w:line="267" w:lineRule="auto"/>
        <w:tabs>
          <w:tab w:leader="none" w:pos="3578"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including the Requisite Preferred Directors.</w:t>
      </w:r>
    </w:p>
    <w:p>
      <w:pPr>
        <w:spacing w:after="0" w:line="135" w:lineRule="exact"/>
        <w:rPr>
          <w:rFonts w:ascii="Times New Roman" w:cs="Times New Roman" w:eastAsia="Times New Roman" w:hAnsi="Times New Roman"/>
          <w:sz w:val="14"/>
          <w:szCs w:val="14"/>
          <w:color w:val="auto"/>
        </w:rPr>
      </w:pPr>
    </w:p>
    <w:p>
      <w:pPr>
        <w:ind w:left="1140" w:right="160" w:firstLine="1669"/>
        <w:spacing w:after="0" w:line="283" w:lineRule="auto"/>
        <w:tabs>
          <w:tab w:leader="none" w:pos="30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 and Convertible Securities</w:t>
      </w:r>
      <w:r>
        <w:rPr>
          <w:rFonts w:ascii="Times New Roman" w:cs="Times New Roman" w:eastAsia="Times New Roman" w:hAnsi="Times New Roman"/>
          <w:sz w:val="14"/>
          <w:szCs w:val="14"/>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4"/>
          <w:szCs w:val="14"/>
          <w:u w:val="single" w:color="auto"/>
          <w:color w:val="auto"/>
        </w:rPr>
        <w:t>Subsection 4.4.3</w:t>
      </w:r>
      <w:r>
        <w:rPr>
          <w:rFonts w:ascii="Times New Roman" w:cs="Times New Roman" w:eastAsia="Times New Roman" w:hAnsi="Times New Roman"/>
          <w:sz w:val="14"/>
          <w:szCs w:val="14"/>
          <w:color w:val="auto"/>
        </w:rPr>
        <w:t>, relating to Options and Convertible Securities, shall be determined by dividing:</w:t>
      </w:r>
    </w:p>
    <w:p>
      <w:pPr>
        <w:spacing w:after="0" w:line="124" w:lineRule="exact"/>
        <w:rPr>
          <w:rFonts w:ascii="Times New Roman" w:cs="Times New Roman" w:eastAsia="Times New Roman" w:hAnsi="Times New Roman"/>
          <w:sz w:val="14"/>
          <w:szCs w:val="14"/>
          <w:color w:val="auto"/>
        </w:rPr>
      </w:pPr>
    </w:p>
    <w:p>
      <w:pPr>
        <w:ind w:left="520" w:right="140" w:firstLine="2808"/>
        <w:spacing w:after="0" w:line="261" w:lineRule="auto"/>
        <w:tabs>
          <w:tab w:leader="none" w:pos="350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40" w:lineRule="exact"/>
        <w:rPr>
          <w:rFonts w:ascii="Times New Roman" w:cs="Times New Roman" w:eastAsia="Times New Roman" w:hAnsi="Times New Roman"/>
          <w:sz w:val="14"/>
          <w:szCs w:val="14"/>
          <w:color w:val="auto"/>
        </w:rPr>
      </w:pPr>
    </w:p>
    <w:p>
      <w:pPr>
        <w:ind w:left="520" w:right="400" w:firstLine="2808"/>
        <w:spacing w:after="0" w:line="267" w:lineRule="auto"/>
        <w:tabs>
          <w:tab w:leader="none" w:pos="3539"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36" w:lineRule="exact"/>
        <w:rPr>
          <w:sz w:val="20"/>
          <w:szCs w:val="20"/>
          <w:color w:val="auto"/>
        </w:rPr>
      </w:pPr>
    </w:p>
    <w:p>
      <w:pPr>
        <w:ind w:right="100" w:firstLine="2301"/>
        <w:spacing w:after="0" w:line="258" w:lineRule="auto"/>
        <w:rPr>
          <w:sz w:val="20"/>
          <w:szCs w:val="20"/>
          <w:color w:val="auto"/>
        </w:rPr>
      </w:pPr>
      <w:r>
        <w:rPr>
          <w:rFonts w:ascii="Times New Roman" w:cs="Times New Roman" w:eastAsia="Times New Roman" w:hAnsi="Times New Roman"/>
          <w:sz w:val="14"/>
          <w:szCs w:val="14"/>
          <w:color w:val="auto"/>
        </w:rPr>
        <w:t xml:space="preserve">4.4.6 </w:t>
      </w:r>
      <w:r>
        <w:rPr>
          <w:rFonts w:ascii="Times New Roman" w:cs="Times New Roman" w:eastAsia="Times New Roman" w:hAnsi="Times New Roman"/>
          <w:sz w:val="14"/>
          <w:szCs w:val="14"/>
          <w:u w:val="single" w:color="auto"/>
          <w:color w:val="auto"/>
        </w:rPr>
        <w:t>Multiple Closing Dates</w:t>
      </w:r>
      <w:r>
        <w:rPr>
          <w:rFonts w:ascii="Times New Roman" w:cs="Times New Roman" w:eastAsia="Times New Roman" w:hAnsi="Times New Roman"/>
          <w:sz w:val="14"/>
          <w:szCs w:val="14"/>
          <w:color w:val="auto"/>
        </w:rPr>
        <w:t xml:space="preserve">. In the event the Corporation shall issue on more than one date Additional Shares of Common Stock that are a part of one transaction or a series of related transactions and that would result in an adjustment to the Conversion Price applicable to a series of Preferred Stock pursuant to the terms of </w:t>
      </w:r>
      <w:r>
        <w:rPr>
          <w:rFonts w:ascii="Times New Roman" w:cs="Times New Roman" w:eastAsia="Times New Roman" w:hAnsi="Times New Roman"/>
          <w:sz w:val="14"/>
          <w:szCs w:val="14"/>
          <w:u w:val="single" w:color="auto"/>
          <w:color w:val="auto"/>
        </w:rPr>
        <w:t>Subsection 4.4.4</w:t>
      </w:r>
      <w:r>
        <w:rPr>
          <w:rFonts w:ascii="Times New Roman" w:cs="Times New Roman" w:eastAsia="Times New Roman" w:hAnsi="Times New Roman"/>
          <w:sz w:val="14"/>
          <w:szCs w:val="14"/>
          <w:color w:val="auto"/>
        </w:rPr>
        <w:t>, and such issuance dates occur within a period of no more than ninety (90) days from the first such issuance to the final such issuance, then, upon the final such issuance, the Conversion Price applicable to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44" w:lineRule="exact"/>
        <w:rPr>
          <w:sz w:val="20"/>
          <w:szCs w:val="20"/>
          <w:color w:val="auto"/>
        </w:rPr>
      </w:pPr>
    </w:p>
    <w:p>
      <w:pPr>
        <w:ind w:right="40" w:firstLine="2301"/>
        <w:spacing w:after="0" w:line="256"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Adjustment for Stock Splits and Combinations</w:t>
      </w:r>
      <w:r>
        <w:rPr>
          <w:rFonts w:ascii="Times New Roman" w:cs="Times New Roman" w:eastAsia="Times New Roman" w:hAnsi="Times New Roman"/>
          <w:sz w:val="14"/>
          <w:szCs w:val="14"/>
          <w:color w:val="auto"/>
        </w:rPr>
        <w:t xml:space="preserve">. If the Corporation shall at any time or from time to time after the Series F Original Issue Date effect a subdivision of the outstanding Common Stock, the Conversion Price applicable to a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F Original Issue Date combine the outstanding shares of Common Stock, the Conversion Price applicable to a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14"/>
          <w:szCs w:val="14"/>
          <w:u w:val="single" w:color="auto"/>
          <w:color w:val="auto"/>
        </w:rPr>
        <w:t>Subsection 4.5</w:t>
      </w:r>
      <w:r>
        <w:rPr>
          <w:rFonts w:ascii="Times New Roman" w:cs="Times New Roman" w:eastAsia="Times New Roman" w:hAnsi="Times New Roman"/>
          <w:sz w:val="14"/>
          <w:szCs w:val="14"/>
          <w:color w:val="auto"/>
        </w:rPr>
        <w:t xml:space="preserve"> shall become effective at the close of business on the date the subdivision or combination becomes effective.</w:t>
      </w:r>
    </w:p>
    <w:p>
      <w:pPr>
        <w:spacing w:after="0" w:line="144" w:lineRule="exact"/>
        <w:rPr>
          <w:sz w:val="20"/>
          <w:szCs w:val="20"/>
          <w:color w:val="auto"/>
        </w:rPr>
      </w:pPr>
    </w:p>
    <w:p>
      <w:pPr>
        <w:jc w:val="both"/>
        <w:ind w:right="260" w:firstLine="2301"/>
        <w:spacing w:after="0" w:line="267"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Adjustment for Certain Dividends and Distributions</w:t>
      </w:r>
      <w:r>
        <w:rPr>
          <w:rFonts w:ascii="Times New Roman" w:cs="Times New Roman" w:eastAsia="Times New Roman" w:hAnsi="Times New Roman"/>
          <w:sz w:val="14"/>
          <w:szCs w:val="14"/>
          <w:color w:val="auto"/>
        </w:rPr>
        <w:t>. In the event the Corporation at any time or from time to time after the Series F Original Issue Date shall make or issue, or fix a record date for the determination of holders of Common Stock entitled to receive, a dividend or other distribution payable on the Common Stock in additional shares of Common Stock, then and in each such event the Conversion Price applicable to a series of Preferred Stock in effect immediately before such event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4" w:name="page295"/>
    <w:bookmarkEnd w:id="294"/>
    <w:p>
      <w:pPr>
        <w:ind w:right="20"/>
        <w:spacing w:after="0" w:line="283" w:lineRule="auto"/>
        <w:rPr>
          <w:sz w:val="20"/>
          <w:szCs w:val="20"/>
          <w:color w:val="auto"/>
        </w:rPr>
      </w:pPr>
      <w:r>
        <w:rPr>
          <w:rFonts w:ascii="Times New Roman" w:cs="Times New Roman" w:eastAsia="Times New Roman" w:hAnsi="Times New Roman"/>
          <w:sz w:val="14"/>
          <w:szCs w:val="14"/>
          <w:color w:val="auto"/>
        </w:rPr>
        <w:t>decreased as of the time of such issuance or, in the event such a record date shall have been fixed, as of the close of business on such record date, by multiplying the Conversion Price applicable to such series of Preferred Stock then in effect by a fraction:</w:t>
      </w:r>
    </w:p>
    <w:p>
      <w:pPr>
        <w:spacing w:after="0" w:line="125" w:lineRule="exact"/>
        <w:rPr>
          <w:sz w:val="20"/>
          <w:szCs w:val="20"/>
          <w:color w:val="auto"/>
        </w:rPr>
      </w:pPr>
    </w:p>
    <w:p>
      <w:pPr>
        <w:ind w:right="500" w:firstLine="2816"/>
        <w:spacing w:after="0" w:line="283" w:lineRule="auto"/>
        <w:tabs>
          <w:tab w:leader="none" w:pos="3011"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shares of Common Stock issued and outstanding immediately prior to the time of such issuance or the close of business on such record date, and</w:t>
      </w:r>
    </w:p>
    <w:p>
      <w:pPr>
        <w:spacing w:after="0" w:line="124" w:lineRule="exact"/>
        <w:rPr>
          <w:rFonts w:ascii="Times New Roman" w:cs="Times New Roman" w:eastAsia="Times New Roman" w:hAnsi="Times New Roman"/>
          <w:sz w:val="14"/>
          <w:szCs w:val="14"/>
          <w:color w:val="auto"/>
        </w:rPr>
      </w:pPr>
    </w:p>
    <w:p>
      <w:pPr>
        <w:ind w:left="3020" w:hanging="204"/>
        <w:spacing w:after="0"/>
        <w:tabs>
          <w:tab w:leader="none" w:pos="30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shares of Common Stock issued and outstanding immediately prior to the time of such</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or the close of business on such record date plus the number of shares of Common Stock issuable in payment of such dividend or distribution.</w:t>
      </w:r>
    </w:p>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the foregoing (a) if such record date shall have been fixed and such dividend is not fully paid or if such distribution is not fully made on the date fixed therefor, the Conversion Price applicable to a series of Preferred Stock shall be recomputed accordingly as of the close of business on such record date and thereafter the Conversion Price applicable to such series of Preferred Stock shall be adjusted pursuant to this </w:t>
      </w:r>
      <w:r>
        <w:rPr>
          <w:rFonts w:ascii="Times New Roman" w:cs="Times New Roman" w:eastAsia="Times New Roman" w:hAnsi="Times New Roman"/>
          <w:sz w:val="14"/>
          <w:szCs w:val="14"/>
          <w:u w:val="single" w:color="auto"/>
          <w:color w:val="auto"/>
        </w:rPr>
        <w:t>Subsection 4.6</w:t>
      </w:r>
      <w:r>
        <w:rPr>
          <w:rFonts w:ascii="Times New Roman" w:cs="Times New Roman" w:eastAsia="Times New Roman" w:hAnsi="Times New Roman"/>
          <w:sz w:val="14"/>
          <w:szCs w:val="14"/>
          <w:color w:val="auto"/>
        </w:rPr>
        <w:t xml:space="preserve">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44" w:lineRule="exact"/>
        <w:rPr>
          <w:sz w:val="20"/>
          <w:szCs w:val="20"/>
          <w:color w:val="auto"/>
        </w:rPr>
      </w:pPr>
    </w:p>
    <w:p>
      <w:pPr>
        <w:ind w:firstLine="2301"/>
        <w:spacing w:after="0" w:line="257"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Adjustments for Other Dividends and Distributions</w:t>
      </w:r>
      <w:r>
        <w:rPr>
          <w:rFonts w:ascii="Times New Roman" w:cs="Times New Roman" w:eastAsia="Times New Roman" w:hAnsi="Times New Roman"/>
          <w:sz w:val="14"/>
          <w:szCs w:val="14"/>
          <w:color w:val="auto"/>
        </w:rPr>
        <w:t xml:space="preserve">. In the event the Corporation at any time or from time to time after the Series F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43" w:lineRule="exact"/>
        <w:rPr>
          <w:sz w:val="20"/>
          <w:szCs w:val="20"/>
          <w:color w:val="auto"/>
        </w:rPr>
      </w:pPr>
    </w:p>
    <w:p>
      <w:pPr>
        <w:ind w:right="60" w:firstLine="2301"/>
        <w:spacing w:after="0" w:line="254"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Adjustment for Merger or Reorganization, etc</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4"/>
          <w:szCs w:val="14"/>
          <w:u w:val="single" w:color="auto"/>
          <w:color w:val="auto"/>
        </w:rPr>
        <w:t>Subsections 4.4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including the Requisite Preferred Directors) shall be made in the application of the provisions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(including provisions with respect to changes in and other adjustments of the Conversion Price applicable to a series of Preferred Stock)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4"/>
          <w:szCs w:val="14"/>
          <w:u w:val="single" w:color="auto"/>
          <w:color w:val="auto"/>
        </w:rPr>
        <w:t>Subsection 4.8</w:t>
      </w:r>
      <w:r>
        <w:rPr>
          <w:rFonts w:ascii="Times New Roman" w:cs="Times New Roman" w:eastAsia="Times New Roman" w:hAnsi="Times New Roman"/>
          <w:sz w:val="14"/>
          <w:szCs w:val="14"/>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Times New Roman" w:cs="Times New Roman" w:eastAsia="Times New Roman" w:hAnsi="Times New Roman"/>
          <w:sz w:val="14"/>
          <w:szCs w:val="14"/>
          <w:u w:val="single" w:color="auto"/>
          <w:color w:val="auto"/>
        </w:rPr>
        <w:t>Subsection 4.8</w:t>
      </w:r>
      <w:r>
        <w:rPr>
          <w:rFonts w:ascii="Times New Roman" w:cs="Times New Roman" w:eastAsia="Times New Roman" w:hAnsi="Times New Roman"/>
          <w:sz w:val="14"/>
          <w:szCs w:val="14"/>
          <w:color w:val="auto"/>
        </w:rPr>
        <w:t xml:space="preserve"> be deemed conclusive evidence of the fair value of the shares of Preferred Stock in any such appraisal proceeding.</w:t>
      </w:r>
    </w:p>
    <w:p>
      <w:pPr>
        <w:spacing w:after="0" w:line="144" w:lineRule="exact"/>
        <w:rPr>
          <w:sz w:val="20"/>
          <w:szCs w:val="20"/>
          <w:color w:val="auto"/>
        </w:rPr>
      </w:pPr>
    </w:p>
    <w:p>
      <w:pPr>
        <w:ind w:right="40" w:firstLine="2301"/>
        <w:spacing w:after="0" w:line="256"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xml:space="preserve">. Upon the occurrence of each adjustment or readjustment of the Conversion Price applicable to a series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ten (10) days thereafter), furnish or cause to be furnished to such holder a certificate setting forth (i) the Conversion Price then in effect in respect of such series of Preferred Stock, and (ii) the number of shares of Common Stock and the amount, if any, of other securities, cash or property which then would be received upon the conversion of such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5" w:name="page296"/>
    <w:bookmarkEnd w:id="295"/>
    <w:p>
      <w:pPr>
        <w:ind w:left="2300"/>
        <w:spacing w:after="0"/>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Notice of Record Date</w:t>
      </w:r>
      <w:r>
        <w:rPr>
          <w:rFonts w:ascii="Times New Roman" w:cs="Times New Roman" w:eastAsia="Times New Roman" w:hAnsi="Times New Roman"/>
          <w:sz w:val="14"/>
          <w:szCs w:val="14"/>
          <w:color w:val="auto"/>
        </w:rPr>
        <w:t>. In the event:</w:t>
      </w:r>
    </w:p>
    <w:p>
      <w:pPr>
        <w:spacing w:after="0" w:line="175" w:lineRule="exact"/>
        <w:rPr>
          <w:sz w:val="20"/>
          <w:szCs w:val="20"/>
          <w:color w:val="auto"/>
        </w:rPr>
      </w:pPr>
    </w:p>
    <w:p>
      <w:pPr>
        <w:ind w:left="1140" w:right="40" w:firstLine="2308"/>
        <w:spacing w:after="0" w:line="267" w:lineRule="auto"/>
        <w:tabs>
          <w:tab w:leader="none" w:pos="3632"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w:t>
      </w:r>
    </w:p>
    <w:p>
      <w:pPr>
        <w:spacing w:after="0" w:line="135" w:lineRule="exact"/>
        <w:rPr>
          <w:rFonts w:ascii="Times New Roman" w:cs="Times New Roman" w:eastAsia="Times New Roman" w:hAnsi="Times New Roman"/>
          <w:sz w:val="14"/>
          <w:szCs w:val="14"/>
          <w:color w:val="auto"/>
        </w:rPr>
      </w:pPr>
    </w:p>
    <w:p>
      <w:pPr>
        <w:ind w:left="3640" w:hanging="192"/>
        <w:spacing w:after="0"/>
        <w:tabs>
          <w:tab w:leader="none" w:pos="3640"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capital reorganization of the Corporation, any reclassification of the Common Stock of the Corporation, or any Deemed</w:t>
      </w:r>
    </w:p>
    <w:p>
      <w:pPr>
        <w:spacing w:after="0" w:line="21"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Event; or</w:t>
      </w:r>
    </w:p>
    <w:p>
      <w:pPr>
        <w:spacing w:after="0" w:line="160" w:lineRule="exact"/>
        <w:rPr>
          <w:rFonts w:ascii="Times New Roman" w:cs="Times New Roman" w:eastAsia="Times New Roman" w:hAnsi="Times New Roman"/>
          <w:sz w:val="14"/>
          <w:szCs w:val="14"/>
          <w:color w:val="auto"/>
        </w:rPr>
      </w:pPr>
    </w:p>
    <w:p>
      <w:pPr>
        <w:ind w:left="1140" w:right="100" w:firstLine="2308"/>
        <w:spacing w:after="0" w:line="255" w:lineRule="auto"/>
        <w:tabs>
          <w:tab w:leader="none" w:pos="3632"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45" w:lineRule="exact"/>
        <w:rPr>
          <w:rFonts w:ascii="Times New Roman" w:cs="Times New Roman" w:eastAsia="Times New Roman" w:hAnsi="Times New Roman"/>
          <w:sz w:val="14"/>
          <w:szCs w:val="14"/>
          <w:color w:val="auto"/>
        </w:rPr>
      </w:pPr>
    </w:p>
    <w:p>
      <w:pPr>
        <w:ind w:left="1300" w:hanging="145"/>
        <w:spacing w:after="0"/>
        <w:tabs>
          <w:tab w:leader="none" w:pos="13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Conversion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2301"/>
        <w:spacing w:after="0" w:line="253"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Trigger Events</w:t>
      </w:r>
      <w:r>
        <w:rPr>
          <w:rFonts w:ascii="Times New Roman" w:cs="Times New Roman" w:eastAsia="Times New Roman" w:hAnsi="Times New Roman"/>
          <w:sz w:val="14"/>
          <w:szCs w:val="14"/>
          <w:color w:val="auto"/>
        </w:rPr>
        <w:t>. Upon either (a) the closing of the sale of shares of Common Stock to the public at a price of at least $7.09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to the Corporation and in connection with such offering the shares of Common Stock are listed for trading on the Nasdaq Stock Market, the New York Stock Exchange or another exchange or marketplace approved by the Board of Directors, including the Requisite Preferred Directors (a “</w:t>
      </w:r>
      <w:r>
        <w:rPr>
          <w:rFonts w:ascii="Times New Roman" w:cs="Times New Roman" w:eastAsia="Times New Roman" w:hAnsi="Times New Roman"/>
          <w:sz w:val="14"/>
          <w:szCs w:val="14"/>
          <w:b w:val="1"/>
          <w:bCs w:val="1"/>
          <w:color w:val="auto"/>
        </w:rPr>
        <w:t>QIPO</w:t>
      </w:r>
      <w:r>
        <w:rPr>
          <w:rFonts w:ascii="Times New Roman" w:cs="Times New Roman" w:eastAsia="Times New Roman" w:hAnsi="Times New Roman"/>
          <w:sz w:val="14"/>
          <w:szCs w:val="14"/>
          <w:color w:val="auto"/>
        </w:rPr>
        <w:t>”) or (b) the date and time, or the occurrence of an event, specified by vote or written consent of the Requisite Preferred Stock Holders (in the case of a conversion effected other than in connection with a Deemed Liquidation Event) or the holders of 60% of the issued and outstanding shares of Preferred Stock, voting on an as-converted basis and together as a single class (in the case of a conversion effected in connection with a Deemed Liquidation Event) (the time of such closing or the date and time specified or the time of the event specified in such vote or written consent is referred to herein as the “</w:t>
      </w:r>
      <w:r>
        <w:rPr>
          <w:rFonts w:ascii="Times New Roman" w:cs="Times New Roman" w:eastAsia="Times New Roman" w:hAnsi="Times New Roman"/>
          <w:sz w:val="14"/>
          <w:szCs w:val="14"/>
          <w:b w:val="1"/>
          <w:bCs w:val="1"/>
          <w:color w:val="auto"/>
        </w:rPr>
        <w:t>Mandatory Conversion Time</w:t>
      </w:r>
      <w:r>
        <w:rPr>
          <w:rFonts w:ascii="Times New Roman" w:cs="Times New Roman" w:eastAsia="Times New Roman" w:hAnsi="Times New Roman"/>
          <w:sz w:val="14"/>
          <w:szCs w:val="14"/>
          <w:color w:val="auto"/>
        </w:rPr>
        <w:t xml:space="preserve">”), then (i)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4"/>
          <w:szCs w:val="14"/>
          <w:u w:val="single" w:color="auto"/>
          <w:color w:val="auto"/>
        </w:rPr>
        <w:t>Subsection 4.1.1</w:t>
      </w:r>
      <w:r>
        <w:rPr>
          <w:rFonts w:ascii="Times New Roman" w:cs="Times New Roman" w:eastAsia="Times New Roman" w:hAnsi="Times New Roman"/>
          <w:sz w:val="14"/>
          <w:szCs w:val="14"/>
          <w:color w:val="auto"/>
        </w:rPr>
        <w:t xml:space="preserve">, and (ii) such shares may not be reissued by the Corporation;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with respect to a conversion pursuant to clause</w:t>
      </w:r>
    </w:p>
    <w:p>
      <w:pPr>
        <w:spacing w:after="0" w:line="1" w:lineRule="exact"/>
        <w:rPr>
          <w:sz w:val="20"/>
          <w:szCs w:val="20"/>
          <w:color w:val="auto"/>
        </w:rPr>
      </w:pPr>
    </w:p>
    <w:p>
      <w:pPr>
        <w:ind w:right="80" w:firstLine="4"/>
        <w:spacing w:after="0" w:line="256" w:lineRule="auto"/>
        <w:tabs>
          <w:tab w:leader="none" w:pos="198"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no shares of Series F Preferred Stock shall be converted in connection with a Deemed Liquidation Event unless (x) the amount that holders of shares of Series F Preferred Stock receive per share of Series F Preferred Stock from the proceeds from such Deemed Liquidation Event is greater than or equal to the greater of the Series F Liquidation Amount or the Series F Original Issue Price, or (y) the Requisite Series F Holders consent in writing to such conversion.</w:t>
      </w:r>
    </w:p>
    <w:p>
      <w:pPr>
        <w:spacing w:after="0" w:line="143" w:lineRule="exact"/>
        <w:rPr>
          <w:sz w:val="20"/>
          <w:szCs w:val="20"/>
          <w:color w:val="auto"/>
        </w:rPr>
      </w:pPr>
    </w:p>
    <w:p>
      <w:pPr>
        <w:ind w:right="20" w:firstLine="2301"/>
        <w:spacing w:after="0" w:line="254"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Procedural Requirements</w:t>
      </w:r>
      <w:r>
        <w:rPr>
          <w:rFonts w:ascii="Times New Roman" w:cs="Times New Roman" w:eastAsia="Times New Roman" w:hAnsi="Times New Roman"/>
          <w:sz w:val="14"/>
          <w:szCs w:val="14"/>
          <w:color w:val="auto"/>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4"/>
          <w:szCs w:val="14"/>
          <w:u w:val="single" w:color="auto"/>
          <w:color w:val="auto"/>
        </w:rPr>
        <w:t>Subsection 5.1</w:t>
      </w:r>
      <w:r>
        <w:rPr>
          <w:rFonts w:ascii="Times New Roman" w:cs="Times New Roman" w:eastAsia="Times New Roman" w:hAnsi="Times New Roman"/>
          <w:sz w:val="14"/>
          <w:szCs w:val="14"/>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4"/>
          <w:szCs w:val="14"/>
          <w:u w:val="single" w:color="auto"/>
          <w:color w:val="auto"/>
        </w:rPr>
        <w:t>Subsection 5.2</w:t>
      </w:r>
      <w:r>
        <w:rPr>
          <w:rFonts w:ascii="Times New Roman" w:cs="Times New Roman" w:eastAsia="Times New Roman" w:hAnsi="Times New Roman"/>
          <w:sz w:val="14"/>
          <w:szCs w:val="14"/>
          <w:color w:val="auto"/>
        </w:rPr>
        <w:t>. As soon as practicable after the Mandatory Conversion Time and, if applicable, the surrender of any certificate or certificates (or lost certificate affidavit and agreement) for Preferred Stock, the Corporation shall (a) issue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475615</wp:posOffset>
            </wp:positionV>
            <wp:extent cx="7188200"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color w:val="auto"/>
        </w:rPr>
        <w:t>deliver to such holder, or to his, her or its nominees, a certificate or certificates for the number of full shares of Common Stock issuable on such conversion in accordance with the provisions hereof and</w:t>
      </w:r>
    </w:p>
    <w:p>
      <w:pPr>
        <w:spacing w:after="0" w:line="22" w:lineRule="exact"/>
        <w:rPr>
          <w:sz w:val="20"/>
          <w:szCs w:val="20"/>
          <w:color w:val="auto"/>
        </w:rPr>
      </w:pPr>
    </w:p>
    <w:p>
      <w:pPr>
        <w:jc w:val="center"/>
        <w:ind w:firstLine="4"/>
        <w:spacing w:after="0" w:line="261" w:lineRule="auto"/>
        <w:tabs>
          <w:tab w:leader="none" w:pos="198"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39" w:lineRule="exact"/>
        <w:rPr>
          <w:rFonts w:ascii="Times New Roman" w:cs="Times New Roman" w:eastAsia="Times New Roman" w:hAnsi="Times New Roman"/>
          <w:sz w:val="14"/>
          <w:szCs w:val="14"/>
          <w:color w:val="auto"/>
        </w:rPr>
      </w:pPr>
    </w:p>
    <w:p>
      <w:pPr>
        <w:ind w:right="20" w:firstLine="1155"/>
        <w:spacing w:after="0" w:line="267" w:lineRule="auto"/>
        <w:tabs>
          <w:tab w:leader="none" w:pos="1291"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Redeemed or Otherwise Acquired Shares</w:t>
      </w:r>
      <w:r>
        <w:rPr>
          <w:rFonts w:ascii="Times New Roman" w:cs="Times New Roman" w:eastAsia="Times New Roman" w:hAnsi="Times New Roman"/>
          <w:sz w:val="14"/>
          <w:szCs w:val="14"/>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35" w:lineRule="exact"/>
        <w:rPr>
          <w:rFonts w:ascii="Times New Roman" w:cs="Times New Roman" w:eastAsia="Times New Roman" w:hAnsi="Times New Roman"/>
          <w:sz w:val="14"/>
          <w:szCs w:val="14"/>
          <w:color w:val="auto"/>
        </w:rPr>
      </w:pPr>
    </w:p>
    <w:p>
      <w:pPr>
        <w:ind w:firstLine="1155"/>
        <w:spacing w:after="0" w:line="257" w:lineRule="auto"/>
        <w:tabs>
          <w:tab w:leader="none" w:pos="1291"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and Amendment</w:t>
      </w:r>
      <w:r>
        <w:rPr>
          <w:rFonts w:ascii="Times New Roman" w:cs="Times New Roman" w:eastAsia="Times New Roman" w:hAnsi="Times New Roman"/>
          <w:sz w:val="14"/>
          <w:szCs w:val="14"/>
          <w:color w:val="auto"/>
        </w:rPr>
        <w:t>. Except as otherwise set forth herein, any of the rights, powers, preferences and other terms of a series of Preferred Stock set forth herein may be waived or amended on behalf of all holders of such series of Preferred Stock (i) in the case of the Series A Preferred Stock, by the affirmative written consent or vote of the Requisite Series A Holders, (ii) in the case of the Series B Preferred Stock, by the affirmative written consent or vote of the Requisite Series B Holders, (iii) in the case of the Series C Preferred Stock, by the affirmative written consent or vote of the Requisite Series C Holders, (iv) in the case of the Series D Preferred Stock, by the affirmative written consent or vote of the Requisite Series D Holders, (v) in the case of the Series E Preferred Stock, by the affirmative written consent or vote of the Requisite Series E Holders, and (vi) in the case of the Series F Preferred Stock, by the affirmative written consent or vote of the Requisite Series F Holders.</w:t>
      </w:r>
    </w:p>
    <w:p>
      <w:pPr>
        <w:spacing w:after="0" w:line="143" w:lineRule="exact"/>
        <w:rPr>
          <w:rFonts w:ascii="Times New Roman" w:cs="Times New Roman" w:eastAsia="Times New Roman" w:hAnsi="Times New Roman"/>
          <w:sz w:val="14"/>
          <w:szCs w:val="14"/>
          <w:color w:val="auto"/>
        </w:rPr>
      </w:pPr>
    </w:p>
    <w:p>
      <w:pPr>
        <w:ind w:right="20" w:firstLine="1155"/>
        <w:spacing w:after="0" w:line="267" w:lineRule="auto"/>
        <w:tabs>
          <w:tab w:leader="none" w:pos="1291"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34"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FIFTH</w:t>
      </w:r>
      <w:r>
        <w:rPr>
          <w:rFonts w:ascii="Times New Roman" w:cs="Times New Roman" w:eastAsia="Times New Roman" w:hAnsi="Times New Roman"/>
          <w:sz w:val="14"/>
          <w:szCs w:val="14"/>
          <w:color w:val="auto"/>
        </w:rPr>
        <w:t>: Subject to any additional vote required by the Certificate of Incorporation or Bylaws, in furtherance and not in limitation of the powers conferred by statute, the Board of Directors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expressly authorized to make, repeal, alter, amend and rescind any or all of the Bylaws of the Corporation.</w:t>
      </w:r>
    </w:p>
    <w:p>
      <w:pPr>
        <w:spacing w:after="0" w:line="121" w:lineRule="exact"/>
        <w:rPr>
          <w:sz w:val="20"/>
          <w:szCs w:val="20"/>
          <w:color w:val="auto"/>
        </w:rPr>
      </w:pPr>
    </w:p>
    <w:p>
      <w:pPr>
        <w:ind w:right="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SIXTH</w:t>
      </w:r>
      <w:r>
        <w:rPr>
          <w:rFonts w:ascii="Times New Roman" w:cs="Times New Roman" w:eastAsia="Times New Roman" w:hAnsi="Times New Roman"/>
          <w:sz w:val="14"/>
          <w:szCs w:val="14"/>
          <w:color w:val="auto"/>
        </w:rPr>
        <w:t>: Subject to any additional vote required by the Certificate of Incorporation, the number of directors of the Corporation shall be determined in the manner set forth in the Bylaws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SEVENTH</w:t>
      </w:r>
      <w:r>
        <w:rPr>
          <w:rFonts w:ascii="Times New Roman" w:cs="Times New Roman" w:eastAsia="Times New Roman" w:hAnsi="Times New Roman"/>
          <w:sz w:val="14"/>
          <w:szCs w:val="14"/>
          <w:color w:val="auto"/>
        </w:rPr>
        <w:t>: Elections of directors need not be by written ballot unless the Bylaws of the Corporation shall so provide.</w:t>
      </w:r>
    </w:p>
    <w:p>
      <w:pPr>
        <w:spacing w:after="0" w:line="175" w:lineRule="exact"/>
        <w:rPr>
          <w:sz w:val="20"/>
          <w:szCs w:val="20"/>
          <w:color w:val="auto"/>
        </w:rPr>
      </w:pPr>
    </w:p>
    <w:p>
      <w:pPr>
        <w:ind w:right="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EIGHTH</w:t>
      </w:r>
      <w:r>
        <w:rPr>
          <w:rFonts w:ascii="Times New Roman" w:cs="Times New Roman" w:eastAsia="Times New Roman" w:hAnsi="Times New Roman"/>
          <w:sz w:val="14"/>
          <w:szCs w:val="14"/>
          <w:color w:val="auto"/>
        </w:rPr>
        <w:t>: Meetings of stockholders may be held within or outside of the State of Delaware, as the Bylaws of the Corporation may provide. The books of the Corporation may be kept outside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State of Delaware at such place or places or in such manner or manners as may be designated from time to time by the Board of Directors or in the Bylaws of the Corporation.</w:t>
      </w:r>
    </w:p>
    <w:p>
      <w:pPr>
        <w:spacing w:after="0" w:line="121" w:lineRule="exact"/>
        <w:rPr>
          <w:sz w:val="20"/>
          <w:szCs w:val="20"/>
          <w:color w:val="auto"/>
        </w:rPr>
      </w:pPr>
    </w:p>
    <w:p>
      <w:pPr>
        <w:ind w:right="2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NINTH</w:t>
      </w:r>
      <w:r>
        <w:rPr>
          <w:rFonts w:ascii="Times New Roman" w:cs="Times New Roman" w:eastAsia="Times New Roman" w:hAnsi="Times New Roman"/>
          <w:sz w:val="14"/>
          <w:szCs w:val="14"/>
          <w:color w:val="auto"/>
        </w:rPr>
        <w:t>: To the fullest extent permitted by law, a director or officer of the Corporation shall not be personally liable to the Corporation or its stockholders for monetary damages for breach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spacing w:after="0" w:line="14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Any amendment, repeal or elimination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TENTH</w:t>
      </w:r>
      <w:r>
        <w:rPr>
          <w:rFonts w:ascii="Times New Roman" w:cs="Times New Roman" w:eastAsia="Times New Roman" w:hAnsi="Times New Roman"/>
          <w:sz w:val="14"/>
          <w:szCs w:val="14"/>
          <w:color w:val="auto"/>
        </w:rPr>
        <w:t>: The following indemnification provisions shall apply to the persons enumerated below.</w:t>
      </w:r>
    </w:p>
    <w:p>
      <w:pPr>
        <w:spacing w:after="0" w:line="177" w:lineRule="exact"/>
        <w:rPr>
          <w:sz w:val="20"/>
          <w:szCs w:val="20"/>
          <w:color w:val="auto"/>
        </w:rPr>
      </w:pPr>
    </w:p>
    <w:p>
      <w:pPr>
        <w:ind w:right="40" w:firstLine="1155"/>
        <w:spacing w:after="0" w:line="257" w:lineRule="auto"/>
        <w:tabs>
          <w:tab w:leader="none" w:pos="1291"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Indemnification of Directors and Officers</w:t>
      </w:r>
      <w:r>
        <w:rPr>
          <w:rFonts w:ascii="Times New Roman" w:cs="Times New Roman" w:eastAsia="Times New Roman" w:hAnsi="Times New Roman"/>
          <w:sz w:val="14"/>
          <w:szCs w:val="14"/>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4"/>
          <w:szCs w:val="14"/>
          <w:b w:val="1"/>
          <w:bCs w:val="1"/>
          <w:color w:val="auto"/>
        </w:rPr>
        <w:t>Proceeding</w:t>
      </w:r>
      <w:r>
        <w:rPr>
          <w:rFonts w:ascii="Times New Roman" w:cs="Times New Roman" w:eastAsia="Times New Roman" w:hAnsi="Times New Roman"/>
          <w:sz w:val="14"/>
          <w:szCs w:val="14"/>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297" w:name="page298"/>
    <w:bookmarkEnd w:id="297"/>
    <w:p>
      <w:pPr>
        <w:ind w:right="40"/>
        <w:spacing w:after="0" w:line="267" w:lineRule="auto"/>
        <w:rPr>
          <w:sz w:val="20"/>
          <w:szCs w:val="20"/>
          <w:color w:val="auto"/>
        </w:rPr>
      </w:pPr>
      <w:r>
        <w:rPr>
          <w:rFonts w:ascii="Times New Roman" w:cs="Times New Roman" w:eastAsia="Times New Roman" w:hAnsi="Times New Roman"/>
          <w:sz w:val="14"/>
          <w:szCs w:val="14"/>
          <w:color w:val="auto"/>
        </w:rPr>
        <w:t xml:space="preserve">Notwithstanding the preceding sentence, except as otherwise provided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36" w:lineRule="exact"/>
        <w:rPr>
          <w:sz w:val="20"/>
          <w:szCs w:val="20"/>
          <w:color w:val="auto"/>
        </w:rPr>
      </w:pPr>
    </w:p>
    <w:p>
      <w:pPr>
        <w:ind w:right="80" w:firstLine="1155"/>
        <w:spacing w:after="0" w:line="261"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Prepayment of Expenses of Directors and Officers</w:t>
      </w:r>
      <w:r>
        <w:rPr>
          <w:rFonts w:ascii="Times New Roman" w:cs="Times New Roman" w:eastAsia="Times New Roman" w:hAnsi="Times New Roman"/>
          <w:sz w:val="14"/>
          <w:szCs w:val="14"/>
          <w:color w:val="auto"/>
        </w:rPr>
        <w:t xml:space="preserve">.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40" w:lineRule="exact"/>
        <w:rPr>
          <w:rFonts w:ascii="Times New Roman" w:cs="Times New Roman" w:eastAsia="Times New Roman" w:hAnsi="Times New Roman"/>
          <w:sz w:val="14"/>
          <w:szCs w:val="14"/>
          <w:color w:val="auto"/>
        </w:rPr>
      </w:pPr>
    </w:p>
    <w:p>
      <w:pPr>
        <w:ind w:right="160" w:firstLine="1155"/>
        <w:spacing w:after="0" w:line="261"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Claims by Directors and Officers</w:t>
      </w:r>
      <w:r>
        <w:rPr>
          <w:rFonts w:ascii="Times New Roman" w:cs="Times New Roman" w:eastAsia="Times New Roman" w:hAnsi="Times New Roman"/>
          <w:sz w:val="14"/>
          <w:szCs w:val="14"/>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40" w:lineRule="exact"/>
        <w:rPr>
          <w:rFonts w:ascii="Times New Roman" w:cs="Times New Roman" w:eastAsia="Times New Roman" w:hAnsi="Times New Roman"/>
          <w:sz w:val="14"/>
          <w:szCs w:val="14"/>
          <w:color w:val="auto"/>
        </w:rPr>
      </w:pPr>
    </w:p>
    <w:p>
      <w:pPr>
        <w:ind w:firstLine="1155"/>
        <w:spacing w:after="0" w:line="256"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Employees and Agents</w:t>
      </w:r>
      <w:r>
        <w:rPr>
          <w:rFonts w:ascii="Times New Roman" w:cs="Times New Roman" w:eastAsia="Times New Roman" w:hAnsi="Times New Roman"/>
          <w:sz w:val="14"/>
          <w:szCs w:val="14"/>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43" w:lineRule="exact"/>
        <w:rPr>
          <w:rFonts w:ascii="Times New Roman" w:cs="Times New Roman" w:eastAsia="Times New Roman" w:hAnsi="Times New Roman"/>
          <w:sz w:val="14"/>
          <w:szCs w:val="14"/>
          <w:color w:val="auto"/>
        </w:rPr>
      </w:pPr>
    </w:p>
    <w:p>
      <w:pPr>
        <w:ind w:right="340" w:firstLine="1155"/>
        <w:spacing w:after="0" w:line="283"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Advancement of Expenses of Employees and Agents</w:t>
      </w:r>
      <w:r>
        <w:rPr>
          <w:rFonts w:ascii="Times New Roman" w:cs="Times New Roman" w:eastAsia="Times New Roman" w:hAnsi="Times New Roman"/>
          <w:sz w:val="14"/>
          <w:szCs w:val="14"/>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24" w:lineRule="exact"/>
        <w:rPr>
          <w:rFonts w:ascii="Times New Roman" w:cs="Times New Roman" w:eastAsia="Times New Roman" w:hAnsi="Times New Roman"/>
          <w:sz w:val="14"/>
          <w:szCs w:val="14"/>
          <w:color w:val="auto"/>
        </w:rPr>
      </w:pPr>
    </w:p>
    <w:p>
      <w:pPr>
        <w:jc w:val="both"/>
        <w:ind w:right="180" w:firstLine="1155"/>
        <w:spacing w:after="0" w:line="267"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of Rights</w:t>
      </w:r>
      <w:r>
        <w:rPr>
          <w:rFonts w:ascii="Times New Roman" w:cs="Times New Roman" w:eastAsia="Times New Roman" w:hAnsi="Times New Roman"/>
          <w:sz w:val="14"/>
          <w:szCs w:val="14"/>
          <w:color w:val="auto"/>
        </w:rPr>
        <w:t>. The rights conferred on any person by this Article Tenth shall not be exclusive of any other rights which such person may have or hereafter acquire under any statute, provision of the Certificate of Incorporation, the by-laws of the Corporation as then in effect, or any agreement, or pursuant to any vote of stockholders or disinterested directors or otherwise.</w:t>
      </w:r>
    </w:p>
    <w:p>
      <w:pPr>
        <w:spacing w:after="0" w:line="135" w:lineRule="exact"/>
        <w:rPr>
          <w:rFonts w:ascii="Times New Roman" w:cs="Times New Roman" w:eastAsia="Times New Roman" w:hAnsi="Times New Roman"/>
          <w:sz w:val="14"/>
          <w:szCs w:val="14"/>
          <w:color w:val="auto"/>
        </w:rPr>
      </w:pPr>
    </w:p>
    <w:p>
      <w:pPr>
        <w:ind w:right="320" w:firstLine="1155"/>
        <w:spacing w:after="0" w:line="267"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Indemnification</w:t>
      </w:r>
      <w:r>
        <w:rPr>
          <w:rFonts w:ascii="Times New Roman" w:cs="Times New Roman" w:eastAsia="Times New Roman" w:hAnsi="Times New Roman"/>
          <w:sz w:val="14"/>
          <w:szCs w:val="14"/>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35" w:lineRule="exact"/>
        <w:rPr>
          <w:rFonts w:ascii="Times New Roman" w:cs="Times New Roman" w:eastAsia="Times New Roman" w:hAnsi="Times New Roman"/>
          <w:sz w:val="14"/>
          <w:szCs w:val="14"/>
          <w:color w:val="auto"/>
        </w:rPr>
      </w:pPr>
    </w:p>
    <w:p>
      <w:pPr>
        <w:ind w:right="120" w:firstLine="1155"/>
        <w:spacing w:after="0" w:line="261"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40" w:lineRule="exact"/>
        <w:rPr>
          <w:rFonts w:ascii="Times New Roman" w:cs="Times New Roman" w:eastAsia="Times New Roman" w:hAnsi="Times New Roman"/>
          <w:sz w:val="14"/>
          <w:szCs w:val="14"/>
          <w:color w:val="auto"/>
        </w:rPr>
      </w:pPr>
    </w:p>
    <w:p>
      <w:pPr>
        <w:ind w:right="120" w:firstLine="1155"/>
        <w:spacing w:after="0" w:line="267" w:lineRule="auto"/>
        <w:tabs>
          <w:tab w:leader="none" w:pos="129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or Repeal</w:t>
      </w:r>
      <w:r>
        <w:rPr>
          <w:rFonts w:ascii="Times New Roman" w:cs="Times New Roman" w:eastAsia="Times New Roman" w:hAnsi="Times New Roman"/>
          <w:sz w:val="14"/>
          <w:szCs w:val="14"/>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34"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ELEVENTH: </w:t>
      </w:r>
      <w:r>
        <w:rPr>
          <w:rFonts w:ascii="Times New Roman" w:cs="Times New Roman" w:eastAsia="Times New Roman" w:hAnsi="Times New Roman"/>
          <w:sz w:val="14"/>
          <w:szCs w:val="14"/>
          <w:color w:val="auto"/>
        </w:rPr>
        <w:t>The Corporation renounces, to the fullest extent permitted by law, any interest or expectancy of the Corporation in, or in being offered an opportunity to participate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Excluded Opportunity. An </w:t>
      </w:r>
      <w:r>
        <w:rPr>
          <w:rFonts w:ascii="Times New Roman" w:cs="Times New Roman" w:eastAsia="Times New Roman" w:hAnsi="Times New Roman"/>
          <w:sz w:val="14"/>
          <w:szCs w:val="14"/>
          <w:b w:val="1"/>
          <w:bCs w:val="1"/>
          <w:color w:val="auto"/>
        </w:rPr>
        <w:t>“Excluded Opportunity”</w:t>
      </w:r>
      <w:r>
        <w:rPr>
          <w:rFonts w:ascii="Times New Roman" w:cs="Times New Roman" w:eastAsia="Times New Roman" w:hAnsi="Times New Roman"/>
          <w:sz w:val="14"/>
          <w:szCs w:val="14"/>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affiliate, stockholder, employee or agent of any such holder, other than someone who is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298" w:name="page299"/>
    <w:bookmarkEnd w:id="298"/>
    <w:p>
      <w:pPr>
        <w:ind w:right="120"/>
        <w:spacing w:after="0" w:line="257" w:lineRule="auto"/>
        <w:rPr>
          <w:sz w:val="20"/>
          <w:szCs w:val="20"/>
          <w:color w:val="auto"/>
        </w:rPr>
      </w:pPr>
      <w:r>
        <w:rPr>
          <w:rFonts w:ascii="Times New Roman" w:cs="Times New Roman" w:eastAsia="Times New Roman" w:hAnsi="Times New Roman"/>
          <w:sz w:val="14"/>
          <w:szCs w:val="14"/>
          <w:color w:val="auto"/>
        </w:rPr>
        <w:t>employee of the Corporation or any of its subsidiaries (collectively, “</w:t>
      </w:r>
      <w:r>
        <w:rPr>
          <w:rFonts w:ascii="Times New Roman" w:cs="Times New Roman" w:eastAsia="Times New Roman" w:hAnsi="Times New Roman"/>
          <w:sz w:val="14"/>
          <w:szCs w:val="14"/>
          <w:b w:val="1"/>
          <w:bCs w:val="1"/>
          <w:color w:val="auto"/>
        </w:rPr>
        <w:t>Covered Persons</w:t>
      </w:r>
      <w:r>
        <w:rPr>
          <w:rFonts w:ascii="Times New Roman" w:cs="Times New Roman" w:eastAsia="Times New Roman" w:hAnsi="Times New Roman"/>
          <w:sz w:val="14"/>
          <w:szCs w:val="14"/>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the Certificate of Incorporation, the affirmative vote of (a) the Requisite Series A Holders, (b) the Requisite Series B Holders, (c) the Requisite Series C Holders, (d) the Requisite Series D Holders, (e) the Requisite Series E Holders and (f) the Requisite Series F Holders will be required to amend or repeal, or to adopt any provisions inconsistent with this Article Eleventh.</w:t>
      </w:r>
    </w:p>
    <w:p>
      <w:pPr>
        <w:spacing w:after="0" w:line="143"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TWELFTH</w:t>
      </w:r>
      <w:r>
        <w:rPr>
          <w:rFonts w:ascii="Times New Roman" w:cs="Times New Roman" w:eastAsia="Times New Roman" w:hAnsi="Times New Roman"/>
          <w:sz w:val="14"/>
          <w:szCs w:val="14"/>
          <w:color w:val="auto"/>
        </w:rPr>
        <w:t>: Unless the Corporation consents in writing to the selection of an alternative forum, the Court of Chancery in the State of Delaware shall be the sole and exclusive forum for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6" w:lineRule="exact"/>
        <w:rPr>
          <w:sz w:val="20"/>
          <w:szCs w:val="20"/>
          <w:color w:val="auto"/>
        </w:rPr>
      </w:pPr>
    </w:p>
    <w:p>
      <w:pPr>
        <w:ind w:left="1300" w:hanging="145"/>
        <w:spacing w:after="0"/>
        <w:tabs>
          <w:tab w:leader="none" w:pos="1300"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foregoing amendment and restatement was approved by the holders of the requisite number of shares of this corporation in accordance with Section 228 of the General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Corporation Law.</w:t>
      </w:r>
    </w:p>
    <w:p>
      <w:pPr>
        <w:spacing w:after="0" w:line="161" w:lineRule="exact"/>
        <w:rPr>
          <w:sz w:val="20"/>
          <w:szCs w:val="20"/>
          <w:color w:val="auto"/>
        </w:rPr>
      </w:pPr>
    </w:p>
    <w:p>
      <w:pPr>
        <w:ind w:right="280" w:firstLine="1155"/>
        <w:spacing w:after="0" w:line="283" w:lineRule="auto"/>
        <w:tabs>
          <w:tab w:leader="none" w:pos="1291"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this Sixth Amended and Restated Certificate of Incorporation, which restates and integrates and further amends the provisions of this Corporation’s Fifth Amended and Restated Certificate of Incorporation, has been duly adopted in accordance with Sections 242 and 245 of the General Corporation Law.</w:t>
      </w:r>
    </w:p>
    <w:p>
      <w:pPr>
        <w:spacing w:after="0" w:line="124" w:lineRule="exact"/>
        <w:rPr>
          <w:rFonts w:ascii="Times New Roman" w:cs="Times New Roman" w:eastAsia="Times New Roman" w:hAnsi="Times New Roman"/>
          <w:sz w:val="14"/>
          <w:szCs w:val="14"/>
          <w:b w:val="1"/>
          <w:bCs w:val="1"/>
          <w:color w:val="auto"/>
        </w:rPr>
      </w:pPr>
    </w:p>
    <w:p>
      <w:pPr>
        <w:ind w:left="54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this Sixth Amended and Restated Certificate of Incorporation has been executed by a duly authorized officer of this corporation on this 6</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w:t>
      </w:r>
    </w:p>
    <w:p>
      <w:pPr>
        <w:spacing w:after="0" w:line="19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175" w:lineRule="exact"/>
        <w:rPr>
          <w:sz w:val="20"/>
          <w:szCs w:val="20"/>
          <w:color w:val="auto"/>
        </w:rPr>
      </w:pPr>
    </w:p>
    <w:p>
      <w:pPr>
        <w:ind w:left="6260"/>
        <w:spacing w:after="0"/>
        <w:tabs>
          <w:tab w:leader="none" w:pos="6580" w:val="left"/>
        </w:tabs>
        <w:rPr>
          <w:sz w:val="20"/>
          <w:szCs w:val="20"/>
          <w:color w:val="auto"/>
        </w:rPr>
      </w:pPr>
      <w:r>
        <w:rPr>
          <w:rFonts w:ascii="Times New Roman" w:cs="Times New Roman" w:eastAsia="Times New Roman" w:hAnsi="Times New Roman"/>
          <w:sz w:val="14"/>
          <w:szCs w:val="14"/>
          <w:color w:val="auto"/>
        </w:rPr>
        <w:t>By:</w:t>
        <w:tab/>
        <w:t>/s/ Mathai Mammen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33655</wp:posOffset>
            </wp:positionV>
            <wp:extent cx="264350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43505" cy="6985"/>
                    </a:xfrm>
                    <a:prstGeom prst="rect">
                      <a:avLst/>
                    </a:prstGeom>
                    <a:noFill/>
                  </pic:spPr>
                </pic:pic>
              </a:graphicData>
            </a:graphic>
          </wp:anchor>
        </w:drawing>
      </w:r>
    </w:p>
    <w:p>
      <w:pPr>
        <w:spacing w:after="0" w:line="6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Mathai Mammen,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601980</wp:posOffset>
            </wp:positionV>
            <wp:extent cx="7188200"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640"/>
          </w:cols>
          <w:pgMar w:left="820" w:top="817" w:right="439" w:bottom="1440" w:gutter="0" w:footer="0" w:header="0"/>
        </w:sectPr>
      </w:pPr>
    </w:p>
    <w:bookmarkStart w:id="300" w:name="page301"/>
    <w:bookmarkEnd w:id="300"/>
    <w:p>
      <w:pPr>
        <w:ind w:left="10600"/>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ARTICLE I - STOCKHOLDERS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Annual Meeting.</w:t>
      </w:r>
    </w:p>
    <w:p>
      <w:pPr>
        <w:spacing w:after="0" w:line="177"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4"/>
          <w:szCs w:val="14"/>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Special Meetings.</w:t>
      </w:r>
    </w:p>
    <w:p>
      <w:pPr>
        <w:spacing w:after="0" w:line="177"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4"/>
          <w:szCs w:val="14"/>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3. Notice of Meetings.</w:t>
      </w:r>
    </w:p>
    <w:p>
      <w:pPr>
        <w:spacing w:after="0" w:line="177" w:lineRule="exact"/>
        <w:rPr>
          <w:sz w:val="20"/>
          <w:szCs w:val="20"/>
          <w:color w:val="auto"/>
        </w:rPr>
      </w:pPr>
    </w:p>
    <w:p>
      <w:pPr>
        <w:ind w:right="40" w:firstLine="511"/>
        <w:spacing w:after="0" w:line="267" w:lineRule="auto"/>
        <w:rPr>
          <w:sz w:val="20"/>
          <w:szCs w:val="20"/>
          <w:color w:val="auto"/>
        </w:rPr>
      </w:pPr>
      <w:r>
        <w:rPr>
          <w:rFonts w:ascii="Times New Roman" w:cs="Times New Roman" w:eastAsia="Times New Roman" w:hAnsi="Times New Roman"/>
          <w:sz w:val="14"/>
          <w:szCs w:val="14"/>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136"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4"/>
          <w:szCs w:val="14"/>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Quorum.</w:t>
      </w:r>
    </w:p>
    <w:p>
      <w:pPr>
        <w:spacing w:after="0" w:line="177" w:lineRule="exact"/>
        <w:rPr>
          <w:sz w:val="20"/>
          <w:szCs w:val="20"/>
          <w:color w:val="auto"/>
        </w:rPr>
      </w:pPr>
    </w:p>
    <w:p>
      <w:pPr>
        <w:jc w:val="both"/>
        <w:ind w:right="280" w:firstLine="511"/>
        <w:spacing w:after="0" w:line="267" w:lineRule="auto"/>
        <w:rPr>
          <w:sz w:val="20"/>
          <w:szCs w:val="20"/>
          <w:color w:val="auto"/>
        </w:rPr>
      </w:pPr>
      <w:r>
        <w:rPr>
          <w:rFonts w:ascii="Times New Roman" w:cs="Times New Roman" w:eastAsia="Times New Roman" w:hAnsi="Times New Roman"/>
          <w:sz w:val="14"/>
          <w:szCs w:val="14"/>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136"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Organization.</w:t>
      </w:r>
    </w:p>
    <w:p>
      <w:pPr>
        <w:spacing w:after="0" w:line="177" w:lineRule="exact"/>
        <w:rPr>
          <w:sz w:val="20"/>
          <w:szCs w:val="20"/>
          <w:color w:val="auto"/>
        </w:rPr>
      </w:pPr>
    </w:p>
    <w:p>
      <w:pPr>
        <w:ind w:right="140" w:firstLine="511"/>
        <w:spacing w:after="0" w:line="267" w:lineRule="auto"/>
        <w:rPr>
          <w:sz w:val="20"/>
          <w:szCs w:val="20"/>
          <w:color w:val="auto"/>
        </w:rPr>
      </w:pPr>
      <w:r>
        <w:rPr>
          <w:rFonts w:ascii="Times New Roman" w:cs="Times New Roman" w:eastAsia="Times New Roman" w:hAnsi="Times New Roman"/>
          <w:sz w:val="14"/>
          <w:szCs w:val="14"/>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543560</wp:posOffset>
            </wp:positionV>
            <wp:extent cx="7188200"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301" w:name="page302"/>
    <w:bookmarkEnd w:id="301"/>
    <w:p>
      <w:pPr>
        <w:ind w:left="520"/>
        <w:spacing w:after="0"/>
        <w:rPr>
          <w:sz w:val="20"/>
          <w:szCs w:val="20"/>
          <w:color w:val="auto"/>
        </w:rPr>
      </w:pPr>
      <w:r>
        <w:rPr>
          <w:rFonts w:ascii="Times New Roman" w:cs="Times New Roman" w:eastAsia="Times New Roman" w:hAnsi="Times New Roman"/>
          <w:sz w:val="14"/>
          <w:szCs w:val="14"/>
          <w:i w:val="1"/>
          <w:iCs w:val="1"/>
          <w:color w:val="auto"/>
        </w:rPr>
        <w:t>Section 6. Conduct of Business.</w:t>
      </w:r>
    </w:p>
    <w:p>
      <w:pPr>
        <w:spacing w:after="0" w:line="177" w:lineRule="exact"/>
        <w:rPr>
          <w:sz w:val="20"/>
          <w:szCs w:val="20"/>
          <w:color w:val="auto"/>
        </w:rPr>
      </w:pPr>
    </w:p>
    <w:p>
      <w:pPr>
        <w:ind w:right="100" w:firstLine="511"/>
        <w:spacing w:after="0" w:line="267" w:lineRule="auto"/>
        <w:rPr>
          <w:sz w:val="20"/>
          <w:szCs w:val="20"/>
          <w:color w:val="auto"/>
        </w:rPr>
      </w:pPr>
      <w:r>
        <w:rPr>
          <w:rFonts w:ascii="Times New Roman" w:cs="Times New Roman" w:eastAsia="Times New Roman" w:hAnsi="Times New Roman"/>
          <w:sz w:val="14"/>
          <w:szCs w:val="14"/>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7. Proxies and Voting.</w:t>
      </w:r>
    </w:p>
    <w:p>
      <w:pPr>
        <w:spacing w:after="0" w:line="177"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At any meeting of the stockholders, every stockholder entitled to vote may vote in person or by proxy authorized by an instrument in writing filed in accordance with the procedure established for the meeting.</w:t>
      </w:r>
    </w:p>
    <w:p>
      <w:pPr>
        <w:spacing w:after="0" w:line="125"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Each stockholder shall have one (1) vote for every share of stock entitled to vote which is registered in his or her name on the record date for the meeting, except as otherwise provided herein or required by law.</w:t>
      </w:r>
    </w:p>
    <w:p>
      <w:pPr>
        <w:spacing w:after="0" w:line="125" w:lineRule="exact"/>
        <w:rPr>
          <w:sz w:val="20"/>
          <w:szCs w:val="20"/>
          <w:color w:val="auto"/>
        </w:rPr>
      </w:pPr>
    </w:p>
    <w:p>
      <w:pPr>
        <w:ind w:right="360" w:firstLine="511"/>
        <w:spacing w:after="0" w:line="283" w:lineRule="auto"/>
        <w:rPr>
          <w:sz w:val="20"/>
          <w:szCs w:val="20"/>
          <w:color w:val="auto"/>
        </w:rPr>
      </w:pPr>
      <w:r>
        <w:rPr>
          <w:rFonts w:ascii="Times New Roman" w:cs="Times New Roman" w:eastAsia="Times New Roman" w:hAnsi="Times New Roman"/>
          <w:sz w:val="14"/>
          <w:szCs w:val="14"/>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125"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8. Action Without Meeting.</w:t>
      </w:r>
    </w:p>
    <w:p>
      <w:pPr>
        <w:spacing w:after="0" w:line="177"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9. Stock List.</w:t>
      </w:r>
    </w:p>
    <w:p>
      <w:pPr>
        <w:spacing w:after="0" w:line="177"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4"/>
          <w:szCs w:val="14"/>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141" w:lineRule="exact"/>
        <w:rPr>
          <w:sz w:val="20"/>
          <w:szCs w:val="20"/>
          <w:color w:val="auto"/>
        </w:rPr>
      </w:pPr>
    </w:p>
    <w:p>
      <w:pPr>
        <w:ind w:right="600" w:firstLine="511"/>
        <w:spacing w:after="0" w:line="283" w:lineRule="auto"/>
        <w:rPr>
          <w:sz w:val="20"/>
          <w:szCs w:val="20"/>
          <w:color w:val="auto"/>
        </w:rPr>
      </w:pPr>
      <w:r>
        <w:rPr>
          <w:rFonts w:ascii="Times New Roman" w:cs="Times New Roman" w:eastAsia="Times New Roman" w:hAnsi="Times New Roman"/>
          <w:sz w:val="14"/>
          <w:szCs w:val="14"/>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ARTICLE II - BOARD OF DIRECTORS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Number, Election, Tenure and Qualification.</w:t>
      </w:r>
    </w:p>
    <w:p>
      <w:pPr>
        <w:spacing w:after="0" w:line="177"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4"/>
          <w:szCs w:val="14"/>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4" w:right="339" w:bottom="1440" w:gutter="0" w:footer="0" w:header="0"/>
        </w:sectPr>
      </w:pPr>
    </w:p>
    <w:bookmarkStart w:id="302" w:name="page303"/>
    <w:bookmarkEnd w:id="302"/>
    <w:p>
      <w:pPr>
        <w:ind w:left="520"/>
        <w:spacing w:after="0"/>
        <w:rPr>
          <w:sz w:val="20"/>
          <w:szCs w:val="20"/>
          <w:color w:val="auto"/>
        </w:rPr>
      </w:pPr>
      <w:r>
        <w:rPr>
          <w:rFonts w:ascii="Times New Roman" w:cs="Times New Roman" w:eastAsia="Times New Roman" w:hAnsi="Times New Roman"/>
          <w:sz w:val="14"/>
          <w:szCs w:val="14"/>
          <w:i w:val="1"/>
          <w:iCs w:val="1"/>
          <w:color w:val="auto"/>
        </w:rPr>
        <w:t>Section 2. Vacancies and Newly Created Directorships.</w:t>
      </w:r>
    </w:p>
    <w:p>
      <w:pPr>
        <w:spacing w:after="0" w:line="177"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3. Resignation and Removal.</w:t>
      </w:r>
    </w:p>
    <w:p>
      <w:pPr>
        <w:spacing w:after="0" w:line="177"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Regular Meetings.</w:t>
      </w:r>
    </w:p>
    <w:p>
      <w:pPr>
        <w:spacing w:after="0" w:line="177" w:lineRule="exact"/>
        <w:rPr>
          <w:sz w:val="20"/>
          <w:szCs w:val="20"/>
          <w:color w:val="auto"/>
        </w:rPr>
      </w:pPr>
    </w:p>
    <w:p>
      <w:pPr>
        <w:ind w:right="140" w:firstLine="511"/>
        <w:spacing w:after="0" w:line="283" w:lineRule="auto"/>
        <w:rPr>
          <w:sz w:val="20"/>
          <w:szCs w:val="20"/>
          <w:color w:val="auto"/>
        </w:rPr>
      </w:pPr>
      <w:r>
        <w:rPr>
          <w:rFonts w:ascii="Times New Roman" w:cs="Times New Roman" w:eastAsia="Times New Roman" w:hAnsi="Times New Roman"/>
          <w:sz w:val="14"/>
          <w:szCs w:val="14"/>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Special Meetings.</w:t>
      </w:r>
    </w:p>
    <w:p>
      <w:pPr>
        <w:spacing w:after="0" w:line="177" w:lineRule="exact"/>
        <w:rPr>
          <w:sz w:val="20"/>
          <w:szCs w:val="20"/>
          <w:color w:val="auto"/>
        </w:rPr>
      </w:pPr>
    </w:p>
    <w:p>
      <w:pPr>
        <w:ind w:right="60" w:firstLine="511"/>
        <w:spacing w:after="0" w:line="261" w:lineRule="auto"/>
        <w:rPr>
          <w:sz w:val="20"/>
          <w:szCs w:val="20"/>
          <w:color w:val="auto"/>
        </w:rPr>
      </w:pPr>
      <w:r>
        <w:rPr>
          <w:rFonts w:ascii="Times New Roman" w:cs="Times New Roman" w:eastAsia="Times New Roman" w:hAnsi="Times New Roman"/>
          <w:sz w:val="14"/>
          <w:szCs w:val="14"/>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6. Quorum.</w:t>
      </w:r>
    </w:p>
    <w:p>
      <w:pPr>
        <w:spacing w:after="0" w:line="177" w:lineRule="exact"/>
        <w:rPr>
          <w:sz w:val="20"/>
          <w:szCs w:val="20"/>
          <w:color w:val="auto"/>
        </w:rPr>
      </w:pPr>
    </w:p>
    <w:p>
      <w:pPr>
        <w:ind w:right="180" w:firstLine="511"/>
        <w:spacing w:after="0" w:line="283" w:lineRule="auto"/>
        <w:rPr>
          <w:sz w:val="20"/>
          <w:szCs w:val="20"/>
          <w:color w:val="auto"/>
        </w:rPr>
      </w:pPr>
      <w:r>
        <w:rPr>
          <w:rFonts w:ascii="Times New Roman" w:cs="Times New Roman" w:eastAsia="Times New Roman" w:hAnsi="Times New Roman"/>
          <w:sz w:val="14"/>
          <w:szCs w:val="14"/>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7. Action by Consent.</w:t>
      </w:r>
    </w:p>
    <w:p>
      <w:pPr>
        <w:spacing w:after="0" w:line="177"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8. Participation in Meetings By Conference Telephone.</w:t>
      </w:r>
    </w:p>
    <w:p>
      <w:pPr>
        <w:spacing w:after="0" w:line="177" w:lineRule="exact"/>
        <w:rPr>
          <w:sz w:val="20"/>
          <w:szCs w:val="20"/>
          <w:color w:val="auto"/>
        </w:rPr>
      </w:pPr>
    </w:p>
    <w:p>
      <w:pPr>
        <w:ind w:right="380" w:firstLine="511"/>
        <w:spacing w:after="0" w:line="283" w:lineRule="auto"/>
        <w:rPr>
          <w:sz w:val="20"/>
          <w:szCs w:val="20"/>
          <w:color w:val="auto"/>
        </w:rPr>
      </w:pPr>
      <w:r>
        <w:rPr>
          <w:rFonts w:ascii="Times New Roman" w:cs="Times New Roman" w:eastAsia="Times New Roman" w:hAnsi="Times New Roman"/>
          <w:sz w:val="14"/>
          <w:szCs w:val="14"/>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9. Conduct of Business.</w:t>
      </w:r>
    </w:p>
    <w:p>
      <w:pPr>
        <w:spacing w:after="0" w:line="177"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4" w:right="339" w:bottom="1440" w:gutter="0" w:footer="0" w:header="0"/>
        </w:sectPr>
      </w:pPr>
    </w:p>
    <w:bookmarkStart w:id="303" w:name="page304"/>
    <w:bookmarkEnd w:id="303"/>
    <w:p>
      <w:pPr>
        <w:ind w:left="520"/>
        <w:spacing w:after="0"/>
        <w:rPr>
          <w:sz w:val="20"/>
          <w:szCs w:val="20"/>
          <w:color w:val="auto"/>
        </w:rPr>
      </w:pPr>
      <w:r>
        <w:rPr>
          <w:rFonts w:ascii="Times New Roman" w:cs="Times New Roman" w:eastAsia="Times New Roman" w:hAnsi="Times New Roman"/>
          <w:sz w:val="14"/>
          <w:szCs w:val="14"/>
          <w:i w:val="1"/>
          <w:iCs w:val="1"/>
          <w:color w:val="auto"/>
        </w:rPr>
        <w:t>Section 10. Powers.</w:t>
      </w:r>
    </w:p>
    <w:p>
      <w:pPr>
        <w:spacing w:after="0" w:line="177" w:lineRule="exact"/>
        <w:rPr>
          <w:sz w:val="20"/>
          <w:szCs w:val="20"/>
          <w:color w:val="auto"/>
        </w:rPr>
      </w:pPr>
    </w:p>
    <w:p>
      <w:pPr>
        <w:ind w:right="120" w:firstLine="511"/>
        <w:spacing w:after="0" w:line="283" w:lineRule="auto"/>
        <w:rPr>
          <w:sz w:val="20"/>
          <w:szCs w:val="20"/>
          <w:color w:val="auto"/>
        </w:rPr>
      </w:pPr>
      <w:r>
        <w:rPr>
          <w:rFonts w:ascii="Times New Roman" w:cs="Times New Roman" w:eastAsia="Times New Roman" w:hAnsi="Times New Roman"/>
          <w:sz w:val="14"/>
          <w:szCs w:val="14"/>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25" w:lineRule="exact"/>
        <w:rPr>
          <w:sz w:val="20"/>
          <w:szCs w:val="20"/>
          <w:color w:val="auto"/>
        </w:rPr>
      </w:pPr>
    </w:p>
    <w:p>
      <w:pPr>
        <w:ind w:left="1020" w:hanging="505"/>
        <w:spacing w:after="0"/>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declare dividends from time to time in accordance with law;</w:t>
      </w:r>
    </w:p>
    <w:p>
      <w:pPr>
        <w:spacing w:after="0" w:line="175" w:lineRule="exact"/>
        <w:rPr>
          <w:rFonts w:ascii="Times New Roman" w:cs="Times New Roman" w:eastAsia="Times New Roman" w:hAnsi="Times New Roman"/>
          <w:sz w:val="14"/>
          <w:szCs w:val="14"/>
          <w:color w:val="auto"/>
        </w:rPr>
      </w:pPr>
    </w:p>
    <w:p>
      <w:pPr>
        <w:ind w:left="1020" w:hanging="505"/>
        <w:spacing w:after="0"/>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or otherwise acquire any property, rights or privileges on such terms as it shall determine;</w:t>
      </w:r>
    </w:p>
    <w:p>
      <w:pPr>
        <w:spacing w:after="0" w:line="175" w:lineRule="exact"/>
        <w:rPr>
          <w:rFonts w:ascii="Times New Roman" w:cs="Times New Roman" w:eastAsia="Times New Roman" w:hAnsi="Times New Roman"/>
          <w:sz w:val="14"/>
          <w:szCs w:val="14"/>
          <w:color w:val="auto"/>
        </w:rPr>
      </w:pPr>
    </w:p>
    <w:p>
      <w:pPr>
        <w:ind w:left="1020" w:right="60" w:hanging="505"/>
        <w:spacing w:after="0" w:line="283" w:lineRule="auto"/>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authorize the creation, making and issuance, in such form as it may determine, of written obligations of every kind, negotiable or non- negotiable, secured or unsecured, to borrow funds and guarantee obligations, and to do all things necessary in connection therewith;</w:t>
      </w:r>
    </w:p>
    <w:p>
      <w:pPr>
        <w:spacing w:after="0" w:line="124" w:lineRule="exact"/>
        <w:rPr>
          <w:rFonts w:ascii="Times New Roman" w:cs="Times New Roman" w:eastAsia="Times New Roman" w:hAnsi="Times New Roman"/>
          <w:sz w:val="14"/>
          <w:szCs w:val="14"/>
          <w:color w:val="auto"/>
        </w:rPr>
      </w:pPr>
    </w:p>
    <w:p>
      <w:pPr>
        <w:ind w:left="1020" w:hanging="505"/>
        <w:spacing w:after="0"/>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any officer of the Corporation with or without cause, and from time to time to devolve the powers and duties of any officer upon any other person for the time being;</w:t>
      </w:r>
    </w:p>
    <w:p>
      <w:pPr>
        <w:spacing w:after="0" w:line="175" w:lineRule="exact"/>
        <w:rPr>
          <w:rFonts w:ascii="Times New Roman" w:cs="Times New Roman" w:eastAsia="Times New Roman" w:hAnsi="Times New Roman"/>
          <w:sz w:val="14"/>
          <w:szCs w:val="14"/>
          <w:color w:val="auto"/>
        </w:rPr>
      </w:pPr>
    </w:p>
    <w:p>
      <w:pPr>
        <w:ind w:left="1020" w:hanging="505"/>
        <w:spacing w:after="0"/>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confer upon any officer of the Corporation the power to appoint, remove and suspend subordinate officers, employees and agents;</w:t>
      </w:r>
    </w:p>
    <w:p>
      <w:pPr>
        <w:spacing w:after="0" w:line="175" w:lineRule="exact"/>
        <w:rPr>
          <w:rFonts w:ascii="Times New Roman" w:cs="Times New Roman" w:eastAsia="Times New Roman" w:hAnsi="Times New Roman"/>
          <w:sz w:val="14"/>
          <w:szCs w:val="14"/>
          <w:color w:val="auto"/>
        </w:rPr>
      </w:pPr>
    </w:p>
    <w:p>
      <w:pPr>
        <w:ind w:left="1020" w:right="60" w:hanging="505"/>
        <w:spacing w:after="0" w:line="283" w:lineRule="auto"/>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from time to time such stock, option, stock purchase, bonus or other compensation plans for directors, officers, employees and agents of the Corporation and its subsidiaries as it may determine;</w:t>
      </w:r>
    </w:p>
    <w:p>
      <w:pPr>
        <w:spacing w:after="0" w:line="124" w:lineRule="exact"/>
        <w:rPr>
          <w:rFonts w:ascii="Times New Roman" w:cs="Times New Roman" w:eastAsia="Times New Roman" w:hAnsi="Times New Roman"/>
          <w:sz w:val="14"/>
          <w:szCs w:val="14"/>
          <w:color w:val="auto"/>
        </w:rPr>
      </w:pPr>
    </w:p>
    <w:p>
      <w:pPr>
        <w:ind w:left="1020" w:hanging="505"/>
        <w:spacing w:after="0" w:line="283" w:lineRule="auto"/>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from time to time such insurance, retirement, and other benefit plans for directors, officers, employees and agents of the Corporation and its subsidiaries as it may determine; and,</w:t>
      </w:r>
    </w:p>
    <w:p>
      <w:pPr>
        <w:spacing w:after="0" w:line="124" w:lineRule="exact"/>
        <w:rPr>
          <w:rFonts w:ascii="Times New Roman" w:cs="Times New Roman" w:eastAsia="Times New Roman" w:hAnsi="Times New Roman"/>
          <w:sz w:val="14"/>
          <w:szCs w:val="14"/>
          <w:color w:val="auto"/>
        </w:rPr>
      </w:pPr>
    </w:p>
    <w:p>
      <w:pPr>
        <w:ind w:left="1020" w:hanging="505"/>
        <w:spacing w:after="0"/>
        <w:tabs>
          <w:tab w:leader="none" w:pos="10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from time to time regulations, not inconsistent with these By- Laws, for the management of the Corporation’s business and affairs.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11. Compensation of Directors.</w:t>
      </w:r>
    </w:p>
    <w:p>
      <w:pPr>
        <w:spacing w:after="0" w:line="177"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ARTICLE III - COMMITTEES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Committees of the Board of Directors.</w:t>
      </w:r>
    </w:p>
    <w:p>
      <w:pPr>
        <w:spacing w:after="0" w:line="177"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4"/>
          <w:szCs w:val="14"/>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4" w:right="319" w:bottom="1440" w:gutter="0" w:footer="0" w:header="0"/>
        </w:sectPr>
      </w:pPr>
    </w:p>
    <w:bookmarkStart w:id="304" w:name="page305"/>
    <w:bookmarkEnd w:id="304"/>
    <w:p>
      <w:pPr>
        <w:ind w:left="520"/>
        <w:spacing w:after="0"/>
        <w:rPr>
          <w:sz w:val="20"/>
          <w:szCs w:val="20"/>
          <w:color w:val="auto"/>
        </w:rPr>
      </w:pPr>
      <w:r>
        <w:rPr>
          <w:rFonts w:ascii="Times New Roman" w:cs="Times New Roman" w:eastAsia="Times New Roman" w:hAnsi="Times New Roman"/>
          <w:sz w:val="14"/>
          <w:szCs w:val="14"/>
          <w:i w:val="1"/>
          <w:iCs w:val="1"/>
          <w:color w:val="auto"/>
        </w:rPr>
        <w:t>Section 2. Conduct of Business.</w:t>
      </w:r>
    </w:p>
    <w:p>
      <w:pPr>
        <w:spacing w:after="0" w:line="177"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ARTICLE IV - OFFICERS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Enumeration.</w:t>
      </w:r>
    </w:p>
    <w:p>
      <w:pPr>
        <w:spacing w:after="0" w:line="177"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Election.</w:t>
      </w:r>
    </w:p>
    <w:p>
      <w:pPr>
        <w:spacing w:after="0" w:line="177"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3. Qualification.</w:t>
      </w:r>
    </w:p>
    <w:p>
      <w:pPr>
        <w:spacing w:after="0" w:line="177" w:lineRule="exact"/>
        <w:rPr>
          <w:sz w:val="20"/>
          <w:szCs w:val="20"/>
          <w:color w:val="auto"/>
        </w:rPr>
      </w:pPr>
    </w:p>
    <w:p>
      <w:pPr>
        <w:jc w:val="both"/>
        <w:ind w:right="40" w:firstLine="511"/>
        <w:spacing w:after="0" w:line="267" w:lineRule="auto"/>
        <w:rPr>
          <w:sz w:val="20"/>
          <w:szCs w:val="20"/>
          <w:color w:val="auto"/>
        </w:rPr>
      </w:pPr>
      <w:r>
        <w:rPr>
          <w:rFonts w:ascii="Times New Roman" w:cs="Times New Roman" w:eastAsia="Times New Roman" w:hAnsi="Times New Roman"/>
          <w:sz w:val="14"/>
          <w:szCs w:val="14"/>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Tenure and Removal.</w:t>
      </w:r>
    </w:p>
    <w:p>
      <w:pPr>
        <w:spacing w:after="0" w:line="177"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Chairman of the Board</w:t>
      </w:r>
    </w:p>
    <w:p>
      <w:pPr>
        <w:spacing w:after="0" w:line="177"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6. President.</w:t>
      </w:r>
    </w:p>
    <w:p>
      <w:pPr>
        <w:spacing w:after="0" w:line="177"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305" w:name="page306"/>
    <w:bookmarkEnd w:id="305"/>
    <w:p>
      <w:pPr>
        <w:ind w:left="520"/>
        <w:spacing w:after="0"/>
        <w:rPr>
          <w:sz w:val="20"/>
          <w:szCs w:val="20"/>
          <w:color w:val="auto"/>
        </w:rPr>
      </w:pPr>
      <w:r>
        <w:rPr>
          <w:rFonts w:ascii="Times New Roman" w:cs="Times New Roman" w:eastAsia="Times New Roman" w:hAnsi="Times New Roman"/>
          <w:sz w:val="14"/>
          <w:szCs w:val="14"/>
          <w:i w:val="1"/>
          <w:iCs w:val="1"/>
          <w:color w:val="auto"/>
        </w:rPr>
        <w:t>Section 7. Vice Presidents.</w:t>
      </w:r>
    </w:p>
    <w:p>
      <w:pPr>
        <w:spacing w:after="0" w:line="177"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8. Treasurer and Assistant Treasurers.</w:t>
      </w:r>
    </w:p>
    <w:p>
      <w:pPr>
        <w:spacing w:after="0" w:line="177"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4"/>
          <w:szCs w:val="14"/>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9. Secretary and Assistant Secretaries.</w:t>
      </w:r>
    </w:p>
    <w:p>
      <w:pPr>
        <w:spacing w:after="0" w:line="177"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4"/>
          <w:szCs w:val="14"/>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10. Bond.</w:t>
      </w:r>
    </w:p>
    <w:p>
      <w:pPr>
        <w:spacing w:after="0" w:line="177"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11. Action with Respect to Securities of Other Corporations.</w:t>
      </w:r>
    </w:p>
    <w:p>
      <w:pPr>
        <w:spacing w:after="0" w:line="177"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ARTICLE V - STOCK</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Certificates of Stock.</w:t>
      </w:r>
    </w:p>
    <w:p>
      <w:pPr>
        <w:spacing w:after="0" w:line="177"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Transfers of Stock.</w:t>
      </w:r>
    </w:p>
    <w:p>
      <w:pPr>
        <w:spacing w:after="0" w:line="177" w:lineRule="exact"/>
        <w:rPr>
          <w:sz w:val="20"/>
          <w:szCs w:val="20"/>
          <w:color w:val="auto"/>
        </w:rPr>
      </w:pPr>
    </w:p>
    <w:p>
      <w:pPr>
        <w:ind w:right="280" w:firstLine="511"/>
        <w:spacing w:after="0" w:line="267" w:lineRule="auto"/>
        <w:rPr>
          <w:sz w:val="20"/>
          <w:szCs w:val="20"/>
          <w:color w:val="auto"/>
        </w:rPr>
      </w:pPr>
      <w:r>
        <w:rPr>
          <w:rFonts w:ascii="Times New Roman" w:cs="Times New Roman" w:eastAsia="Times New Roman" w:hAnsi="Times New Roman"/>
          <w:sz w:val="14"/>
          <w:szCs w:val="14"/>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4" w:right="319" w:bottom="1440" w:gutter="0" w:footer="0" w:header="0"/>
        </w:sectPr>
      </w:pPr>
    </w:p>
    <w:bookmarkStart w:id="306" w:name="page307"/>
    <w:bookmarkEnd w:id="306"/>
    <w:p>
      <w:pPr>
        <w:ind w:left="520"/>
        <w:spacing w:after="0"/>
        <w:rPr>
          <w:sz w:val="20"/>
          <w:szCs w:val="20"/>
          <w:color w:val="auto"/>
        </w:rPr>
      </w:pPr>
      <w:r>
        <w:rPr>
          <w:rFonts w:ascii="Times New Roman" w:cs="Times New Roman" w:eastAsia="Times New Roman" w:hAnsi="Times New Roman"/>
          <w:sz w:val="14"/>
          <w:szCs w:val="14"/>
          <w:i w:val="1"/>
          <w:iCs w:val="1"/>
          <w:color w:val="auto"/>
        </w:rPr>
        <w:t>Section 3. Record Date.</w:t>
      </w:r>
    </w:p>
    <w:p>
      <w:pPr>
        <w:spacing w:after="0" w:line="177" w:lineRule="exact"/>
        <w:rPr>
          <w:sz w:val="20"/>
          <w:szCs w:val="20"/>
          <w:color w:val="auto"/>
        </w:rPr>
      </w:pPr>
    </w:p>
    <w:p>
      <w:pPr>
        <w:ind w:right="100" w:firstLine="511"/>
        <w:spacing w:after="0" w:line="255" w:lineRule="auto"/>
        <w:rPr>
          <w:sz w:val="20"/>
          <w:szCs w:val="20"/>
          <w:color w:val="auto"/>
        </w:rPr>
      </w:pPr>
      <w:r>
        <w:rPr>
          <w:rFonts w:ascii="Times New Roman" w:cs="Times New Roman" w:eastAsia="Times New Roman" w:hAnsi="Times New Roman"/>
          <w:sz w:val="14"/>
          <w:szCs w:val="14"/>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45" w:lineRule="exact"/>
        <w:rPr>
          <w:sz w:val="20"/>
          <w:szCs w:val="20"/>
          <w:color w:val="auto"/>
        </w:rPr>
      </w:pPr>
    </w:p>
    <w:p>
      <w:pPr>
        <w:ind w:right="340" w:firstLine="511"/>
        <w:spacing w:after="0" w:line="283" w:lineRule="auto"/>
        <w:rPr>
          <w:sz w:val="20"/>
          <w:szCs w:val="20"/>
          <w:color w:val="auto"/>
        </w:rPr>
      </w:pPr>
      <w:r>
        <w:rPr>
          <w:rFonts w:ascii="Times New Roman" w:cs="Times New Roman" w:eastAsia="Times New Roman" w:hAnsi="Times New Roman"/>
          <w:sz w:val="14"/>
          <w:szCs w:val="14"/>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Lost, Stolen or Destroyed Certificates.</w:t>
      </w:r>
    </w:p>
    <w:p>
      <w:pPr>
        <w:spacing w:after="0" w:line="177"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Regulations.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issue, transfer, conversion and registration of certificates of stock shall be governed by such other regulations as the Board of Directors may establish.</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6. Interpretation.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Board of Directors shall have the power to interpret all of the terms and provisions of these By-Laws, which interpretation shall be conclusive.</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ARTICLE VI - NOTICES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Notices.</w:t>
      </w:r>
    </w:p>
    <w:p>
      <w:pPr>
        <w:spacing w:after="0" w:line="177"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Waiver of Notice.</w:t>
      </w:r>
    </w:p>
    <w:p>
      <w:pPr>
        <w:spacing w:after="0" w:line="177" w:lineRule="exact"/>
        <w:rPr>
          <w:sz w:val="20"/>
          <w:szCs w:val="20"/>
          <w:color w:val="auto"/>
        </w:rPr>
      </w:pPr>
    </w:p>
    <w:p>
      <w:pPr>
        <w:ind w:right="200" w:firstLine="511"/>
        <w:spacing w:after="0" w:line="267" w:lineRule="auto"/>
        <w:rPr>
          <w:sz w:val="20"/>
          <w:szCs w:val="20"/>
          <w:color w:val="auto"/>
        </w:rPr>
      </w:pPr>
      <w:r>
        <w:rPr>
          <w:rFonts w:ascii="Times New Roman" w:cs="Times New Roman" w:eastAsia="Times New Roman" w:hAnsi="Times New Roman"/>
          <w:sz w:val="14"/>
          <w:szCs w:val="14"/>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4" w:right="319" w:bottom="1440" w:gutter="0" w:footer="0" w:header="0"/>
        </w:sectPr>
      </w:pPr>
    </w:p>
    <w:bookmarkStart w:id="307" w:name="page308"/>
    <w:bookmarkEnd w:id="307"/>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ARTICLE VII - INDEMNIFICATION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Actions other than by or in the Right of the Corporation.</w:t>
      </w:r>
    </w:p>
    <w:p>
      <w:pPr>
        <w:spacing w:after="0" w:line="177"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14"/>
          <w:szCs w:val="14"/>
          <w:i w:val="1"/>
          <w:iCs w:val="1"/>
          <w:color w:val="auto"/>
        </w:rPr>
        <w:t>nolo contendere</w:t>
      </w:r>
      <w:r>
        <w:rPr>
          <w:rFonts w:ascii="Times New Roman" w:cs="Times New Roman" w:eastAsia="Times New Roman" w:hAnsi="Times New Roman"/>
          <w:sz w:val="14"/>
          <w:szCs w:val="14"/>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Actions by or in the Right of the Corporation.</w:t>
      </w:r>
    </w:p>
    <w:p>
      <w:pPr>
        <w:spacing w:after="0" w:line="177"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4"/>
          <w:szCs w:val="14"/>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3. Success on the Merits.</w:t>
      </w:r>
    </w:p>
    <w:p>
      <w:pPr>
        <w:spacing w:after="0" w:line="177" w:lineRule="exact"/>
        <w:rPr>
          <w:sz w:val="20"/>
          <w:szCs w:val="20"/>
          <w:color w:val="auto"/>
        </w:rPr>
      </w:pPr>
    </w:p>
    <w:p>
      <w:pPr>
        <w:jc w:val="both"/>
        <w:ind w:right="200" w:firstLine="511"/>
        <w:spacing w:after="0" w:line="267" w:lineRule="auto"/>
        <w:rPr>
          <w:sz w:val="20"/>
          <w:szCs w:val="20"/>
          <w:color w:val="auto"/>
        </w:rPr>
      </w:pPr>
      <w:r>
        <w:rPr>
          <w:rFonts w:ascii="Times New Roman" w:cs="Times New Roman" w:eastAsia="Times New Roman" w:hAnsi="Times New Roman"/>
          <w:sz w:val="14"/>
          <w:szCs w:val="14"/>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Specific Authorization.</w:t>
      </w:r>
    </w:p>
    <w:p>
      <w:pPr>
        <w:spacing w:after="0" w:line="177"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4"/>
          <w:szCs w:val="14"/>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Advance Payment.</w:t>
      </w:r>
    </w:p>
    <w:p>
      <w:pPr>
        <w:spacing w:after="0" w:line="177" w:lineRule="exact"/>
        <w:rPr>
          <w:sz w:val="20"/>
          <w:szCs w:val="20"/>
          <w:color w:val="auto"/>
        </w:rPr>
      </w:pPr>
    </w:p>
    <w:p>
      <w:pPr>
        <w:ind w:right="40" w:firstLine="511"/>
        <w:spacing w:after="0" w:line="267" w:lineRule="auto"/>
        <w:rPr>
          <w:sz w:val="20"/>
          <w:szCs w:val="20"/>
          <w:color w:val="auto"/>
        </w:rPr>
      </w:pPr>
      <w:r>
        <w:rPr>
          <w:rFonts w:ascii="Times New Roman" w:cs="Times New Roman" w:eastAsia="Times New Roman" w:hAnsi="Times New Roman"/>
          <w:sz w:val="14"/>
          <w:szCs w:val="14"/>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6. Non-Exclusivity.</w:t>
      </w:r>
    </w:p>
    <w:p>
      <w:pPr>
        <w:spacing w:after="0" w:line="177" w:lineRule="exact"/>
        <w:rPr>
          <w:sz w:val="20"/>
          <w:szCs w:val="20"/>
          <w:color w:val="auto"/>
        </w:rPr>
      </w:pPr>
    </w:p>
    <w:p>
      <w:pPr>
        <w:jc w:val="both"/>
        <w:ind w:right="360" w:firstLine="511"/>
        <w:spacing w:after="0" w:line="267" w:lineRule="auto"/>
        <w:rPr>
          <w:sz w:val="20"/>
          <w:szCs w:val="20"/>
          <w:color w:val="auto"/>
        </w:rPr>
      </w:pPr>
      <w:r>
        <w:rPr>
          <w:rFonts w:ascii="Times New Roman" w:cs="Times New Roman" w:eastAsia="Times New Roman" w:hAnsi="Times New Roman"/>
          <w:sz w:val="14"/>
          <w:szCs w:val="14"/>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4" w:right="339" w:bottom="1440" w:gutter="0" w:footer="0" w:header="0"/>
        </w:sectPr>
      </w:pPr>
    </w:p>
    <w:bookmarkStart w:id="308" w:name="page309"/>
    <w:bookmarkEnd w:id="308"/>
    <w:p>
      <w:pPr>
        <w:ind w:left="520"/>
        <w:spacing w:after="0"/>
        <w:rPr>
          <w:sz w:val="20"/>
          <w:szCs w:val="20"/>
          <w:color w:val="auto"/>
        </w:rPr>
      </w:pPr>
      <w:r>
        <w:rPr>
          <w:rFonts w:ascii="Times New Roman" w:cs="Times New Roman" w:eastAsia="Times New Roman" w:hAnsi="Times New Roman"/>
          <w:sz w:val="14"/>
          <w:szCs w:val="14"/>
          <w:i w:val="1"/>
          <w:iCs w:val="1"/>
          <w:color w:val="auto"/>
        </w:rPr>
        <w:t>Section 7. Insurance.</w:t>
      </w:r>
    </w:p>
    <w:p>
      <w:pPr>
        <w:spacing w:after="0" w:line="177"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4"/>
          <w:szCs w:val="14"/>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8. Continuation of Indemnification and Advancement of Expenses.</w:t>
      </w:r>
    </w:p>
    <w:p>
      <w:pPr>
        <w:spacing w:after="0" w:line="177"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9. Severability.</w:t>
      </w:r>
    </w:p>
    <w:p>
      <w:pPr>
        <w:spacing w:after="0" w:line="177"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10. Intent of Article.</w:t>
      </w:r>
    </w:p>
    <w:p>
      <w:pPr>
        <w:spacing w:after="0" w:line="177" w:lineRule="exact"/>
        <w:rPr>
          <w:sz w:val="20"/>
          <w:szCs w:val="20"/>
          <w:color w:val="auto"/>
        </w:rPr>
      </w:pPr>
    </w:p>
    <w:p>
      <w:pPr>
        <w:jc w:val="both"/>
        <w:ind w:right="220" w:firstLine="511"/>
        <w:spacing w:after="0" w:line="267" w:lineRule="auto"/>
        <w:rPr>
          <w:sz w:val="20"/>
          <w:szCs w:val="20"/>
          <w:color w:val="auto"/>
        </w:rPr>
      </w:pPr>
      <w:r>
        <w:rPr>
          <w:rFonts w:ascii="Times New Roman" w:cs="Times New Roman" w:eastAsia="Times New Roman" w:hAnsi="Times New Roman"/>
          <w:sz w:val="14"/>
          <w:szCs w:val="14"/>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ARTICLE VIII - CERTAIN TRANSACTIONS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Transactions with Interested Parties.</w:t>
      </w:r>
    </w:p>
    <w:p>
      <w:pPr>
        <w:spacing w:after="0" w:line="177"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4"/>
          <w:szCs w:val="14"/>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141" w:lineRule="exact"/>
        <w:rPr>
          <w:sz w:val="20"/>
          <w:szCs w:val="20"/>
          <w:color w:val="auto"/>
        </w:rPr>
      </w:pPr>
    </w:p>
    <w:p>
      <w:pPr>
        <w:ind w:left="520" w:firstLine="507"/>
        <w:spacing w:after="0" w:line="267" w:lineRule="auto"/>
        <w:tabs>
          <w:tab w:leader="none" w:pos="154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35" w:lineRule="exact"/>
        <w:rPr>
          <w:rFonts w:ascii="Times New Roman" w:cs="Times New Roman" w:eastAsia="Times New Roman" w:hAnsi="Times New Roman"/>
          <w:sz w:val="14"/>
          <w:szCs w:val="14"/>
          <w:color w:val="auto"/>
        </w:rPr>
      </w:pPr>
    </w:p>
    <w:p>
      <w:pPr>
        <w:ind w:left="520" w:right="80" w:firstLine="507"/>
        <w:spacing w:after="0" w:line="283" w:lineRule="auto"/>
        <w:tabs>
          <w:tab w:leader="none" w:pos="154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24" w:lineRule="exact"/>
        <w:rPr>
          <w:rFonts w:ascii="Times New Roman" w:cs="Times New Roman" w:eastAsia="Times New Roman" w:hAnsi="Times New Roman"/>
          <w:sz w:val="14"/>
          <w:szCs w:val="14"/>
          <w:color w:val="auto"/>
        </w:rPr>
      </w:pPr>
    </w:p>
    <w:p>
      <w:pPr>
        <w:ind w:left="1540" w:hanging="513"/>
        <w:spacing w:after="0"/>
        <w:tabs>
          <w:tab w:leader="none" w:pos="154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or transaction is fair as to the Corporation as of the time it is authorized, approved or ratified, by the Board of Directors, a committee thereof, or the</w:t>
      </w:r>
    </w:p>
    <w:p>
      <w:pPr>
        <w:spacing w:after="0" w:line="2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Quorum.</w:t>
      </w:r>
    </w:p>
    <w:p>
      <w:pPr>
        <w:spacing w:after="0" w:line="177" w:lineRule="exact"/>
        <w:rPr>
          <w:sz w:val="20"/>
          <w:szCs w:val="20"/>
          <w:color w:val="auto"/>
        </w:rPr>
      </w:pPr>
    </w:p>
    <w:p>
      <w:pPr>
        <w:jc w:val="center"/>
        <w:ind w:left="800" w:right="20"/>
        <w:spacing w:after="0" w:line="487" w:lineRule="auto"/>
        <w:rPr>
          <w:sz w:val="20"/>
          <w:szCs w:val="20"/>
          <w:color w:val="auto"/>
        </w:rPr>
      </w:pPr>
      <w:r>
        <w:rPr>
          <w:rFonts w:ascii="Times New Roman" w:cs="Times New Roman" w:eastAsia="Times New Roman" w:hAnsi="Times New Roman"/>
          <w:sz w:val="14"/>
          <w:szCs w:val="14"/>
          <w:color w:val="auto"/>
        </w:rPr>
        <w:t>Common or interested directors may be counted in determining the presence of a quorum at a meeting of the Board of Directors or of a committee which authorizes the contract or transaction. - 9 -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7188200"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4" w:right="339" w:bottom="1440" w:gutter="0" w:footer="0" w:header="0"/>
        </w:sectPr>
      </w:pPr>
    </w:p>
    <w:bookmarkStart w:id="309" w:name="page310"/>
    <w:bookmarkEnd w:id="309"/>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ARTICLE IX - MISCELLANEOUS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1. Facsimile Signatures.</w:t>
      </w:r>
    </w:p>
    <w:p>
      <w:pPr>
        <w:spacing w:after="0" w:line="177"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2. Corporate Seal.</w:t>
      </w:r>
    </w:p>
    <w:p>
      <w:pPr>
        <w:spacing w:after="0" w:line="177" w:lineRule="exact"/>
        <w:rPr>
          <w:sz w:val="20"/>
          <w:szCs w:val="20"/>
          <w:color w:val="auto"/>
        </w:rPr>
      </w:pPr>
    </w:p>
    <w:p>
      <w:pPr>
        <w:ind w:right="440" w:firstLine="511"/>
        <w:spacing w:after="0" w:line="283" w:lineRule="auto"/>
        <w:rPr>
          <w:sz w:val="20"/>
          <w:szCs w:val="20"/>
          <w:color w:val="auto"/>
        </w:rPr>
      </w:pPr>
      <w:r>
        <w:rPr>
          <w:rFonts w:ascii="Times New Roman" w:cs="Times New Roman" w:eastAsia="Times New Roman" w:hAnsi="Times New Roman"/>
          <w:sz w:val="14"/>
          <w:szCs w:val="14"/>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3. Reliance upon Books, Reports and Records.</w:t>
      </w:r>
    </w:p>
    <w:p>
      <w:pPr>
        <w:spacing w:after="0" w:line="177" w:lineRule="exact"/>
        <w:rPr>
          <w:sz w:val="20"/>
          <w:szCs w:val="20"/>
          <w:color w:val="auto"/>
        </w:rPr>
      </w:pPr>
    </w:p>
    <w:p>
      <w:pPr>
        <w:ind w:right="140" w:firstLine="511"/>
        <w:spacing w:after="0" w:line="261" w:lineRule="auto"/>
        <w:rPr>
          <w:sz w:val="20"/>
          <w:szCs w:val="20"/>
          <w:color w:val="auto"/>
        </w:rPr>
      </w:pPr>
      <w:r>
        <w:rPr>
          <w:rFonts w:ascii="Times New Roman" w:cs="Times New Roman" w:eastAsia="Times New Roman" w:hAnsi="Times New Roman"/>
          <w:sz w:val="14"/>
          <w:szCs w:val="14"/>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4. Fiscal Year.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Except as otherwise determined by the Board of Directors from time to time, the fiscal year of the Corporation shall end on the last day of December of each year.</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Section 5. Time Periods.</w:t>
      </w:r>
    </w:p>
    <w:p>
      <w:pPr>
        <w:spacing w:after="0" w:line="177"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ARTICLE X - AMENDMENTS</w:t>
      </w:r>
    </w:p>
    <w:p>
      <w:pPr>
        <w:spacing w:after="0" w:line="177" w:lineRule="exact"/>
        <w:rPr>
          <w:sz w:val="20"/>
          <w:szCs w:val="20"/>
          <w:color w:val="auto"/>
        </w:rPr>
      </w:pPr>
    </w:p>
    <w:p>
      <w:pPr>
        <w:ind w:right="60" w:firstLine="511"/>
        <w:spacing w:after="0" w:line="267" w:lineRule="auto"/>
        <w:rPr>
          <w:sz w:val="20"/>
          <w:szCs w:val="20"/>
          <w:color w:val="auto"/>
        </w:rPr>
      </w:pPr>
      <w:r>
        <w:rPr>
          <w:rFonts w:ascii="Times New Roman" w:cs="Times New Roman" w:eastAsia="Times New Roman" w:hAnsi="Times New Roman"/>
          <w:sz w:val="14"/>
          <w:szCs w:val="14"/>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963" w:right="399" w:bottom="1440" w:gutter="0" w:footer="0" w:header="0"/>
        </w:sectPr>
      </w:pPr>
    </w:p>
    <w:bookmarkStart w:id="310" w:name="page311"/>
    <w:bookmarkEnd w:id="310"/>
    <w:p>
      <w:pPr>
        <w:ind w:left="10600"/>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3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SIXTH AMENDED AND RESTATED</w:t>
      </w:r>
    </w:p>
    <w:p>
      <w:pPr>
        <w:spacing w:after="0" w:line="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INVESTORS’ RIGHTS AGREEMENT</w:t>
      </w:r>
    </w:p>
    <w:p>
      <w:pPr>
        <w:spacing w:after="0" w:line="159" w:lineRule="exact"/>
        <w:rPr>
          <w:sz w:val="20"/>
          <w:szCs w:val="20"/>
          <w:color w:val="auto"/>
        </w:rPr>
      </w:pPr>
    </w:p>
    <w:p>
      <w:pPr>
        <w:ind w:right="40" w:firstLine="511"/>
        <w:spacing w:after="0" w:line="268" w:lineRule="auto"/>
        <w:rPr>
          <w:sz w:val="20"/>
          <w:szCs w:val="20"/>
          <w:color w:val="auto"/>
        </w:rPr>
      </w:pPr>
      <w:r>
        <w:rPr>
          <w:rFonts w:ascii="Times New Roman" w:cs="Times New Roman" w:eastAsia="Times New Roman" w:hAnsi="Times New Roman"/>
          <w:sz w:val="14"/>
          <w:szCs w:val="14"/>
          <w:color w:val="auto"/>
        </w:rPr>
        <w:t>THIS SIXTH AMENDED AND RESTATED INVESTORS’ RIGHTS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as of the 6</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day of January, 2026, by and among Parabilis Medicines, Inc. (formerly known as “FOG Pharmaceuticals,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each of the investors listed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each of which is referred to in this Agreement as an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xml:space="preserve">” and any Additional Purchaser (as defined in the Purchase Agreement) that becomes a party to this Agreement in accordance with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hereof.</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75" w:lineRule="exact"/>
        <w:rPr>
          <w:sz w:val="20"/>
          <w:szCs w:val="20"/>
          <w:color w:val="auto"/>
        </w:rPr>
      </w:pPr>
    </w:p>
    <w:p>
      <w:pPr>
        <w:ind w:right="8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of the Investors (the “</w:t>
      </w:r>
      <w:r>
        <w:rPr>
          <w:rFonts w:ascii="Times New Roman" w:cs="Times New Roman" w:eastAsia="Times New Roman" w:hAnsi="Times New Roman"/>
          <w:sz w:val="14"/>
          <w:szCs w:val="14"/>
          <w:b w:val="1"/>
          <w:bCs w:val="1"/>
          <w:color w:val="auto"/>
        </w:rPr>
        <w:t>Prior Investors</w:t>
      </w:r>
      <w:r>
        <w:rPr>
          <w:rFonts w:ascii="Times New Roman" w:cs="Times New Roman" w:eastAsia="Times New Roman" w:hAnsi="Times New Roman"/>
          <w:sz w:val="14"/>
          <w:szCs w:val="14"/>
          <w:color w:val="auto"/>
        </w:rPr>
        <w:t>”) hold shares of Series A Preferred Stock, Series B Preferred Stock, Series C Preferred Stock, Series D Preferred Stock and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 Preferred Stock (each as defined herein) and are parties to that certain Fifth Amended and Restated Investors’ Rights Agreement dated as of February 29, 2024 by and among the Company and the Prior Investors named therein (the “</w:t>
      </w:r>
      <w:r>
        <w:rPr>
          <w:rFonts w:ascii="Times New Roman" w:cs="Times New Roman" w:eastAsia="Times New Roman" w:hAnsi="Times New Roman"/>
          <w:sz w:val="14"/>
          <w:szCs w:val="14"/>
          <w:b w:val="1"/>
          <w:bCs w:val="1"/>
          <w:color w:val="auto"/>
        </w:rPr>
        <w:t>Prior IRA</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right="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of the Investors and the Company are party to that certain Series F Preferred Stock Purchase Agreement of even date herewith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the Company will issue to such Investors shares of Series F Preferred Stock;</w:t>
      </w:r>
    </w:p>
    <w:p>
      <w:pPr>
        <w:spacing w:after="0" w:line="121" w:lineRule="exact"/>
        <w:rPr>
          <w:sz w:val="20"/>
          <w:szCs w:val="20"/>
          <w:color w:val="auto"/>
        </w:rPr>
      </w:pPr>
    </w:p>
    <w:p>
      <w:pPr>
        <w:ind w:right="4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Purchase Agreement provides that the execution and delivery of this Agreement is a condition to the obligations of the Company and the Investors under the Purchase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 the Company and the Prior Investors therefore wish to amend and restate the Prior IRA in its entirety;</w:t>
      </w:r>
    </w:p>
    <w:p>
      <w:pPr>
        <w:spacing w:after="0" w:line="121"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Section 6.6 of the Prior IRA provides that the Prior IRA may be amended with the written consent of (i) the Company, (ii) Investors holding at least seventy percent (70%)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issuable or issued upon the conversion of the outstanding Preferred Stock, and such holders have executed and delivered this Agreement.</w:t>
      </w:r>
    </w:p>
    <w:p>
      <w:pPr>
        <w:spacing w:after="0" w:line="121" w:lineRule="exact"/>
        <w:rPr>
          <w:sz w:val="20"/>
          <w:szCs w:val="20"/>
          <w:color w:val="auto"/>
        </w:rPr>
      </w:pPr>
    </w:p>
    <w:p>
      <w:pPr>
        <w:ind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premises and covenants set forth herein, the Company and the Prior Investors hereby agree that the Prior IRA shall be amended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restated in its entirety as set forth herein, and the parties hereto, intending to be legally bound, hereby agree as follows: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Agreement:</w:t>
      </w:r>
    </w:p>
    <w:p>
      <w:pPr>
        <w:spacing w:after="0" w:line="173"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means the Company’s Sixth Amended and Restated Certificate of Incorporation, as amended and/or restated from time to time.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means shares of the Company’s common stock, par value $0.0001 per share.</w:t>
      </w:r>
    </w:p>
    <w:p>
      <w:pPr>
        <w:spacing w:after="0" w:line="175"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Competitor</w:t>
      </w:r>
      <w:r>
        <w:rPr>
          <w:rFonts w:ascii="Times New Roman" w:cs="Times New Roman" w:eastAsia="Times New Roman" w:hAnsi="Times New Roman"/>
          <w:sz w:val="14"/>
          <w:szCs w:val="14"/>
          <w:color w:val="auto"/>
        </w:rPr>
        <w:t>” means a Person engaged, directly or indirectly (including through any partnership, limited liability company, corporation, joint venture or similar arrangement (whether now existing or formed hereafter)), in a business substantially similar to the Company, but shall not include (i)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(ii) Deerfield Private Design Fund III, L.P, Deerfield Healthcare Innovations Fund, L.P. and together with any affiliated funds that are not operating companies (collectively, “</w:t>
      </w:r>
      <w:r>
        <w:rPr>
          <w:rFonts w:ascii="Times New Roman" w:cs="Times New Roman" w:eastAsia="Times New Roman" w:hAnsi="Times New Roman"/>
          <w:sz w:val="14"/>
          <w:szCs w:val="14"/>
          <w:b w:val="1"/>
          <w:bCs w:val="1"/>
          <w:color w:val="auto"/>
        </w:rPr>
        <w:t>Deerfield</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ind w:right="180" w:firstLine="4"/>
        <w:spacing w:after="0" w:line="261" w:lineRule="auto"/>
        <w:tabs>
          <w:tab w:leader="none" w:pos="245"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Dimensions Capital, L.P. and its Affiliates that are not operating companies, (iv) Pivotal Alpha Limited and its Affiliates that are not operating companies, (v) Jeffrey A. Leerink, (vi) Kenneth Novack, (vii) venBio Global Strategic Fund III, L.P.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6"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color w:val="auto"/>
        </w:rPr>
        <w:t>Affiliates that are not operating companies (“</w:t>
      </w:r>
      <w:r>
        <w:rPr>
          <w:rFonts w:ascii="Times New Roman" w:cs="Times New Roman" w:eastAsia="Times New Roman" w:hAnsi="Times New Roman"/>
          <w:sz w:val="14"/>
          <w:szCs w:val="14"/>
          <w:b w:val="1"/>
          <w:bCs w:val="1"/>
          <w:color w:val="auto"/>
        </w:rPr>
        <w:t>venBio</w:t>
      </w:r>
      <w:r>
        <w:rPr>
          <w:rFonts w:ascii="Times New Roman" w:cs="Times New Roman" w:eastAsia="Times New Roman" w:hAnsi="Times New Roman"/>
          <w:sz w:val="14"/>
          <w:szCs w:val="14"/>
          <w:color w:val="auto"/>
        </w:rPr>
        <w:t>”), (viii) GV 2017, L.P., GV 2019, L.P. and their respective Affiliates that are not operating companies (“</w:t>
      </w:r>
      <w:r>
        <w:rPr>
          <w:rFonts w:ascii="Times New Roman" w:cs="Times New Roman" w:eastAsia="Times New Roman" w:hAnsi="Times New Roman"/>
          <w:sz w:val="14"/>
          <w:szCs w:val="14"/>
          <w:b w:val="1"/>
          <w:bCs w:val="1"/>
          <w:color w:val="auto"/>
        </w:rPr>
        <w:t>GV</w:t>
      </w:r>
      <w:r>
        <w:rPr>
          <w:rFonts w:ascii="Times New Roman" w:cs="Times New Roman" w:eastAsia="Times New Roman" w:hAnsi="Times New Roman"/>
          <w:sz w:val="14"/>
          <w:szCs w:val="14"/>
          <w:color w:val="auto"/>
        </w:rPr>
        <w:t>”), (ix) Cormorant Private Healthcare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 IV, LP, Cormorant Private Healthcare Fund III, LP, Cormorant Global Healthcare Master Fund, LP, and CRMA SPV, L.P. and their respective Affiliates that are not operating companies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Cormorant</w:t>
      </w:r>
      <w:r>
        <w:rPr>
          <w:rFonts w:ascii="Times New Roman" w:cs="Times New Roman" w:eastAsia="Times New Roman" w:hAnsi="Times New Roman"/>
          <w:sz w:val="14"/>
          <w:szCs w:val="14"/>
          <w:color w:val="auto"/>
        </w:rPr>
        <w:t>”), (x) The Stuart Partners, LLC and its Affiliates that are not operating companies (“</w:t>
      </w:r>
      <w:r>
        <w:rPr>
          <w:rFonts w:ascii="Times New Roman" w:cs="Times New Roman" w:eastAsia="Times New Roman" w:hAnsi="Times New Roman"/>
          <w:sz w:val="14"/>
          <w:szCs w:val="14"/>
          <w:b w:val="1"/>
          <w:bCs w:val="1"/>
          <w:color w:val="auto"/>
        </w:rPr>
        <w:t>Pags</w:t>
      </w:r>
      <w:r>
        <w:rPr>
          <w:rFonts w:ascii="Times New Roman" w:cs="Times New Roman" w:eastAsia="Times New Roman" w:hAnsi="Times New Roman"/>
          <w:sz w:val="14"/>
          <w:szCs w:val="14"/>
          <w:color w:val="auto"/>
        </w:rPr>
        <w:t>”), (xi) Invus Public Equities, L.P. and its Affiliates that are not operating companies (“</w:t>
      </w:r>
      <w:r>
        <w:rPr>
          <w:rFonts w:ascii="Times New Roman" w:cs="Times New Roman" w:eastAsia="Times New Roman" w:hAnsi="Times New Roman"/>
          <w:sz w:val="14"/>
          <w:szCs w:val="14"/>
          <w:b w:val="1"/>
          <w:bCs w:val="1"/>
          <w:color w:val="auto"/>
        </w:rPr>
        <w:t>Invus</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ind w:left="280" w:hanging="276"/>
        <w:spacing w:after="0"/>
        <w:tabs>
          <w:tab w:leader="none" w:pos="28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Milky Way Investments Group Limited and its Affiliates that are not operating companies (“</w:t>
      </w:r>
      <w:r>
        <w:rPr>
          <w:rFonts w:ascii="Times New Roman" w:cs="Times New Roman" w:eastAsia="Times New Roman" w:hAnsi="Times New Roman"/>
          <w:sz w:val="14"/>
          <w:szCs w:val="14"/>
          <w:b w:val="1"/>
          <w:bCs w:val="1"/>
          <w:color w:val="auto"/>
        </w:rPr>
        <w:t>Milky Way</w:t>
      </w:r>
      <w:r>
        <w:rPr>
          <w:rFonts w:ascii="Times New Roman" w:cs="Times New Roman" w:eastAsia="Times New Roman" w:hAnsi="Times New Roman"/>
          <w:sz w:val="14"/>
          <w:szCs w:val="14"/>
          <w:color w:val="auto"/>
        </w:rPr>
        <w:t>”), (xiii) Fidelity Management &amp; Research Company LLC and its Affiliates (“</w:t>
      </w:r>
      <w:r>
        <w:rPr>
          <w:rFonts w:ascii="Times New Roman" w:cs="Times New Roman" w:eastAsia="Times New Roman" w:hAnsi="Times New Roman"/>
          <w:sz w:val="14"/>
          <w:szCs w:val="14"/>
          <w:b w:val="1"/>
          <w:bCs w:val="1"/>
          <w:color w:val="auto"/>
        </w:rPr>
        <w:t>Fidelity</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right="20" w:firstLine="4"/>
        <w:spacing w:after="0" w:line="252" w:lineRule="auto"/>
        <w:tabs>
          <w:tab w:leader="none" w:pos="30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 Venture Fund XII, L.P. and its Affiliates (“</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14"/>
          <w:szCs w:val="14"/>
          <w:color w:val="auto"/>
        </w:rPr>
        <w:t>”) and Casdin Private Growth Equity Fund, L.P., (xv) Casdin Private Equity Growth Fund II, L.P. (“</w:t>
      </w:r>
      <w:r>
        <w:rPr>
          <w:rFonts w:ascii="Times New Roman" w:cs="Times New Roman" w:eastAsia="Times New Roman" w:hAnsi="Times New Roman"/>
          <w:sz w:val="14"/>
          <w:szCs w:val="14"/>
          <w:b w:val="1"/>
          <w:bCs w:val="1"/>
          <w:color w:val="auto"/>
        </w:rPr>
        <w:t>Casdin</w:t>
      </w:r>
      <w:r>
        <w:rPr>
          <w:rFonts w:ascii="Times New Roman" w:cs="Times New Roman" w:eastAsia="Times New Roman" w:hAnsi="Times New Roman"/>
          <w:sz w:val="14"/>
          <w:szCs w:val="14"/>
          <w:color w:val="auto"/>
        </w:rPr>
        <w:t>”), (xvi) HBM Healthcare Investments (Cayman) Ltd. (“</w:t>
      </w:r>
      <w:r>
        <w:rPr>
          <w:rFonts w:ascii="Times New Roman" w:cs="Times New Roman" w:eastAsia="Times New Roman" w:hAnsi="Times New Roman"/>
          <w:sz w:val="14"/>
          <w:szCs w:val="14"/>
          <w:b w:val="1"/>
          <w:bCs w:val="1"/>
          <w:color w:val="auto"/>
        </w:rPr>
        <w:t>HBM</w:t>
      </w:r>
      <w:r>
        <w:rPr>
          <w:rFonts w:ascii="Times New Roman" w:cs="Times New Roman" w:eastAsia="Times New Roman" w:hAnsi="Times New Roman"/>
          <w:sz w:val="14"/>
          <w:szCs w:val="14"/>
          <w:color w:val="auto"/>
        </w:rPr>
        <w:t>”), (xvii) General Catalyst Group XI – Health Assurance, L.P and its Affiliates (“</w:t>
      </w:r>
      <w:r>
        <w:rPr>
          <w:rFonts w:ascii="Times New Roman" w:cs="Times New Roman" w:eastAsia="Times New Roman" w:hAnsi="Times New Roman"/>
          <w:sz w:val="14"/>
          <w:szCs w:val="14"/>
          <w:b w:val="1"/>
          <w:bCs w:val="1"/>
          <w:color w:val="auto"/>
        </w:rPr>
        <w:t>GC</w:t>
      </w:r>
      <w:r>
        <w:rPr>
          <w:rFonts w:ascii="Times New Roman" w:cs="Times New Roman" w:eastAsia="Times New Roman" w:hAnsi="Times New Roman"/>
          <w:sz w:val="14"/>
          <w:szCs w:val="14"/>
          <w:color w:val="auto"/>
        </w:rPr>
        <w:t>”), (xviii) Nextech VII Oncology SCSp and its Affiliates (“</w:t>
      </w:r>
      <w:r>
        <w:rPr>
          <w:rFonts w:ascii="Times New Roman" w:cs="Times New Roman" w:eastAsia="Times New Roman" w:hAnsi="Times New Roman"/>
          <w:sz w:val="14"/>
          <w:szCs w:val="14"/>
          <w:b w:val="1"/>
          <w:bCs w:val="1"/>
          <w:color w:val="auto"/>
        </w:rPr>
        <w:t>Nextech</w:t>
      </w:r>
      <w:r>
        <w:rPr>
          <w:rFonts w:ascii="Times New Roman" w:cs="Times New Roman" w:eastAsia="Times New Roman" w:hAnsi="Times New Roman"/>
          <w:sz w:val="14"/>
          <w:szCs w:val="14"/>
          <w:color w:val="auto"/>
        </w:rPr>
        <w:t>”), (xix) RA Capital Healthcare Fund, L.P. and RA Capital Nexus Fund III, L.P. and their affiliates (“</w:t>
      </w:r>
      <w:r>
        <w:rPr>
          <w:rFonts w:ascii="Times New Roman" w:cs="Times New Roman" w:eastAsia="Times New Roman" w:hAnsi="Times New Roman"/>
          <w:sz w:val="14"/>
          <w:szCs w:val="14"/>
          <w:b w:val="1"/>
          <w:bCs w:val="1"/>
          <w:color w:val="auto"/>
        </w:rPr>
        <w:t>RA Capital</w:t>
      </w:r>
      <w:r>
        <w:rPr>
          <w:rFonts w:ascii="Times New Roman" w:cs="Times New Roman" w:eastAsia="Times New Roman" w:hAnsi="Times New Roman"/>
          <w:sz w:val="14"/>
          <w:szCs w:val="14"/>
          <w:color w:val="auto"/>
        </w:rPr>
        <w:t>”), (xx) Foresite Capital Fund VI, LP and its Affiliates (“</w:t>
      </w:r>
      <w:r>
        <w:rPr>
          <w:rFonts w:ascii="Times New Roman" w:cs="Times New Roman" w:eastAsia="Times New Roman" w:hAnsi="Times New Roman"/>
          <w:sz w:val="14"/>
          <w:szCs w:val="14"/>
          <w:b w:val="1"/>
          <w:bCs w:val="1"/>
          <w:color w:val="auto"/>
        </w:rPr>
        <w:t>Foresite</w:t>
      </w:r>
      <w:r>
        <w:rPr>
          <w:rFonts w:ascii="Times New Roman" w:cs="Times New Roman" w:eastAsia="Times New Roman" w:hAnsi="Times New Roman"/>
          <w:sz w:val="14"/>
          <w:szCs w:val="14"/>
          <w:color w:val="auto"/>
        </w:rPr>
        <w:t>”) (xxi) MW XO Health Innovations Fund II, LP and its Affiliates (“</w:t>
      </w:r>
      <w:r>
        <w:rPr>
          <w:rFonts w:ascii="Times New Roman" w:cs="Times New Roman" w:eastAsia="Times New Roman" w:hAnsi="Times New Roman"/>
          <w:sz w:val="14"/>
          <w:szCs w:val="14"/>
          <w:b w:val="1"/>
          <w:bCs w:val="1"/>
          <w:color w:val="auto"/>
        </w:rPr>
        <w:t>Marshall Wace</w:t>
      </w:r>
      <w:r>
        <w:rPr>
          <w:rFonts w:ascii="Times New Roman" w:cs="Times New Roman" w:eastAsia="Times New Roman" w:hAnsi="Times New Roman"/>
          <w:sz w:val="14"/>
          <w:szCs w:val="14"/>
          <w:color w:val="auto"/>
        </w:rPr>
        <w:t>”); (xxii) Sixty Degree Capital Fund III L.P. and its Affiliates (“</w:t>
      </w:r>
      <w:r>
        <w:rPr>
          <w:rFonts w:ascii="Times New Roman" w:cs="Times New Roman" w:eastAsia="Times New Roman" w:hAnsi="Times New Roman"/>
          <w:sz w:val="14"/>
          <w:szCs w:val="14"/>
          <w:b w:val="1"/>
          <w:bCs w:val="1"/>
          <w:color w:val="auto"/>
        </w:rPr>
        <w:t>Sixty Degree</w:t>
      </w:r>
      <w:r>
        <w:rPr>
          <w:rFonts w:ascii="Times New Roman" w:cs="Times New Roman" w:eastAsia="Times New Roman" w:hAnsi="Times New Roman"/>
          <w:sz w:val="14"/>
          <w:szCs w:val="14"/>
          <w:color w:val="auto"/>
        </w:rPr>
        <w:t>”), (xiii) Rock Springs Capital Master Fund, LP and Four Pines Master Fund, LP and their Affiliates (“</w:t>
      </w:r>
      <w:r>
        <w:rPr>
          <w:rFonts w:ascii="Times New Roman" w:cs="Times New Roman" w:eastAsia="Times New Roman" w:hAnsi="Times New Roman"/>
          <w:sz w:val="14"/>
          <w:szCs w:val="14"/>
          <w:b w:val="1"/>
          <w:bCs w:val="1"/>
          <w:color w:val="auto"/>
        </w:rPr>
        <w:t>Rock Springs</w:t>
      </w:r>
      <w:r>
        <w:rPr>
          <w:rFonts w:ascii="Times New Roman" w:cs="Times New Roman" w:eastAsia="Times New Roman" w:hAnsi="Times New Roman"/>
          <w:sz w:val="14"/>
          <w:szCs w:val="14"/>
          <w:color w:val="auto"/>
        </w:rPr>
        <w:t>”), (xiv) Baker Brothers Life Sciences, L.P., 667, L.P. and their Affiliates (“</w:t>
      </w:r>
      <w:r>
        <w:rPr>
          <w:rFonts w:ascii="Times New Roman" w:cs="Times New Roman" w:eastAsia="Times New Roman" w:hAnsi="Times New Roman"/>
          <w:sz w:val="14"/>
          <w:szCs w:val="14"/>
          <w:b w:val="1"/>
          <w:bCs w:val="1"/>
          <w:color w:val="auto"/>
        </w:rPr>
        <w:t>Baker Brothers</w:t>
      </w:r>
      <w:r>
        <w:rPr>
          <w:rFonts w:ascii="Times New Roman" w:cs="Times New Roman" w:eastAsia="Times New Roman" w:hAnsi="Times New Roman"/>
          <w:sz w:val="14"/>
          <w:szCs w:val="14"/>
          <w:color w:val="auto"/>
        </w:rPr>
        <w:t>”), (xv) Samsara BioCapital, L.P. and its Affiliates (“</w:t>
      </w:r>
      <w:r>
        <w:rPr>
          <w:rFonts w:ascii="Times New Roman" w:cs="Times New Roman" w:eastAsia="Times New Roman" w:hAnsi="Times New Roman"/>
          <w:sz w:val="14"/>
          <w:szCs w:val="14"/>
          <w:b w:val="1"/>
          <w:bCs w:val="1"/>
          <w:color w:val="auto"/>
        </w:rPr>
        <w:t>Samsara</w:t>
      </w:r>
      <w:r>
        <w:rPr>
          <w:rFonts w:ascii="Times New Roman" w:cs="Times New Roman" w:eastAsia="Times New Roman" w:hAnsi="Times New Roman"/>
          <w:sz w:val="14"/>
          <w:szCs w:val="14"/>
          <w:color w:val="auto"/>
        </w:rPr>
        <w:t>”) and (xvi) Frazier Life Sciences Public Fund, L.P and its Affiliates (“</w:t>
      </w:r>
      <w:r>
        <w:rPr>
          <w:rFonts w:ascii="Times New Roman" w:cs="Times New Roman" w:eastAsia="Times New Roman" w:hAnsi="Times New Roman"/>
          <w:sz w:val="14"/>
          <w:szCs w:val="14"/>
          <w:b w:val="1"/>
          <w:bCs w:val="1"/>
          <w:color w:val="auto"/>
        </w:rPr>
        <w:t>Frazier</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20"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Damages</w:t>
      </w:r>
      <w:r>
        <w:rPr>
          <w:rFonts w:ascii="Times New Roman" w:cs="Times New Roman" w:eastAsia="Times New Roman" w:hAnsi="Times New Roman"/>
          <w:sz w:val="14"/>
          <w:szCs w:val="14"/>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41" w:lineRule="exact"/>
        <w:rPr>
          <w:sz w:val="20"/>
          <w:szCs w:val="20"/>
          <w:color w:val="auto"/>
        </w:rPr>
      </w:pPr>
    </w:p>
    <w:p>
      <w:pPr>
        <w:ind w:right="5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Derivative Securities</w:t>
      </w:r>
      <w:r>
        <w:rPr>
          <w:rFonts w:ascii="Times New Roman" w:cs="Times New Roman" w:eastAsia="Times New Roman" w:hAnsi="Times New Roman"/>
          <w:sz w:val="14"/>
          <w:szCs w:val="14"/>
          <w:color w:val="auto"/>
        </w:rPr>
        <w:t>” means any securities or rights convertible into, or exercisable or exchangeable for (in each case, directly or indirectly)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Common Stock, including options and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DPA</w:t>
      </w:r>
      <w:r>
        <w:rPr>
          <w:rFonts w:ascii="Times New Roman" w:cs="Times New Roman" w:eastAsia="Times New Roman" w:hAnsi="Times New Roman"/>
          <w:sz w:val="14"/>
          <w:szCs w:val="14"/>
          <w:color w:val="auto"/>
        </w:rPr>
        <w:t>” means Section 721 of the Defense Production Act, as amended, including all implementing regulations thereof.</w:t>
      </w:r>
    </w:p>
    <w:p>
      <w:pPr>
        <w:spacing w:after="0" w:line="175" w:lineRule="exact"/>
        <w:rPr>
          <w:sz w:val="20"/>
          <w:szCs w:val="20"/>
          <w:color w:val="auto"/>
        </w:rPr>
      </w:pPr>
    </w:p>
    <w:p>
      <w:pPr>
        <w:ind w:right="100"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DPA Triggering Rights</w:t>
      </w:r>
      <w:r>
        <w:rPr>
          <w:rFonts w:ascii="Times New Roman" w:cs="Times New Roman" w:eastAsia="Times New Roman" w:hAnsi="Times New Roman"/>
          <w:sz w:val="14"/>
          <w:szCs w:val="14"/>
          <w:color w:val="auto"/>
        </w:rPr>
        <w:t>” means (i) “control” (as defined in the DPA); (ii) access to any “material non-public technical information” (as defined in the DPA) in the possession of the Company; (iii) membership or observer rights on the Board of Directors or equivalent governing body of the Company or the right to nominate an individual to a position on the Board of Directors or equivalent governing body of the Company; (iv) any involvement, other than through the voting of shares, in substantive decision-making of the Company regarding (x) the use, development, acquisition or release of any Company “critical technology”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75"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Registration</w:t>
      </w:r>
      <w:r>
        <w:rPr>
          <w:rFonts w:ascii="Times New Roman" w:cs="Times New Roman" w:eastAsia="Times New Roman" w:hAnsi="Times New Roman"/>
          <w:sz w:val="14"/>
          <w:szCs w:val="14"/>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312" w:name="page313"/>
    <w:bookmarkEnd w:id="312"/>
    <w:p>
      <w:pPr>
        <w:ind w:right="4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FOIA Party</w:t>
      </w:r>
      <w:r>
        <w:rPr>
          <w:rFonts w:ascii="Times New Roman" w:cs="Times New Roman" w:eastAsia="Times New Roman" w:hAnsi="Times New Roman"/>
          <w:sz w:val="14"/>
          <w:szCs w:val="14"/>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 w:cs="Times New Roman" w:eastAsia="Times New Roman" w:hAnsi="Times New Roman"/>
          <w:sz w:val="14"/>
          <w:szCs w:val="14"/>
          <w:b w:val="1"/>
          <w:bCs w:val="1"/>
          <w:color w:val="auto"/>
        </w:rPr>
        <w:t>FOIA</w:t>
      </w:r>
      <w:r>
        <w:rPr>
          <w:rFonts w:ascii="Times New Roman" w:cs="Times New Roman" w:eastAsia="Times New Roman" w:hAnsi="Times New Roman"/>
          <w:sz w:val="14"/>
          <w:szCs w:val="14"/>
          <w:color w:val="auto"/>
        </w:rPr>
        <w:t>”), any state public records access law, any state or other jurisdiction’s laws similar in intent or effect to FOIA, or any other similar statutory or regulatory requirement.</w:t>
      </w:r>
    </w:p>
    <w:p>
      <w:pPr>
        <w:spacing w:after="0" w:line="133"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Person</w:t>
      </w:r>
      <w:r>
        <w:rPr>
          <w:rFonts w:ascii="Times New Roman" w:cs="Times New Roman" w:eastAsia="Times New Roman" w:hAnsi="Times New Roman"/>
          <w:sz w:val="14"/>
          <w:szCs w:val="14"/>
          <w:color w:val="auto"/>
        </w:rPr>
        <w:t>” means either (i) a Person or government that is a “foreign person” within the meaning of the DPA or (ii) a Person through whose investment a “foreign person” within the meaning of the DPA would obtain any DPA Triggering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 S-1</w:t>
      </w:r>
      <w:r>
        <w:rPr>
          <w:rFonts w:ascii="Times New Roman" w:cs="Times New Roman" w:eastAsia="Times New Roman" w:hAnsi="Times New Roman"/>
          <w:sz w:val="14"/>
          <w:szCs w:val="14"/>
          <w:color w:val="auto"/>
        </w:rPr>
        <w:t>” means such form under the Securities Act as in effect on the date hereof or any successor registration form under the Securities Act subsequently adopted by the SEC.</w:t>
      </w:r>
    </w:p>
    <w:p>
      <w:pPr>
        <w:spacing w:after="0" w:line="175"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 S-3</w:t>
      </w:r>
      <w:r>
        <w:rPr>
          <w:rFonts w:ascii="Times New Roman" w:cs="Times New Roman" w:eastAsia="Times New Roman" w:hAnsi="Times New Roman"/>
          <w:sz w:val="14"/>
          <w:szCs w:val="14"/>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in the United States as in effect from time to time.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means any holder of Registrable Securities who is a party to this Agreement.</w:t>
      </w:r>
    </w:p>
    <w:p>
      <w:pPr>
        <w:spacing w:after="0" w:line="175"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Immediate Family Member</w:t>
      </w:r>
      <w:r>
        <w:rPr>
          <w:rFonts w:ascii="Times New Roman" w:cs="Times New Roman" w:eastAsia="Times New Roman" w:hAnsi="Times New Roman"/>
          <w:sz w:val="14"/>
          <w:szCs w:val="14"/>
          <w:color w:val="auto"/>
        </w:rPr>
        <w:t>” means a child, stepchild, grandchild, parent, stepparent, grandparent, spouse, life partner or similar statutorily recognized domestic partner, sibling, mother-in-law, father-in-law, son-in-law, daughter-in-law, brother-in-law, or sister-in-law, including, adoptive relationships, of a natural person referred to herein.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Initiating Holders</w:t>
      </w:r>
      <w:r>
        <w:rPr>
          <w:rFonts w:ascii="Times New Roman" w:cs="Times New Roman" w:eastAsia="Times New Roman" w:hAnsi="Times New Roman"/>
          <w:sz w:val="14"/>
          <w:szCs w:val="14"/>
          <w:color w:val="auto"/>
        </w:rPr>
        <w:t>” means, collectively, Holders who properly initiate a registration request under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means the Company’s first underwritten public offering of its Common Stock under the Securities Act.</w:t>
      </w:r>
    </w:p>
    <w:p>
      <w:pPr>
        <w:spacing w:after="0" w:line="175" w:lineRule="exact"/>
        <w:rPr>
          <w:sz w:val="20"/>
          <w:szCs w:val="20"/>
          <w:color w:val="auto"/>
        </w:rPr>
      </w:pPr>
    </w:p>
    <w:p>
      <w:pPr>
        <w:ind w:right="2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Key Employee</w:t>
      </w:r>
      <w:r>
        <w:rPr>
          <w:rFonts w:ascii="Times New Roman" w:cs="Times New Roman" w:eastAsia="Times New Roman" w:hAnsi="Times New Roman"/>
          <w:sz w:val="14"/>
          <w:szCs w:val="14"/>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21" w:lineRule="exact"/>
        <w:rPr>
          <w:sz w:val="20"/>
          <w:szCs w:val="20"/>
          <w:color w:val="auto"/>
        </w:rPr>
      </w:pPr>
    </w:p>
    <w:p>
      <w:pPr>
        <w:ind w:right="3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 Investor</w:t>
      </w:r>
      <w:r>
        <w:rPr>
          <w:rFonts w:ascii="Times New Roman" w:cs="Times New Roman" w:eastAsia="Times New Roman" w:hAnsi="Times New Roman"/>
          <w:sz w:val="14"/>
          <w:szCs w:val="14"/>
          <w:color w:val="auto"/>
        </w:rPr>
        <w:t>” means any Investor that, individually or together with such Investor’s Affiliates, holds at least 700,000 shares of Preferred Stock (as adjusted for any stock split, stock dividend, combination, or other recapitalization or reclassification effected after the date hereof).</w:t>
      </w:r>
    </w:p>
    <w:p>
      <w:pPr>
        <w:spacing w:after="0" w:line="121" w:lineRule="exact"/>
        <w:rPr>
          <w:sz w:val="20"/>
          <w:szCs w:val="20"/>
          <w:color w:val="auto"/>
        </w:rPr>
      </w:pPr>
    </w:p>
    <w:p>
      <w:pPr>
        <w:ind w:right="4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Securities</w:t>
      </w:r>
      <w:r>
        <w:rPr>
          <w:rFonts w:ascii="Times New Roman" w:cs="Times New Roman" w:eastAsia="Times New Roman" w:hAnsi="Times New Roman"/>
          <w:sz w:val="14"/>
          <w:szCs w:val="14"/>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corporation, partnership, trust, limited liability company, association or other entity.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Preferred Directors</w:t>
      </w:r>
      <w:r>
        <w:rPr>
          <w:rFonts w:ascii="Times New Roman" w:cs="Times New Roman" w:eastAsia="Times New Roman" w:hAnsi="Times New Roman"/>
          <w:sz w:val="14"/>
          <w:szCs w:val="14"/>
          <w:color w:val="auto"/>
        </w:rPr>
        <w:t>” means the Series A Director, the Series B Director, the Series C Director, the Series D Director, the Series E Director and the Series F Director.</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means the Series A Preferred Stock, Series B Preferred Stock, Series C Preferred Stock, Series D Preferred Stock, the Series E Preferred Stock and the Series F Preferred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59"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Registrable Securities</w:t>
      </w:r>
      <w:r>
        <w:rPr>
          <w:rFonts w:ascii="Times New Roman" w:cs="Times New Roman" w:eastAsia="Times New Roman" w:hAnsi="Times New Roman"/>
          <w:sz w:val="14"/>
          <w:szCs w:val="14"/>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held by the Investors from time to time;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4"/>
          <w:szCs w:val="14"/>
          <w:u w:val="single" w:color="auto"/>
          <w:color w:val="auto"/>
        </w:rPr>
        <w:t>Subsection 6.1</w:t>
      </w:r>
      <w:r>
        <w:rPr>
          <w:rFonts w:ascii="Times New Roman" w:cs="Times New Roman" w:eastAsia="Times New Roman" w:hAnsi="Times New Roman"/>
          <w:sz w:val="14"/>
          <w:szCs w:val="14"/>
          <w:color w:val="auto"/>
        </w:rPr>
        <w:t xml:space="preserve">, and excluding for purposes of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any shares for which registration rights have terminated pursuant to </w:t>
      </w:r>
      <w:r>
        <w:rPr>
          <w:rFonts w:ascii="Times New Roman" w:cs="Times New Roman" w:eastAsia="Times New Roman" w:hAnsi="Times New Roman"/>
          <w:sz w:val="14"/>
          <w:szCs w:val="14"/>
          <w:u w:val="single" w:color="auto"/>
          <w:color w:val="auto"/>
        </w:rPr>
        <w:t>Subsection 2.13</w:t>
      </w:r>
      <w:r>
        <w:rPr>
          <w:rFonts w:ascii="Times New Roman" w:cs="Times New Roman" w:eastAsia="Times New Roman" w:hAnsi="Times New Roman"/>
          <w:sz w:val="14"/>
          <w:szCs w:val="14"/>
          <w:color w:val="auto"/>
        </w:rPr>
        <w:t xml:space="preserve"> of this Agreement.</w:t>
      </w:r>
    </w:p>
    <w:p>
      <w:pPr>
        <w:spacing w:after="0" w:line="141" w:lineRule="exact"/>
        <w:rPr>
          <w:sz w:val="20"/>
          <w:szCs w:val="20"/>
          <w:color w:val="auto"/>
        </w:rPr>
      </w:pPr>
    </w:p>
    <w:p>
      <w:pPr>
        <w:ind w:right="3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Registrable Securities then outstanding</w:t>
      </w:r>
      <w:r>
        <w:rPr>
          <w:rFonts w:ascii="Times New Roman" w:cs="Times New Roman" w:eastAsia="Times New Roman" w:hAnsi="Times New Roman"/>
          <w:sz w:val="14"/>
          <w:szCs w:val="14"/>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461645</wp:posOffset>
            </wp:positionV>
            <wp:extent cx="7188200"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313" w:name="page314"/>
    <w:bookmarkEnd w:id="313"/>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Securities</w:t>
      </w:r>
      <w:r>
        <w:rPr>
          <w:rFonts w:ascii="Times New Roman" w:cs="Times New Roman" w:eastAsia="Times New Roman" w:hAnsi="Times New Roman"/>
          <w:sz w:val="14"/>
          <w:szCs w:val="14"/>
          <w:color w:val="auto"/>
        </w:rPr>
        <w:t xml:space="preserve">” means the securities of the Company required to be notated with the legend set forth in </w:t>
      </w:r>
      <w:r>
        <w:rPr>
          <w:rFonts w:ascii="Times New Roman" w:cs="Times New Roman" w:eastAsia="Times New Roman" w:hAnsi="Times New Roman"/>
          <w:sz w:val="14"/>
          <w:szCs w:val="14"/>
          <w:u w:val="single" w:color="auto"/>
          <w:color w:val="auto"/>
        </w:rPr>
        <w:t>Subsection 2.12(b)</w:t>
      </w:r>
      <w:r>
        <w:rPr>
          <w:rFonts w:ascii="Times New Roman" w:cs="Times New Roman" w:eastAsia="Times New Roman" w:hAnsi="Times New Roman"/>
          <w:sz w:val="14"/>
          <w:szCs w:val="14"/>
          <w:color w:val="auto"/>
        </w:rPr>
        <w:t xml:space="preserve"> hereof.</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Securities and Exchange Commission.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 Rule 144</w:t>
      </w:r>
      <w:r>
        <w:rPr>
          <w:rFonts w:ascii="Times New Roman" w:cs="Times New Roman" w:eastAsia="Times New Roman" w:hAnsi="Times New Roman"/>
          <w:sz w:val="14"/>
          <w:szCs w:val="14"/>
          <w:color w:val="auto"/>
        </w:rPr>
        <w:t>” means Rule 144 promulgated by the SEC under the Securities Act.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 Rule 145</w:t>
      </w:r>
      <w:r>
        <w:rPr>
          <w:rFonts w:ascii="Times New Roman" w:cs="Times New Roman" w:eastAsia="Times New Roman" w:hAnsi="Times New Roman"/>
          <w:sz w:val="14"/>
          <w:szCs w:val="14"/>
          <w:color w:val="auto"/>
        </w:rPr>
        <w:t>” means Rule 145 promulgated by the SEC under the Securities Act.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75"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Selling Expenses</w:t>
      </w:r>
      <w:r>
        <w:rPr>
          <w:rFonts w:ascii="Times New Roman" w:cs="Times New Roman" w:eastAsia="Times New Roman" w:hAnsi="Times New Roman"/>
          <w:sz w:val="14"/>
          <w:szCs w:val="14"/>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4"/>
          <w:szCs w:val="14"/>
          <w:u w:val="single" w:color="auto"/>
          <w:color w:val="auto"/>
        </w:rPr>
        <w:t>Subsection 2.6</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A Director</w:t>
      </w:r>
      <w:r>
        <w:rPr>
          <w:rFonts w:ascii="Times New Roman" w:cs="Times New Roman" w:eastAsia="Times New Roman" w:hAnsi="Times New Roman"/>
          <w:sz w:val="14"/>
          <w:szCs w:val="14"/>
          <w:color w:val="auto"/>
        </w:rPr>
        <w:t>” means any director of the Company that the holders of record of the Series A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A Preferred Stock</w:t>
      </w:r>
      <w:r>
        <w:rPr>
          <w:rFonts w:ascii="Times New Roman" w:cs="Times New Roman" w:eastAsia="Times New Roman" w:hAnsi="Times New Roman"/>
          <w:sz w:val="14"/>
          <w:szCs w:val="14"/>
          <w:color w:val="auto"/>
        </w:rPr>
        <w:t>” means shares of the Company’s Series A Preferred Stock, par value $0.0001 per share.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B Director</w:t>
      </w:r>
      <w:r>
        <w:rPr>
          <w:rFonts w:ascii="Times New Roman" w:cs="Times New Roman" w:eastAsia="Times New Roman" w:hAnsi="Times New Roman"/>
          <w:sz w:val="14"/>
          <w:szCs w:val="14"/>
          <w:color w:val="auto"/>
        </w:rPr>
        <w:t>” means any director of the Company that the holders of record of the Series B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B Preferred Stock</w:t>
      </w:r>
      <w:r>
        <w:rPr>
          <w:rFonts w:ascii="Times New Roman" w:cs="Times New Roman" w:eastAsia="Times New Roman" w:hAnsi="Times New Roman"/>
          <w:sz w:val="14"/>
          <w:szCs w:val="14"/>
          <w:color w:val="auto"/>
        </w:rPr>
        <w:t>” means shares of the Company’s Series B Preferred Stock, par value $0.0001 per share.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C Director</w:t>
      </w:r>
      <w:r>
        <w:rPr>
          <w:rFonts w:ascii="Times New Roman" w:cs="Times New Roman" w:eastAsia="Times New Roman" w:hAnsi="Times New Roman"/>
          <w:sz w:val="14"/>
          <w:szCs w:val="14"/>
          <w:color w:val="auto"/>
        </w:rPr>
        <w:t>” means any director of the Company that the holders of record of the Series C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C Preferred Stock</w:t>
      </w:r>
      <w:r>
        <w:rPr>
          <w:rFonts w:ascii="Times New Roman" w:cs="Times New Roman" w:eastAsia="Times New Roman" w:hAnsi="Times New Roman"/>
          <w:sz w:val="14"/>
          <w:szCs w:val="14"/>
          <w:color w:val="auto"/>
        </w:rPr>
        <w:t>” means shares of the Company’s Series C Preferred Stock, par value $0.0001 per share.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D Director</w:t>
      </w:r>
      <w:r>
        <w:rPr>
          <w:rFonts w:ascii="Times New Roman" w:cs="Times New Roman" w:eastAsia="Times New Roman" w:hAnsi="Times New Roman"/>
          <w:sz w:val="14"/>
          <w:szCs w:val="14"/>
          <w:color w:val="auto"/>
        </w:rPr>
        <w:t>” means any director of the Company that the holders of record of the Series D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D Preferred Stock</w:t>
      </w:r>
      <w:r>
        <w:rPr>
          <w:rFonts w:ascii="Times New Roman" w:cs="Times New Roman" w:eastAsia="Times New Roman" w:hAnsi="Times New Roman"/>
          <w:sz w:val="14"/>
          <w:szCs w:val="14"/>
          <w:color w:val="auto"/>
        </w:rPr>
        <w:t>” means shares of the Company’s Series D Preferred Stock, par value $0.0001 per share.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E Director</w:t>
      </w:r>
      <w:r>
        <w:rPr>
          <w:rFonts w:ascii="Times New Roman" w:cs="Times New Roman" w:eastAsia="Times New Roman" w:hAnsi="Times New Roman"/>
          <w:sz w:val="14"/>
          <w:szCs w:val="14"/>
          <w:color w:val="auto"/>
        </w:rPr>
        <w:t>” means any director of the Company that the holders of record of the Series E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E Preferred Stock</w:t>
      </w:r>
      <w:r>
        <w:rPr>
          <w:rFonts w:ascii="Times New Roman" w:cs="Times New Roman" w:eastAsia="Times New Roman" w:hAnsi="Times New Roman"/>
          <w:sz w:val="14"/>
          <w:szCs w:val="14"/>
          <w:color w:val="auto"/>
        </w:rPr>
        <w:t>” means shares of the Company’s Series E Preferred Stock, par value $0.0001 per share.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F Director</w:t>
      </w:r>
      <w:r>
        <w:rPr>
          <w:rFonts w:ascii="Times New Roman" w:cs="Times New Roman" w:eastAsia="Times New Roman" w:hAnsi="Times New Roman"/>
          <w:sz w:val="14"/>
          <w:szCs w:val="14"/>
          <w:color w:val="auto"/>
        </w:rPr>
        <w:t>” means any director of the Company that the holders of record of the Series F Preferred Stock are entitled to elect pursuant to the Company’s Certificate of Incorporation.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F Preferred Stock</w:t>
      </w:r>
      <w:r>
        <w:rPr>
          <w:rFonts w:ascii="Times New Roman" w:cs="Times New Roman" w:eastAsia="Times New Roman" w:hAnsi="Times New Roman"/>
          <w:sz w:val="14"/>
          <w:szCs w:val="14"/>
          <w:color w:val="auto"/>
        </w:rPr>
        <w:t>” means shares of the Company’s Series F Preferred Stock, par value $0.0001 per share.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The Company covenants and agrees as follows: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Demand Registration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1666"/>
        <w:spacing w:after="0" w:line="256" w:lineRule="auto"/>
        <w:tabs>
          <w:tab w:leader="none" w:pos="185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S-1 Demand</w:t>
      </w:r>
      <w:r>
        <w:rPr>
          <w:rFonts w:ascii="Times New Roman" w:cs="Times New Roman" w:eastAsia="Times New Roman" w:hAnsi="Times New Roman"/>
          <w:sz w:val="14"/>
          <w:szCs w:val="14"/>
          <w:color w:val="auto"/>
        </w:rPr>
        <w:t>. If at any time after twelve (12) months after the effective date of the registration statement for the IPO, the Company receives a request from Holders of twenty-five percent (25%) of the Registrable Securities then outstanding that the Company file a Form S-1 registration statement with respect to the Registrable Securities then outstanding having an anticipated aggregate offering price, net of Selling Expenses, of at least $10 million, then the Company shall (x) within ten (10) days after the date such request is given, give notice thereof (the “</w:t>
      </w:r>
      <w:r>
        <w:rPr>
          <w:rFonts w:ascii="Times New Roman" w:cs="Times New Roman" w:eastAsia="Times New Roman" w:hAnsi="Times New Roman"/>
          <w:sz w:val="14"/>
          <w:szCs w:val="14"/>
          <w:b w:val="1"/>
          <w:bCs w:val="1"/>
          <w:color w:val="auto"/>
        </w:rPr>
        <w:t>Demand Notice</w:t>
      </w:r>
      <w:r>
        <w:rPr>
          <w:rFonts w:ascii="Times New Roman" w:cs="Times New Roman" w:eastAsia="Times New Roman" w:hAnsi="Times New Roman"/>
          <w:sz w:val="14"/>
          <w:szCs w:val="14"/>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5" w:right="359" w:bottom="1440" w:gutter="0" w:footer="0" w:header="0"/>
        </w:sectPr>
      </w:pPr>
    </w:p>
    <w:bookmarkStart w:id="314" w:name="page315"/>
    <w:bookmarkEnd w:id="314"/>
    <w:p>
      <w:pPr>
        <w:ind w:right="40"/>
        <w:spacing w:after="0" w:line="283" w:lineRule="auto"/>
        <w:rPr>
          <w:sz w:val="20"/>
          <w:szCs w:val="20"/>
          <w:color w:val="auto"/>
        </w:rPr>
      </w:pPr>
      <w:r>
        <w:rPr>
          <w:rFonts w:ascii="Times New Roman" w:cs="Times New Roman" w:eastAsia="Times New Roman" w:hAnsi="Times New Roman"/>
          <w:sz w:val="14"/>
          <w:szCs w:val="14"/>
          <w:color w:val="auto"/>
        </w:rPr>
        <w:t xml:space="preserve">subject to the limitations of </w:t>
      </w:r>
      <w:r>
        <w:rPr>
          <w:rFonts w:ascii="Times New Roman" w:cs="Times New Roman" w:eastAsia="Times New Roman" w:hAnsi="Times New Roman"/>
          <w:sz w:val="14"/>
          <w:szCs w:val="14"/>
          <w:u w:val="single" w:color="auto"/>
          <w:color w:val="auto"/>
        </w:rPr>
        <w:t>Subsections 2.1(c)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 provided, however, that this right to request the filing of a Form S-1 registration statement shall in no event be made available to any Holder that is a Foreign Person.</w:t>
      </w:r>
    </w:p>
    <w:p>
      <w:pPr>
        <w:spacing w:after="0" w:line="41" w:lineRule="exact"/>
        <w:rPr>
          <w:sz w:val="20"/>
          <w:szCs w:val="20"/>
          <w:color w:val="auto"/>
        </w:rPr>
      </w:pPr>
    </w:p>
    <w:p>
      <w:pPr>
        <w:ind w:right="40" w:firstLine="1666"/>
        <w:spacing w:after="0" w:line="257" w:lineRule="auto"/>
        <w:tabs>
          <w:tab w:leader="none" w:pos="186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S-3 Demand</w:t>
      </w:r>
      <w:r>
        <w:rPr>
          <w:rFonts w:ascii="Times New Roman" w:cs="Times New Roman" w:eastAsia="Times New Roman" w:hAnsi="Times New Roman"/>
          <w:sz w:val="14"/>
          <w:szCs w:val="14"/>
          <w:color w:val="auto"/>
        </w:rPr>
        <w:t xml:space="preserve">.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4"/>
          <w:szCs w:val="14"/>
          <w:u w:val="single" w:color="auto"/>
          <w:color w:val="auto"/>
        </w:rPr>
        <w:t>Subsections 2.1(c)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right="80" w:firstLine="1666"/>
        <w:spacing w:after="0" w:line="255" w:lineRule="auto"/>
        <w:tabs>
          <w:tab w:leader="none" w:pos="185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may not invoke this right more than once in any twelve (12) month period;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Company shall not register any securities for its own account or that of any other stockholder during such one hundred twenty (120) day period other than an Excluded Registration.</w:t>
      </w:r>
    </w:p>
    <w:p>
      <w:pPr>
        <w:spacing w:after="0" w:line="61" w:lineRule="exact"/>
        <w:rPr>
          <w:rFonts w:ascii="Times New Roman" w:cs="Times New Roman" w:eastAsia="Times New Roman" w:hAnsi="Times New Roman"/>
          <w:sz w:val="14"/>
          <w:szCs w:val="14"/>
          <w:color w:val="auto"/>
        </w:rPr>
      </w:pPr>
    </w:p>
    <w:p>
      <w:pPr>
        <w:ind w:firstLine="1666"/>
        <w:spacing w:after="0" w:line="253" w:lineRule="auto"/>
        <w:tabs>
          <w:tab w:leader="none" w:pos="186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not be obligated to effect, or to take any action to effect, any registration pursuant to </w:t>
      </w:r>
      <w:r>
        <w:rPr>
          <w:rFonts w:ascii="Times New Roman" w:cs="Times New Roman" w:eastAsia="Times New Roman" w:hAnsi="Times New Roman"/>
          <w:sz w:val="14"/>
          <w:szCs w:val="14"/>
          <w:u w:val="single" w:color="auto"/>
          <w:color w:val="auto"/>
        </w:rPr>
        <w:t>Subsection 2.1(a)</w:t>
      </w:r>
      <w:r>
        <w:rPr>
          <w:rFonts w:ascii="Times New Roman" w:cs="Times New Roman" w:eastAsia="Times New Roman" w:hAnsi="Times New Roman"/>
          <w:sz w:val="14"/>
          <w:szCs w:val="14"/>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4"/>
          <w:szCs w:val="14"/>
          <w:u w:val="single" w:color="auto"/>
          <w:color w:val="auto"/>
        </w:rPr>
        <w:t>Subsection 2.1(a)</w:t>
      </w:r>
      <w:r>
        <w:rPr>
          <w:rFonts w:ascii="Times New Roman" w:cs="Times New Roman" w:eastAsia="Times New Roman" w:hAnsi="Times New Roman"/>
          <w:sz w:val="14"/>
          <w:szCs w:val="14"/>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4"/>
          <w:szCs w:val="14"/>
          <w:u w:val="single" w:color="auto"/>
          <w:color w:val="auto"/>
        </w:rPr>
        <w:t>Subsection 2.1(b)</w:t>
      </w:r>
      <w:r>
        <w:rPr>
          <w:rFonts w:ascii="Times New Roman" w:cs="Times New Roman" w:eastAsia="Times New Roman" w:hAnsi="Times New Roman"/>
          <w:sz w:val="14"/>
          <w:szCs w:val="14"/>
          <w:color w:val="auto"/>
        </w:rPr>
        <w:t xml:space="preserve">. The Company shall not be obligated to effect, or to take any action to effect, any registration pursuant to </w:t>
      </w:r>
      <w:r>
        <w:rPr>
          <w:rFonts w:ascii="Times New Roman" w:cs="Times New Roman" w:eastAsia="Times New Roman" w:hAnsi="Times New Roman"/>
          <w:sz w:val="14"/>
          <w:szCs w:val="14"/>
          <w:u w:val="single" w:color="auto"/>
          <w:color w:val="auto"/>
        </w:rPr>
        <w:t>Subsection 2.1(b)</w:t>
      </w:r>
      <w:r>
        <w:rPr>
          <w:rFonts w:ascii="Times New Roman" w:cs="Times New Roman" w:eastAsia="Times New Roman" w:hAnsi="Times New Roman"/>
          <w:sz w:val="14"/>
          <w:szCs w:val="14"/>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4"/>
          <w:szCs w:val="14"/>
          <w:u w:val="single" w:color="auto"/>
          <w:color w:val="auto"/>
        </w:rPr>
        <w:t>Subsection 2.1(b)</w:t>
      </w:r>
      <w:r>
        <w:rPr>
          <w:rFonts w:ascii="Times New Roman" w:cs="Times New Roman" w:eastAsia="Times New Roman" w:hAnsi="Times New Roman"/>
          <w:sz w:val="14"/>
          <w:szCs w:val="14"/>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4"/>
          <w:szCs w:val="14"/>
          <w:u w:val="single" w:color="auto"/>
          <w:color w:val="auto"/>
        </w:rPr>
        <w:t>Subsection 2.1(d)</w:t>
      </w:r>
      <w:r>
        <w:rPr>
          <w:rFonts w:ascii="Times New Roman" w:cs="Times New Roman" w:eastAsia="Times New Roman" w:hAnsi="Times New Roman"/>
          <w:sz w:val="14"/>
          <w:szCs w:val="14"/>
          <w:color w:val="auto"/>
        </w:rPr>
        <w:t xml:space="preserve"> until such time as the applicable registration statement, covering all Registrable Securities required to be registered, has been declared effective by the SEC, unless the Initiating Holders withdraw their request for such registration (other than promptly following becoming aware of a material adverse change in the condition, business, or prospects of the Company from that known to the Holders at the time of their request), elect not to pay the registration expenses therefor, and forfeit their right to one demand registration statement pursuant to </w:t>
      </w:r>
      <w:r>
        <w:rPr>
          <w:rFonts w:ascii="Times New Roman" w:cs="Times New Roman" w:eastAsia="Times New Roman" w:hAnsi="Times New Roman"/>
          <w:sz w:val="14"/>
          <w:szCs w:val="14"/>
          <w:u w:val="single" w:color="auto"/>
          <w:color w:val="auto"/>
        </w:rPr>
        <w:t>Subsection 2.6</w:t>
      </w:r>
      <w:r>
        <w:rPr>
          <w:rFonts w:ascii="Times New Roman" w:cs="Times New Roman" w:eastAsia="Times New Roman" w:hAnsi="Times New Roman"/>
          <w:sz w:val="14"/>
          <w:szCs w:val="14"/>
          <w:color w:val="auto"/>
        </w:rPr>
        <w:t xml:space="preserve">, in which case such withdrawn registration statement shall be counted as “effected” for purposes of this </w:t>
      </w:r>
      <w:r>
        <w:rPr>
          <w:rFonts w:ascii="Times New Roman" w:cs="Times New Roman" w:eastAsia="Times New Roman" w:hAnsi="Times New Roman"/>
          <w:sz w:val="14"/>
          <w:szCs w:val="14"/>
          <w:u w:val="single" w:color="auto"/>
          <w:color w:val="auto"/>
        </w:rPr>
        <w:t>Subsection 2.1(d)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withdrawal is during a period the Company has deferred taking action pursuant to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w:t>
      </w:r>
    </w:p>
    <w:p>
      <w:pPr>
        <w:spacing w:after="0" w:line="64" w:lineRule="exact"/>
        <w:rPr>
          <w:rFonts w:ascii="Times New Roman" w:cs="Times New Roman" w:eastAsia="Times New Roman" w:hAnsi="Times New Roman"/>
          <w:sz w:val="14"/>
          <w:szCs w:val="14"/>
          <w:color w:val="auto"/>
        </w:rPr>
      </w:pPr>
    </w:p>
    <w:p>
      <w:pPr>
        <w:ind w:firstLine="1666"/>
        <w:spacing w:after="0" w:line="258" w:lineRule="auto"/>
        <w:tabs>
          <w:tab w:leader="none" w:pos="185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and without limiting the foregoing provisions of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in the event that a Holder is an Affiliate of the Company and would not be permitted to sell all of its Registrable Securities pursuant to SEC Rule 144 within a single three-month period, such Holder will have the right to require the Company to register on Form S-1 or Form S-3 (if available for use by the Company) such Holder’s Registrable Securities for re-sale (and not an underwritten offering), provided that the registration is for at least 50% of the Registrable Securities held by such Affiliate Holder and is for an aggregate offering price of at least $3 million per registration. There will be no limit on the aggregate number of such registrations, provided that there are no more than two (2) of any of the foregoing registrations per year.</w:t>
      </w:r>
    </w:p>
    <w:p>
      <w:pPr>
        <w:spacing w:after="0" w:line="144" w:lineRule="exact"/>
        <w:rPr>
          <w:sz w:val="20"/>
          <w:szCs w:val="20"/>
          <w:color w:val="auto"/>
        </w:rPr>
      </w:pPr>
    </w:p>
    <w:p>
      <w:pPr>
        <w:ind w:right="10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Company Registration</w:t>
      </w:r>
      <w:r>
        <w:rPr>
          <w:rFonts w:ascii="Times New Roman" w:cs="Times New Roman" w:eastAsia="Times New Roman" w:hAnsi="Times New Roman"/>
          <w:sz w:val="14"/>
          <w:szCs w:val="14"/>
          <w:color w:val="auto"/>
        </w:rPr>
        <w:t xml:space="preserve">. If the Company proposes to register (including, for this purpose, a registration effected by the Company for stockholders other than the Holders) of any of its Common Stock under the Securities Act in connection with the public offering of such securities solely for cash (other than in an Excluded Registration or a registration pursuant to </w:t>
      </w:r>
      <w:r>
        <w:rPr>
          <w:rFonts w:ascii="Times New Roman" w:cs="Times New Roman" w:eastAsia="Times New Roman" w:hAnsi="Times New Roman"/>
          <w:sz w:val="14"/>
          <w:szCs w:val="14"/>
          <w:u w:val="single" w:color="auto"/>
          <w:color w:val="auto"/>
        </w:rPr>
        <w:t>Subsection</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4"/>
          <w:szCs w:val="14"/>
          <w:u w:val="single" w:color="auto"/>
          <w:color w:val="auto"/>
        </w:rPr>
        <w:t>Subsection 2.3</w:t>
      </w:r>
      <w:r>
        <w:rPr>
          <w:rFonts w:ascii="Times New Roman" w:cs="Times New Roman" w:eastAsia="Times New Roman" w:hAnsi="Times New Roman"/>
          <w:sz w:val="14"/>
          <w:szCs w:val="14"/>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4"/>
          <w:szCs w:val="14"/>
          <w:u w:val="single" w:color="auto"/>
          <w:color w:val="auto"/>
        </w:rPr>
        <w:t>Subsection 2.2</w:t>
      </w:r>
      <w:r>
        <w:rPr>
          <w:rFonts w:ascii="Times New Roman" w:cs="Times New Roman" w:eastAsia="Times New Roman" w:hAnsi="Times New Roman"/>
          <w:sz w:val="14"/>
          <w:szCs w:val="14"/>
          <w:color w:val="auto"/>
        </w:rPr>
        <w:t xml:space="preserve"> before the effective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15" w:name="page316"/>
    <w:bookmarkEnd w:id="315"/>
    <w:p>
      <w:pPr>
        <w:spacing w:after="0" w:line="283" w:lineRule="auto"/>
        <w:rPr>
          <w:sz w:val="20"/>
          <w:szCs w:val="20"/>
          <w:color w:val="auto"/>
        </w:rPr>
      </w:pPr>
      <w:r>
        <w:rPr>
          <w:rFonts w:ascii="Times New Roman" w:cs="Times New Roman" w:eastAsia="Times New Roman" w:hAnsi="Times New Roman"/>
          <w:sz w:val="14"/>
          <w:szCs w:val="14"/>
          <w:color w:val="auto"/>
        </w:rPr>
        <w:t xml:space="preserve">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4"/>
          <w:szCs w:val="14"/>
          <w:u w:val="single" w:color="auto"/>
          <w:color w:val="auto"/>
        </w:rPr>
        <w:t>Subsection 2.6</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Underwriting Requirements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1666"/>
        <w:spacing w:after="0" w:line="253" w:lineRule="auto"/>
        <w:tabs>
          <w:tab w:leader="none" w:pos="185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4"/>
          <w:szCs w:val="14"/>
          <w:u w:val="single" w:color="auto"/>
          <w:color w:val="auto"/>
        </w:rPr>
        <w:t>Subsection 2.4(e)</w:t>
      </w:r>
      <w:r>
        <w:rPr>
          <w:rFonts w:ascii="Times New Roman" w:cs="Times New Roman" w:eastAsia="Times New Roman" w:hAnsi="Times New Roman"/>
          <w:sz w:val="14"/>
          <w:szCs w:val="14"/>
          <w:color w:val="auto"/>
        </w:rPr>
        <w:t xml:space="preserve">) enter into an underwriting agreement in customary form with the underwriter(s) selected for such underwriting; provided, however,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cs="Times New Roman" w:eastAsia="Times New Roman" w:hAnsi="Times New Roman"/>
          <w:sz w:val="14"/>
          <w:szCs w:val="14"/>
          <w:u w:val="single" w:color="auto"/>
          <w:color w:val="auto"/>
        </w:rPr>
        <w:t>Subsection 2.3</w:t>
      </w:r>
      <w:r>
        <w:rPr>
          <w:rFonts w:ascii="Times New Roman" w:cs="Times New Roman" w:eastAsia="Times New Roman" w:hAnsi="Times New Roman"/>
          <w:sz w:val="14"/>
          <w:szCs w:val="14"/>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62" w:lineRule="exact"/>
        <w:rPr>
          <w:rFonts w:ascii="Times New Roman" w:cs="Times New Roman" w:eastAsia="Times New Roman" w:hAnsi="Times New Roman"/>
          <w:sz w:val="14"/>
          <w:szCs w:val="14"/>
          <w:color w:val="auto"/>
        </w:rPr>
      </w:pPr>
    </w:p>
    <w:p>
      <w:pPr>
        <w:ind w:firstLine="1666"/>
        <w:spacing w:after="0" w:line="252" w:lineRule="auto"/>
        <w:tabs>
          <w:tab w:leader="none" w:pos="18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any offering involving an underwriting of shares of the Company’s capital stock pursuant to </w:t>
      </w:r>
      <w:r>
        <w:rPr>
          <w:rFonts w:ascii="Times New Roman" w:cs="Times New Roman" w:eastAsia="Times New Roman" w:hAnsi="Times New Roman"/>
          <w:sz w:val="14"/>
          <w:szCs w:val="14"/>
          <w:u w:val="single" w:color="auto"/>
          <w:color w:val="auto"/>
        </w:rPr>
        <w:t>Subsection 2.2</w:t>
      </w:r>
      <w:r>
        <w:rPr>
          <w:rFonts w:ascii="Times New Roman" w:cs="Times New Roman" w:eastAsia="Times New Roman" w:hAnsi="Times New Roman"/>
          <w:sz w:val="14"/>
          <w:szCs w:val="14"/>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fifteen percent (15%)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4"/>
          <w:szCs w:val="14"/>
          <w:u w:val="single" w:color="auto"/>
          <w:color w:val="auto"/>
        </w:rPr>
        <w:t>Subsection 2.3(b)</w:t>
      </w:r>
      <w:r>
        <w:rPr>
          <w:rFonts w:ascii="Times New Roman" w:cs="Times New Roman" w:eastAsia="Times New Roman" w:hAnsi="Times New Roman"/>
          <w:sz w:val="14"/>
          <w:szCs w:val="14"/>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70"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4"/>
          <w:szCs w:val="14"/>
          <w:u w:val="single" w:color="auto"/>
          <w:color w:val="auto"/>
        </w:rPr>
        <w:t>Subsection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2.3(a)</w:t>
      </w:r>
      <w:r>
        <w:rPr>
          <w:rFonts w:ascii="Times New Roman" w:cs="Times New Roman" w:eastAsia="Times New Roman" w:hAnsi="Times New Roman"/>
          <w:sz w:val="14"/>
          <w:szCs w:val="14"/>
          <w:color w:val="auto"/>
        </w:rPr>
        <w:t>, fewer than 75% of the total number of Registrable Securities that Holders have requested to be included in such registration statement are actually included.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Obligations of the Company</w:t>
      </w:r>
      <w:r>
        <w:rPr>
          <w:rFonts w:ascii="Times New Roman" w:cs="Times New Roman" w:eastAsia="Times New Roman" w:hAnsi="Times New Roman"/>
          <w:sz w:val="14"/>
          <w:szCs w:val="14"/>
          <w:color w:val="auto"/>
        </w:rPr>
        <w:t xml:space="preserve">. Whenever required 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to effect the registration of any Registrable Securities, the Company shall, as expeditiously as reasonably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possible:</w:t>
      </w:r>
    </w:p>
    <w:p>
      <w:pPr>
        <w:spacing w:after="0" w:line="77" w:lineRule="exact"/>
        <w:rPr>
          <w:sz w:val="20"/>
          <w:szCs w:val="20"/>
          <w:color w:val="auto"/>
        </w:rPr>
      </w:pPr>
    </w:p>
    <w:p>
      <w:pPr>
        <w:ind w:right="80" w:firstLine="1666"/>
        <w:spacing w:after="0" w:line="267" w:lineRule="auto"/>
        <w:tabs>
          <w:tab w:leader="none" w:pos="185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16" w:name="page317"/>
    <w:bookmarkEnd w:id="316"/>
    <w:p>
      <w:pPr>
        <w:ind w:right="220"/>
        <w:spacing w:after="0" w:line="261" w:lineRule="auto"/>
        <w:rPr>
          <w:sz w:val="20"/>
          <w:szCs w:val="20"/>
          <w:color w:val="auto"/>
        </w:rPr>
      </w:pP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thirty (30) days, if necessary, to keep the registration statement effective until all such Registrable Securities are sold;</w:t>
      </w:r>
    </w:p>
    <w:p>
      <w:pPr>
        <w:spacing w:after="0" w:line="57" w:lineRule="exact"/>
        <w:rPr>
          <w:sz w:val="20"/>
          <w:szCs w:val="20"/>
          <w:color w:val="auto"/>
        </w:rPr>
      </w:pPr>
    </w:p>
    <w:p>
      <w:pPr>
        <w:ind w:right="20" w:firstLine="1666"/>
        <w:spacing w:after="0" w:line="283" w:lineRule="auto"/>
        <w:tabs>
          <w:tab w:leader="none" w:pos="18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40" w:lineRule="exact"/>
        <w:rPr>
          <w:rFonts w:ascii="Times New Roman" w:cs="Times New Roman" w:eastAsia="Times New Roman" w:hAnsi="Times New Roman"/>
          <w:sz w:val="14"/>
          <w:szCs w:val="14"/>
          <w:color w:val="auto"/>
        </w:rPr>
      </w:pPr>
    </w:p>
    <w:p>
      <w:pPr>
        <w:ind w:right="100" w:firstLine="1666"/>
        <w:spacing w:after="0" w:line="283" w:lineRule="auto"/>
        <w:tabs>
          <w:tab w:leader="none" w:pos="185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40" w:lineRule="exact"/>
        <w:rPr>
          <w:rFonts w:ascii="Times New Roman" w:cs="Times New Roman" w:eastAsia="Times New Roman" w:hAnsi="Times New Roman"/>
          <w:sz w:val="14"/>
          <w:szCs w:val="14"/>
          <w:color w:val="auto"/>
        </w:rPr>
      </w:pPr>
    </w:p>
    <w:p>
      <w:pPr>
        <w:ind w:right="60" w:firstLine="1666"/>
        <w:spacing w:after="0" w:line="267" w:lineRule="auto"/>
        <w:tabs>
          <w:tab w:leader="none" w:pos="18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51"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underwritten public offering, enter into and perform its obligations under an underwriting agreement, in usual and customary form, with the</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underwriter(s) of such offering;</w:t>
      </w:r>
    </w:p>
    <w:p>
      <w:pPr>
        <w:spacing w:after="0" w:line="76" w:lineRule="exact"/>
        <w:rPr>
          <w:rFonts w:ascii="Times New Roman" w:cs="Times New Roman" w:eastAsia="Times New Roman" w:hAnsi="Times New Roman"/>
          <w:sz w:val="14"/>
          <w:szCs w:val="14"/>
          <w:color w:val="auto"/>
        </w:rPr>
      </w:pPr>
    </w:p>
    <w:p>
      <w:pPr>
        <w:ind w:right="140" w:firstLine="1666"/>
        <w:spacing w:after="0" w:line="283" w:lineRule="auto"/>
        <w:tabs>
          <w:tab w:leader="none" w:pos="1837"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40" w:lineRule="exact"/>
        <w:rPr>
          <w:rFonts w:ascii="Times New Roman" w:cs="Times New Roman" w:eastAsia="Times New Roman" w:hAnsi="Times New Roman"/>
          <w:sz w:val="14"/>
          <w:szCs w:val="14"/>
          <w:color w:val="auto"/>
        </w:rPr>
      </w:pPr>
    </w:p>
    <w:p>
      <w:pPr>
        <w:ind w:right="540" w:firstLine="1666"/>
        <w:spacing w:after="0" w:line="283" w:lineRule="auto"/>
        <w:tabs>
          <w:tab w:leader="none" w:pos="18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40" w:lineRule="exact"/>
        <w:rPr>
          <w:rFonts w:ascii="Times New Roman" w:cs="Times New Roman" w:eastAsia="Times New Roman" w:hAnsi="Times New Roman"/>
          <w:sz w:val="14"/>
          <w:szCs w:val="14"/>
          <w:color w:val="auto"/>
        </w:rPr>
      </w:pPr>
    </w:p>
    <w:p>
      <w:pPr>
        <w:ind w:firstLine="1666"/>
        <w:spacing w:after="0" w:line="261" w:lineRule="auto"/>
        <w:tabs>
          <w:tab w:leader="none" w:pos="18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56" w:lineRule="exact"/>
        <w:rPr>
          <w:rFonts w:ascii="Times New Roman" w:cs="Times New Roman" w:eastAsia="Times New Roman" w:hAnsi="Times New Roman"/>
          <w:sz w:val="14"/>
          <w:szCs w:val="14"/>
          <w:color w:val="auto"/>
        </w:rPr>
      </w:pPr>
    </w:p>
    <w:p>
      <w:pPr>
        <w:ind w:right="660" w:firstLine="1666"/>
        <w:spacing w:after="0" w:line="283" w:lineRule="auto"/>
        <w:tabs>
          <w:tab w:leader="none" w:pos="182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40"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such registration statement becomes effective, notify each selling Holder of any request by the SEC that the Company amend or supplement such registration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 or prospectus.</w:t>
      </w:r>
    </w:p>
    <w:p>
      <w:pPr>
        <w:spacing w:after="0" w:line="161" w:lineRule="exact"/>
        <w:rPr>
          <w:sz w:val="20"/>
          <w:szCs w:val="20"/>
          <w:color w:val="auto"/>
        </w:rPr>
      </w:pPr>
    </w:p>
    <w:p>
      <w:pPr>
        <w:ind w:right="160" w:firstLine="1151"/>
        <w:spacing w:after="0" w:line="283" w:lineRule="auto"/>
        <w:rPr>
          <w:sz w:val="20"/>
          <w:szCs w:val="20"/>
          <w:color w:val="auto"/>
        </w:rPr>
      </w:pPr>
      <w:r>
        <w:rPr>
          <w:rFonts w:ascii="Times New Roman" w:cs="Times New Roman" w:eastAsia="Times New Roman" w:hAnsi="Times New Roman"/>
          <w:sz w:val="14"/>
          <w:szCs w:val="14"/>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25" w:lineRule="exact"/>
        <w:rPr>
          <w:sz w:val="20"/>
          <w:szCs w:val="20"/>
          <w:color w:val="auto"/>
        </w:rPr>
      </w:pPr>
    </w:p>
    <w:p>
      <w:pPr>
        <w:ind w:firstLine="1151"/>
        <w:spacing w:after="0" w:line="267"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Furnish Information</w:t>
      </w:r>
      <w:r>
        <w:rPr>
          <w:rFonts w:ascii="Times New Roman" w:cs="Times New Roman" w:eastAsia="Times New Roman" w:hAnsi="Times New Roman"/>
          <w:sz w:val="14"/>
          <w:szCs w:val="14"/>
          <w:color w:val="auto"/>
        </w:rPr>
        <w:t xml:space="preserve">. It shall be a condition precedent to the obligations of the Company to take any action pursuant to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17" w:name="page318"/>
    <w:bookmarkEnd w:id="317"/>
    <w:p>
      <w:pPr>
        <w:ind w:firstLine="1158"/>
        <w:spacing w:after="0" w:line="254"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Expenses of Registration</w:t>
      </w:r>
      <w:r>
        <w:rPr>
          <w:rFonts w:ascii="Times New Roman" w:cs="Times New Roman" w:eastAsia="Times New Roman" w:hAnsi="Times New Roman"/>
          <w:sz w:val="14"/>
          <w:szCs w:val="14"/>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including all registration, filing, and qualification fees; printers’ and accounting fees; fees and disbursements of counsel for the Company; and the reasonable fees and disbursements, not to exceed $50,000, of one counsel for the selling Holders (“</w:t>
      </w:r>
      <w:r>
        <w:rPr>
          <w:rFonts w:ascii="Times New Roman" w:cs="Times New Roman" w:eastAsia="Times New Roman" w:hAnsi="Times New Roman"/>
          <w:sz w:val="14"/>
          <w:szCs w:val="14"/>
          <w:b w:val="1"/>
          <w:bCs w:val="1"/>
          <w:color w:val="auto"/>
        </w:rPr>
        <w:t>Selling Holder Counsel</w:t>
      </w:r>
      <w:r>
        <w:rPr>
          <w:rFonts w:ascii="Times New Roman" w:cs="Times New Roman" w:eastAsia="Times New Roman" w:hAnsi="Times New Roman"/>
          <w:sz w:val="14"/>
          <w:szCs w:val="14"/>
          <w:color w:val="auto"/>
        </w:rPr>
        <w:t xml:space="preserve">”), shall be borne and paid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required to pay for any expenses of any registration proceeding begun pursuant to </w:t>
      </w:r>
      <w:r>
        <w:rPr>
          <w:rFonts w:ascii="Times New Roman" w:cs="Times New Roman" w:eastAsia="Times New Roman" w:hAnsi="Times New Roman"/>
          <w:sz w:val="14"/>
          <w:szCs w:val="14"/>
          <w:u w:val="single" w:color="auto"/>
          <w:color w:val="auto"/>
        </w:rPr>
        <w:t>Subsection 2.1</w:t>
      </w:r>
      <w:r>
        <w:rPr>
          <w:rFonts w:ascii="Times New Roman" w:cs="Times New Roman" w:eastAsia="Times New Roman" w:hAnsi="Times New Roman"/>
          <w:sz w:val="14"/>
          <w:szCs w:val="14"/>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4"/>
          <w:szCs w:val="14"/>
          <w:u w:val="single" w:color="auto"/>
          <w:color w:val="auto"/>
        </w:rPr>
        <w:t>Subsections 2.1(a)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2.1(b)</w:t>
      </w:r>
      <w:r>
        <w:rPr>
          <w:rFonts w:ascii="Times New Roman" w:cs="Times New Roman" w:eastAsia="Times New Roman" w:hAnsi="Times New Roman"/>
          <w:sz w:val="14"/>
          <w:szCs w:val="14"/>
          <w:color w:val="auto"/>
        </w:rPr>
        <w:t xml:space="preserve">, as the case may be;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4"/>
          <w:szCs w:val="14"/>
          <w:u w:val="single" w:color="auto"/>
          <w:color w:val="auto"/>
        </w:rPr>
        <w:t>Subsections 2.1(a)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2.1(b)</w:t>
      </w:r>
      <w:r>
        <w:rPr>
          <w:rFonts w:ascii="Times New Roman" w:cs="Times New Roman" w:eastAsia="Times New Roman" w:hAnsi="Times New Roman"/>
          <w:sz w:val="14"/>
          <w:szCs w:val="14"/>
          <w:color w:val="auto"/>
        </w:rPr>
        <w:t xml:space="preserve">. All Selling Expenses relating to Registrable Securities registered pursuant to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shall be borne and paid by the Holders pro rata on the basis of the number of Registrable Securities registered on their behalf.</w:t>
      </w:r>
    </w:p>
    <w:p>
      <w:pPr>
        <w:spacing w:after="0" w:line="146" w:lineRule="exact"/>
        <w:rPr>
          <w:sz w:val="20"/>
          <w:szCs w:val="20"/>
          <w:color w:val="auto"/>
        </w:rPr>
      </w:pPr>
    </w:p>
    <w:p>
      <w:pPr>
        <w:ind w:right="10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Delay of Registration</w:t>
      </w:r>
      <w:r>
        <w:rPr>
          <w:rFonts w:ascii="Times New Roman" w:cs="Times New Roman" w:eastAsia="Times New Roman" w:hAnsi="Times New Roman"/>
          <w:sz w:val="14"/>
          <w:szCs w:val="14"/>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xml:space="preserve">. If any Registrable Securities are included in a registration statement 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20" w:firstLine="1666"/>
        <w:spacing w:after="0" w:line="255" w:lineRule="auto"/>
        <w:tabs>
          <w:tab w:leader="none" w:pos="185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indemnity agreement contained in this </w:t>
      </w:r>
      <w:r>
        <w:rPr>
          <w:rFonts w:ascii="Times New Roman" w:cs="Times New Roman" w:eastAsia="Times New Roman" w:hAnsi="Times New Roman"/>
          <w:sz w:val="14"/>
          <w:szCs w:val="14"/>
          <w:u w:val="single" w:color="auto"/>
          <w:color w:val="auto"/>
        </w:rPr>
        <w:t>Subsection 2.8(a)</w:t>
      </w:r>
      <w:r>
        <w:rPr>
          <w:rFonts w:ascii="Times New Roman" w:cs="Times New Roman" w:eastAsia="Times New Roman" w:hAnsi="Times New Roman"/>
          <w:sz w:val="14"/>
          <w:szCs w:val="14"/>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1" w:lineRule="exact"/>
        <w:rPr>
          <w:rFonts w:ascii="Times New Roman" w:cs="Times New Roman" w:eastAsia="Times New Roman" w:hAnsi="Times New Roman"/>
          <w:sz w:val="14"/>
          <w:szCs w:val="14"/>
          <w:color w:val="auto"/>
        </w:rPr>
      </w:pPr>
    </w:p>
    <w:p>
      <w:pPr>
        <w:ind w:right="180" w:firstLine="1666"/>
        <w:spacing w:after="0" w:line="254" w:lineRule="auto"/>
        <w:tabs>
          <w:tab w:leader="none" w:pos="186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indemnity agreement contained in this </w:t>
      </w:r>
      <w:r>
        <w:rPr>
          <w:rFonts w:ascii="Times New Roman" w:cs="Times New Roman" w:eastAsia="Times New Roman" w:hAnsi="Times New Roman"/>
          <w:sz w:val="14"/>
          <w:szCs w:val="14"/>
          <w:u w:val="single" w:color="auto"/>
          <w:color w:val="auto"/>
        </w:rPr>
        <w:t>Subsection 2.8(b)</w:t>
      </w:r>
      <w:r>
        <w:rPr>
          <w:rFonts w:ascii="Times New Roman" w:cs="Times New Roman" w:eastAsia="Times New Roman" w:hAnsi="Times New Roman"/>
          <w:sz w:val="14"/>
          <w:szCs w:val="14"/>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in no event shall the aggregate amounts payable by any Holder by way of indemnity or contribution under </w:t>
      </w:r>
      <w:r>
        <w:rPr>
          <w:rFonts w:ascii="Times New Roman" w:cs="Times New Roman" w:eastAsia="Times New Roman" w:hAnsi="Times New Roman"/>
          <w:sz w:val="14"/>
          <w:szCs w:val="14"/>
          <w:u w:val="single" w:color="auto"/>
          <w:color w:val="auto"/>
        </w:rPr>
        <w:t>Subsections 2.8(b)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2.8(d)</w:t>
      </w:r>
      <w:r>
        <w:rPr>
          <w:rFonts w:ascii="Times New Roman" w:cs="Times New Roman" w:eastAsia="Times New Roman" w:hAnsi="Times New Roman"/>
          <w:sz w:val="14"/>
          <w:szCs w:val="14"/>
          <w:color w:val="auto"/>
        </w:rPr>
        <w:t xml:space="preserve"> exceed the proceeds from the offering received by such Holder (net of any Selling Expenses paid by such Holder), except in the case of fraud or willful misconduct by such Holder.</w:t>
      </w:r>
    </w:p>
    <w:p>
      <w:pPr>
        <w:spacing w:after="0" w:line="62" w:lineRule="exact"/>
        <w:rPr>
          <w:rFonts w:ascii="Times New Roman" w:cs="Times New Roman" w:eastAsia="Times New Roman" w:hAnsi="Times New Roman"/>
          <w:sz w:val="14"/>
          <w:szCs w:val="14"/>
          <w:color w:val="auto"/>
        </w:rPr>
      </w:pPr>
    </w:p>
    <w:p>
      <w:pPr>
        <w:ind w:right="20" w:firstLine="1666"/>
        <w:spacing w:after="0" w:line="254" w:lineRule="auto"/>
        <w:tabs>
          <w:tab w:leader="none" w:pos="185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receipt by an indemnified party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to the extent that such failure materially prejudices the indemnifying party’s ability to defend such action. The failure to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478155</wp:posOffset>
            </wp:positionV>
            <wp:extent cx="7188200"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color w:val="auto"/>
        </w:rPr>
        <w:t xml:space="preserve">notice to the indemnifying party will not relieve it of any liability that it may have to any indemnified party otherwise than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80" w:firstLine="1666"/>
        <w:spacing w:after="0" w:line="253" w:lineRule="auto"/>
        <w:tabs>
          <w:tab w:leader="none" w:pos="18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in no event shall a Holder’s liability pursuant to this </w:t>
      </w:r>
      <w:r>
        <w:rPr>
          <w:rFonts w:ascii="Times New Roman" w:cs="Times New Roman" w:eastAsia="Times New Roman" w:hAnsi="Times New Roman"/>
          <w:sz w:val="14"/>
          <w:szCs w:val="14"/>
          <w:u w:val="single" w:color="auto"/>
          <w:color w:val="auto"/>
        </w:rPr>
        <w:t>Subsection 2.8(d)</w:t>
      </w:r>
      <w:r>
        <w:rPr>
          <w:rFonts w:ascii="Times New Roman" w:cs="Times New Roman" w:eastAsia="Times New Roman" w:hAnsi="Times New Roman"/>
          <w:sz w:val="14"/>
          <w:szCs w:val="14"/>
          <w:color w:val="auto"/>
        </w:rPr>
        <w:t xml:space="preserve">, when combined with the amounts paid or payable by such Holder pursuant to </w:t>
      </w:r>
      <w:r>
        <w:rPr>
          <w:rFonts w:ascii="Times New Roman" w:cs="Times New Roman" w:eastAsia="Times New Roman" w:hAnsi="Times New Roman"/>
          <w:sz w:val="14"/>
          <w:szCs w:val="14"/>
          <w:u w:val="single" w:color="auto"/>
          <w:color w:val="auto"/>
        </w:rPr>
        <w:t>Subsection 2.8(b)</w:t>
      </w:r>
      <w:r>
        <w:rPr>
          <w:rFonts w:ascii="Times New Roman" w:cs="Times New Roman" w:eastAsia="Times New Roman" w:hAnsi="Times New Roman"/>
          <w:sz w:val="14"/>
          <w:szCs w:val="14"/>
          <w:color w:val="auto"/>
        </w:rPr>
        <w:t>, exceed the proceeds from the offering received by such Holder (net of any Selling Expenses paid by such Holder), except in the case of willful misconduct or fraud by such Holder.</w:t>
      </w:r>
    </w:p>
    <w:p>
      <w:pPr>
        <w:spacing w:after="0" w:line="62" w:lineRule="exact"/>
        <w:rPr>
          <w:rFonts w:ascii="Times New Roman" w:cs="Times New Roman" w:eastAsia="Times New Roman" w:hAnsi="Times New Roman"/>
          <w:sz w:val="14"/>
          <w:szCs w:val="14"/>
          <w:color w:val="auto"/>
        </w:rPr>
      </w:pPr>
    </w:p>
    <w:p>
      <w:pPr>
        <w:ind w:right="400" w:firstLine="1666"/>
        <w:spacing w:after="0" w:line="267" w:lineRule="auto"/>
        <w:tabs>
          <w:tab w:leader="none" w:pos="1852"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4"/>
          <w:szCs w:val="14"/>
          <w:u w:val="single" w:color="auto"/>
          <w:color w:val="auto"/>
        </w:rPr>
        <w:t>Subsection 2.8</w:t>
      </w:r>
      <w:r>
        <w:rPr>
          <w:rFonts w:ascii="Times New Roman" w:cs="Times New Roman" w:eastAsia="Times New Roman" w:hAnsi="Times New Roman"/>
          <w:sz w:val="14"/>
          <w:szCs w:val="14"/>
          <w:color w:val="auto"/>
        </w:rPr>
        <w:t xml:space="preserve"> shall survive the completion of any offering of Registrable Securities in a registration 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and otherwise shall survive the termination of this Agreement.</w:t>
      </w:r>
    </w:p>
    <w:p>
      <w:pPr>
        <w:spacing w:after="0" w:line="136" w:lineRule="exact"/>
        <w:rPr>
          <w:sz w:val="20"/>
          <w:szCs w:val="20"/>
          <w:color w:val="auto"/>
        </w:rPr>
      </w:pPr>
    </w:p>
    <w:p>
      <w:pPr>
        <w:ind w:right="24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Reports Under Exchange Act</w:t>
      </w:r>
      <w:r>
        <w:rPr>
          <w:rFonts w:ascii="Times New Roman" w:cs="Times New Roman" w:eastAsia="Times New Roman" w:hAnsi="Times New Roman"/>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51" w:lineRule="exact"/>
        <w:rPr>
          <w:sz w:val="20"/>
          <w:szCs w:val="20"/>
          <w:color w:val="auto"/>
        </w:rPr>
      </w:pPr>
    </w:p>
    <w:p>
      <w:pPr>
        <w:ind w:right="260" w:firstLine="1666"/>
        <w:spacing w:after="0" w:line="283" w:lineRule="auto"/>
        <w:tabs>
          <w:tab w:leader="none" w:pos="185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40" w:lineRule="exact"/>
        <w:rPr>
          <w:rFonts w:ascii="Times New Roman" w:cs="Times New Roman" w:eastAsia="Times New Roman" w:hAnsi="Times New Roman"/>
          <w:sz w:val="14"/>
          <w:szCs w:val="14"/>
          <w:color w:val="auto"/>
        </w:rPr>
      </w:pPr>
    </w:p>
    <w:p>
      <w:pPr>
        <w:ind w:right="80" w:firstLine="1666"/>
        <w:spacing w:after="0" w:line="283" w:lineRule="auto"/>
        <w:tabs>
          <w:tab w:leader="none" w:pos="18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40" w:lineRule="exact"/>
        <w:rPr>
          <w:rFonts w:ascii="Times New Roman" w:cs="Times New Roman" w:eastAsia="Times New Roman" w:hAnsi="Times New Roman"/>
          <w:sz w:val="14"/>
          <w:szCs w:val="14"/>
          <w:color w:val="auto"/>
        </w:rPr>
      </w:pPr>
    </w:p>
    <w:p>
      <w:pPr>
        <w:ind w:firstLine="1666"/>
        <w:spacing w:after="0" w:line="257" w:lineRule="auto"/>
        <w:tabs>
          <w:tab w:leader="none" w:pos="185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43" w:lineRule="exact"/>
        <w:rPr>
          <w:sz w:val="20"/>
          <w:szCs w:val="20"/>
          <w:color w:val="auto"/>
        </w:rPr>
      </w:pPr>
    </w:p>
    <w:p>
      <w:pPr>
        <w:ind w:right="20" w:firstLine="1151"/>
        <w:spacing w:after="0" w:line="257"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Limitations on Subsequent Registration Rights</w:t>
      </w:r>
      <w:r>
        <w:rPr>
          <w:rFonts w:ascii="Times New Roman" w:cs="Times New Roman" w:eastAsia="Times New Roman" w:hAnsi="Times New Roman"/>
          <w:sz w:val="14"/>
          <w:szCs w:val="14"/>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4"/>
          <w:szCs w:val="14"/>
          <w:u w:val="single" w:color="auto"/>
          <w:color w:val="auto"/>
        </w:rPr>
        <w:t>Subsection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6.9</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right="10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and the managing underwriter (such period not to exceed one hundred eighty (180) days, subject to customary extensions to accommodate regulatory restrictions on (1) the publication or other distribution of research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19" w:name="page320"/>
    <w:bookmarkEnd w:id="319"/>
    <w:p>
      <w:pPr>
        <w:spacing w:after="0" w:line="253" w:lineRule="auto"/>
        <w:rPr>
          <w:sz w:val="20"/>
          <w:szCs w:val="20"/>
          <w:color w:val="auto"/>
        </w:rPr>
      </w:pPr>
      <w:r>
        <w:rPr>
          <w:rFonts w:ascii="Times New Roman" w:cs="Times New Roman" w:eastAsia="Times New Roman" w:hAnsi="Times New Roman"/>
          <w:sz w:val="14"/>
          <w:szCs w:val="14"/>
          <w:color w:val="auto"/>
        </w:rPr>
        <w:t xml:space="preserve">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hedging, or other transaction or arrangement that transfers, or is designed to transfer, to another, in whole or in part, any of the economic consequences of ownership, directly or indirectly, of such securities, whether any such transaction or arrangement described in clause (i) or (ii) above is to be settled by delivery of Common Stock or other securities, in cash, or otherwise. The foregoing provisions of this </w:t>
      </w:r>
      <w:r>
        <w:rPr>
          <w:rFonts w:ascii="Times New Roman" w:cs="Times New Roman" w:eastAsia="Times New Roman" w:hAnsi="Times New Roman"/>
          <w:sz w:val="14"/>
          <w:szCs w:val="14"/>
          <w:u w:val="single" w:color="auto"/>
          <w:color w:val="auto"/>
        </w:rPr>
        <w:t>Subsection 2.11</w:t>
      </w:r>
      <w:r>
        <w:rPr>
          <w:rFonts w:ascii="Times New Roman" w:cs="Times New Roman" w:eastAsia="Times New Roman" w:hAnsi="Times New Roman"/>
          <w:sz w:val="14"/>
          <w:szCs w:val="14"/>
          <w:color w:val="auto"/>
        </w:rPr>
        <w:t xml:space="preserve"> shall apply only to the IPO, shall not apply to the sale of any shares to an underwriter pursuant to an underwriting agreement, to open market transactions on or after the closing of the IPO, or the transfer of any shares to any trust for the direct or indirect benefit of the Holder or one or more Immediate Family Members of the Holder,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trustee of the trust agrees to be bound in writing by the restrictions set forth herein,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any such transfer shall not involve a disposition for value, and shall be applicable to the Holders only if all officers and directors of the Company are subject to the same restrictions and the Company obtains a similar agreement from all stockholders individually owning more than one percent (1%) of the Company’s outstanding Common Stock (after giving effect to the conversion into Common Stock of all outstanding Preferred Stock). The underwriters in connection with such registration are intended third-party beneficiaries of this </w:t>
      </w:r>
      <w:r>
        <w:rPr>
          <w:rFonts w:ascii="Times New Roman" w:cs="Times New Roman" w:eastAsia="Times New Roman" w:hAnsi="Times New Roman"/>
          <w:sz w:val="14"/>
          <w:szCs w:val="14"/>
          <w:u w:val="single" w:color="auto"/>
          <w:color w:val="auto"/>
        </w:rPr>
        <w:t>Subsection 2.11</w:t>
      </w:r>
      <w:r>
        <w:rPr>
          <w:rFonts w:ascii="Times New Roman" w:cs="Times New Roman" w:eastAsia="Times New Roman" w:hAnsi="Times New Roman"/>
          <w:sz w:val="14"/>
          <w:szCs w:val="14"/>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4"/>
          <w:szCs w:val="14"/>
          <w:u w:val="single" w:color="auto"/>
          <w:color w:val="auto"/>
        </w:rPr>
        <w:t>Subsection 2.11</w:t>
      </w:r>
      <w:r>
        <w:rPr>
          <w:rFonts w:ascii="Times New Roman" w:cs="Times New Roman" w:eastAsia="Times New Roman" w:hAnsi="Times New Roman"/>
          <w:sz w:val="14"/>
          <w:szCs w:val="14"/>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1666"/>
        <w:spacing w:after="0" w:line="258" w:lineRule="auto"/>
        <w:tabs>
          <w:tab w:leader="none" w:pos="185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and all other applicable U.S. laws and regulations.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49" w:lineRule="exact"/>
        <w:rPr>
          <w:rFonts w:ascii="Times New Roman" w:cs="Times New Roman" w:eastAsia="Times New Roman" w:hAnsi="Times New Roman"/>
          <w:sz w:val="14"/>
          <w:szCs w:val="14"/>
          <w:color w:val="auto"/>
        </w:rPr>
      </w:pPr>
    </w:p>
    <w:p>
      <w:pPr>
        <w:ind w:right="340" w:firstLine="1666"/>
        <w:spacing w:after="0" w:line="267" w:lineRule="auto"/>
        <w:tabs>
          <w:tab w:leader="none" w:pos="18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4"/>
          <w:szCs w:val="14"/>
          <w:u w:val="single" w:color="auto"/>
          <w:color w:val="auto"/>
        </w:rPr>
        <w:t>Subsection 2.12(c)</w:t>
      </w:r>
      <w:r>
        <w:rPr>
          <w:rFonts w:ascii="Times New Roman" w:cs="Times New Roman" w:eastAsia="Times New Roman" w:hAnsi="Times New Roman"/>
          <w:sz w:val="14"/>
          <w:szCs w:val="14"/>
          <w:color w:val="auto"/>
        </w:rPr>
        <w:t>) be notated with a legend substantially in the following form:</w:t>
      </w:r>
    </w:p>
    <w:p>
      <w:pPr>
        <w:spacing w:after="0" w:line="51" w:lineRule="exact"/>
        <w:rPr>
          <w:sz w:val="20"/>
          <w:szCs w:val="20"/>
          <w:color w:val="auto"/>
        </w:rPr>
      </w:pPr>
    </w:p>
    <w:p>
      <w:pPr>
        <w:ind w:left="520" w:right="180"/>
        <w:spacing w:after="0" w:line="267" w:lineRule="auto"/>
        <w:rPr>
          <w:sz w:val="20"/>
          <w:szCs w:val="20"/>
          <w:color w:val="auto"/>
        </w:rPr>
      </w:pPr>
      <w:r>
        <w:rPr>
          <w:rFonts w:ascii="Times New Roman" w:cs="Times New Roman" w:eastAsia="Times New Roman" w:hAnsi="Times New Roman"/>
          <w:sz w:val="14"/>
          <w:szCs w:val="14"/>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51" w:lineRule="exact"/>
        <w:rPr>
          <w:sz w:val="20"/>
          <w:szCs w:val="20"/>
          <w:color w:val="auto"/>
        </w:rPr>
      </w:pPr>
    </w:p>
    <w:p>
      <w:pPr>
        <w:ind w:left="520" w:right="180"/>
        <w:spacing w:after="0" w:line="283" w:lineRule="auto"/>
        <w:rPr>
          <w:sz w:val="20"/>
          <w:szCs w:val="20"/>
          <w:color w:val="auto"/>
        </w:rPr>
      </w:pPr>
      <w:r>
        <w:rPr>
          <w:rFonts w:ascii="Times New Roman" w:cs="Times New Roman" w:eastAsia="Times New Roman" w:hAnsi="Times New Roman"/>
          <w:sz w:val="14"/>
          <w:szCs w:val="14"/>
          <w:color w:val="auto"/>
        </w:rPr>
        <w:t>THE SECURITIES REPRESENTED HEREBY MAY BE TRANSFERRED ONLY IN ACCORDANCE WITH THE TERMS OF AN AGREEMENT BETWEEN THE COMPANY AND THE STOCKHOLDER, A COPY OF WHICH IS ON FILE WITH THE SECRETARY OF THE COMPANY.</w:t>
      </w:r>
    </w:p>
    <w:p>
      <w:pPr>
        <w:spacing w:after="0" w:line="125" w:lineRule="exact"/>
        <w:rPr>
          <w:sz w:val="20"/>
          <w:szCs w:val="20"/>
          <w:color w:val="auto"/>
        </w:rPr>
      </w:pPr>
    </w:p>
    <w:p>
      <w:pPr>
        <w:ind w:right="4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4"/>
          <w:szCs w:val="14"/>
          <w:u w:val="single" w:color="auto"/>
          <w:color w:val="auto"/>
        </w:rPr>
        <w:t>Subsection 2.12</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right="120" w:firstLine="1666"/>
        <w:spacing w:after="0" w:line="254" w:lineRule="auto"/>
        <w:tabs>
          <w:tab w:leader="none" w:pos="1852"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478155</wp:posOffset>
            </wp:positionV>
            <wp:extent cx="7188200"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20" w:name="page321"/>
    <w:bookmarkEnd w:id="320"/>
    <w:p>
      <w:pPr>
        <w:ind w:right="20"/>
        <w:spacing w:after="0" w:line="253" w:lineRule="auto"/>
        <w:rPr>
          <w:sz w:val="20"/>
          <w:szCs w:val="20"/>
          <w:color w:val="auto"/>
        </w:rPr>
      </w:pPr>
      <w:r>
        <w:rPr>
          <w:rFonts w:ascii="Times New Roman" w:cs="Times New Roman" w:eastAsia="Times New Roman" w:hAnsi="Times New Roman"/>
          <w:sz w:val="14"/>
          <w:szCs w:val="14"/>
          <w:color w:val="auto"/>
        </w:rPr>
        <w:t xml:space="preserve">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4"/>
          <w:szCs w:val="14"/>
          <w:u w:val="single" w:color="auto"/>
          <w:color w:val="auto"/>
        </w:rPr>
        <w:t>Subsection 2.12</w:t>
      </w:r>
      <w:r>
        <w:rPr>
          <w:rFonts w:ascii="Times New Roman" w:cs="Times New Roman" w:eastAsia="Times New Roman" w:hAnsi="Times New Roman"/>
          <w:sz w:val="14"/>
          <w:szCs w:val="14"/>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4"/>
          <w:szCs w:val="14"/>
          <w:u w:val="single" w:color="auto"/>
          <w:color w:val="auto"/>
        </w:rPr>
        <w:t>Subsection 2.12(b)</w:t>
      </w:r>
      <w:r>
        <w:rPr>
          <w:rFonts w:ascii="Times New Roman" w:cs="Times New Roman" w:eastAsia="Times New Roman" w:hAnsi="Times New Roman"/>
          <w:sz w:val="14"/>
          <w:szCs w:val="14"/>
          <w:color w:val="auto"/>
        </w:rPr>
        <w:t>, except that such certificate, instrument, or book entry shall not be notated with such restrictive legend if (A) the Registrable Securities have been sold by the Holder without restriction under SEC Rule 144(b)(1) (as evidenced by customary non-affiliate certifications), including without limitation, any volume and manner of sale restrictions, and without any requirement that “current public information” (within the meaning of SEC Rule 144 under the Securities Act) be available at the time of sale of such securities, including as a result of SEC Rule 144(i) under the Securities Act, (B) the Holder has sold or transferred Registrable Securities in compliance with SEC Rule 144 (in which case the Holder shall submit a letter agreement reasonably satisfactory to the Company and its transfer agent with respect to ongoing compliance with SEC Rule 144 under the Securities Act of 1933) or (C) the Registrable Securities are registered for resale under the Securities Act pursuant to an effective registration statement and the Holder has sold or transferred such Registrable Securities pursuant to such then-effective Registration Statement (in which case the Holder shall submit a letter agreement reasonably satisfactory to the Company and its transfer agent with respect to such sale pursuant to such then-effective Registration Statement). To effect the foregoing, the Company shall, if requested by the Holder, use its commercially reasonable efforts to (i) cause the removal of any restrictive legend related to compliance with the federal securities laws set forth on such Registrable Securities (including by using commercially reasonable efforts to cause its legal counsel to deliver an opinion, if necessary, to the Company’s transfer agent in connection with the removal of such legends, if required by such transfer agent), and (ii) reasonably promptly after such request issue such Registrable Securities without any such legend in certificated or book-entry form or by electronic delivery (if then eligible for such delivery through the facilities of The Depository Trust Company).</w:t>
      </w:r>
    </w:p>
    <w:p>
      <w:pPr>
        <w:spacing w:after="0" w:line="146" w:lineRule="exact"/>
        <w:rPr>
          <w:sz w:val="20"/>
          <w:szCs w:val="20"/>
          <w:color w:val="auto"/>
        </w:rPr>
      </w:pPr>
    </w:p>
    <w:p>
      <w:pPr>
        <w:ind w:right="10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Termination of Registration Rights</w:t>
      </w:r>
      <w:r>
        <w:rPr>
          <w:rFonts w:ascii="Times New Roman" w:cs="Times New Roman" w:eastAsia="Times New Roman" w:hAnsi="Times New Roman"/>
          <w:sz w:val="14"/>
          <w:szCs w:val="14"/>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4"/>
          <w:szCs w:val="14"/>
          <w:u w:val="single" w:color="auto"/>
          <w:color w:val="auto"/>
        </w:rPr>
        <w:t>Subsections 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shall terminate, as to such Holder, upon the earliest to occur of:</w:t>
      </w:r>
    </w:p>
    <w:p>
      <w:pPr>
        <w:spacing w:after="0" w:line="41" w:lineRule="exact"/>
        <w:rPr>
          <w:sz w:val="20"/>
          <w:szCs w:val="20"/>
          <w:color w:val="auto"/>
        </w:rPr>
      </w:pPr>
    </w:p>
    <w:p>
      <w:pPr>
        <w:ind w:left="1860" w:hanging="194"/>
        <w:spacing w:after="0"/>
        <w:tabs>
          <w:tab w:leader="none" w:pos="186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of a Deemed Liquidation Event, as such term is defined in the Company’s Certificate of Incorporation;</w:t>
      </w:r>
    </w:p>
    <w:p>
      <w:pPr>
        <w:spacing w:after="0" w:line="91" w:lineRule="exact"/>
        <w:rPr>
          <w:rFonts w:ascii="Times New Roman" w:cs="Times New Roman" w:eastAsia="Times New Roman" w:hAnsi="Times New Roman"/>
          <w:sz w:val="14"/>
          <w:szCs w:val="14"/>
          <w:color w:val="auto"/>
        </w:rPr>
      </w:pPr>
    </w:p>
    <w:p>
      <w:pPr>
        <w:ind w:right="40" w:firstLine="1666"/>
        <w:spacing w:after="0" w:line="267" w:lineRule="auto"/>
        <w:tabs>
          <w:tab w:leader="none" w:pos="186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time following the IPO when the Holder (A) together with its “affiliates” (as determined under SEC Rule 144) holds less than 1% of the outstanding capital stock of the Company and (B) may immediately sell all of the Holder’s Registrable Securities under SEC Rule 144 without volume limitation, or another similar exemption under the Securities Act is available for the sale of all of such Holder’s shares without limitation, during a three-month period without registration; and</w:t>
      </w:r>
    </w:p>
    <w:p>
      <w:pPr>
        <w:spacing w:after="0" w:line="51"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fifth (5th) anniversary of the IPO.</w:t>
      </w:r>
    </w:p>
    <w:p>
      <w:pPr>
        <w:spacing w:after="0" w:line="175"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Rights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38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Delivery of Financial Statements</w:t>
      </w:r>
      <w:r>
        <w:rPr>
          <w:rFonts w:ascii="Times New Roman" w:cs="Times New Roman" w:eastAsia="Times New Roman" w:hAnsi="Times New Roman"/>
          <w:sz w:val="14"/>
          <w:szCs w:val="14"/>
          <w:color w:val="auto"/>
        </w:rPr>
        <w:t xml:space="preserve">. The Company shall deliver to each Major Investor,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Board of Directors has not reasonably determined that such Major Investor is a Competitor of the Company:</w:t>
      </w:r>
    </w:p>
    <w:p>
      <w:pPr>
        <w:spacing w:after="0" w:line="41" w:lineRule="exact"/>
        <w:rPr>
          <w:sz w:val="20"/>
          <w:szCs w:val="20"/>
          <w:color w:val="auto"/>
        </w:rPr>
      </w:pPr>
    </w:p>
    <w:p>
      <w:pPr>
        <w:ind w:right="60" w:firstLine="1666"/>
        <w:spacing w:after="0" w:line="258" w:lineRule="auto"/>
        <w:tabs>
          <w:tab w:leader="none" w:pos="185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soon as practicable, but in any event within one hundred twenty (120)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Times New Roman" w:cs="Times New Roman" w:eastAsia="Times New Roman" w:hAnsi="Times New Roman"/>
          <w:sz w:val="14"/>
          <w:szCs w:val="14"/>
          <w:u w:val="single" w:color="auto"/>
          <w:color w:val="auto"/>
        </w:rPr>
        <w:t>Subsection 3.1(d)</w:t>
      </w:r>
      <w:r>
        <w:rPr>
          <w:rFonts w:ascii="Times New Roman" w:cs="Times New Roman" w:eastAsia="Times New Roman" w:hAnsi="Times New Roman"/>
          <w:sz w:val="14"/>
          <w:szCs w:val="14"/>
          <w:color w:val="auto"/>
        </w:rPr>
        <w:t>)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nationally recognized standing selected by the Company unless otherwise determined by the Board, including a majority of Preferred Directors;</w:t>
      </w:r>
    </w:p>
    <w:p>
      <w:pPr>
        <w:spacing w:after="0" w:line="59" w:lineRule="exact"/>
        <w:rPr>
          <w:rFonts w:ascii="Times New Roman" w:cs="Times New Roman" w:eastAsia="Times New Roman" w:hAnsi="Times New Roman"/>
          <w:sz w:val="14"/>
          <w:szCs w:val="14"/>
          <w:color w:val="auto"/>
        </w:rPr>
      </w:pPr>
    </w:p>
    <w:p>
      <w:pPr>
        <w:ind w:firstLine="1666"/>
        <w:spacing w:after="0" w:line="267" w:lineRule="auto"/>
        <w:tabs>
          <w:tab w:leader="none" w:pos="18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forty-five (45) days after the end of each quarter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51" w:lineRule="exact"/>
        <w:rPr>
          <w:rFonts w:ascii="Times New Roman" w:cs="Times New Roman" w:eastAsia="Times New Roman" w:hAnsi="Times New Roman"/>
          <w:sz w:val="14"/>
          <w:szCs w:val="14"/>
          <w:color w:val="auto"/>
        </w:rPr>
      </w:pPr>
    </w:p>
    <w:p>
      <w:pPr>
        <w:jc w:val="both"/>
        <w:ind w:right="40" w:firstLine="1666"/>
        <w:spacing w:after="0" w:line="261" w:lineRule="auto"/>
        <w:tabs>
          <w:tab w:leader="none" w:pos="185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321" w:name="page322"/>
    <w:bookmarkEnd w:id="321"/>
    <w:p>
      <w:pPr>
        <w:ind w:right="540" w:firstLine="1666"/>
        <w:spacing w:after="0" w:line="267" w:lineRule="auto"/>
        <w:tabs>
          <w:tab w:leader="none" w:pos="18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thirty (30) days before the end of each fiscal year, a budget and business plan for the next fiscal year (collectively, the “</w:t>
      </w:r>
      <w:r>
        <w:rPr>
          <w:rFonts w:ascii="Times New Roman" w:cs="Times New Roman" w:eastAsia="Times New Roman" w:hAnsi="Times New Roman"/>
          <w:sz w:val="14"/>
          <w:szCs w:val="14"/>
          <w:b w:val="1"/>
          <w:bCs w:val="1"/>
          <w:color w:val="auto"/>
        </w:rPr>
        <w:t>Budget</w:t>
      </w:r>
      <w:r>
        <w:rPr>
          <w:rFonts w:ascii="Times New Roman" w:cs="Times New Roman" w:eastAsia="Times New Roman" w:hAnsi="Times New Roman"/>
          <w:sz w:val="14"/>
          <w:szCs w:val="14"/>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51" w:lineRule="exact"/>
        <w:rPr>
          <w:rFonts w:ascii="Times New Roman" w:cs="Times New Roman" w:eastAsia="Times New Roman" w:hAnsi="Times New Roman"/>
          <w:sz w:val="14"/>
          <w:szCs w:val="14"/>
          <w:color w:val="auto"/>
        </w:rPr>
      </w:pPr>
    </w:p>
    <w:p>
      <w:pPr>
        <w:ind w:firstLine="1666"/>
        <w:spacing w:after="0" w:line="261" w:lineRule="auto"/>
        <w:tabs>
          <w:tab w:leader="none" w:pos="185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obligated under this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41" w:lineRule="exact"/>
        <w:rPr>
          <w:sz w:val="20"/>
          <w:szCs w:val="20"/>
          <w:color w:val="auto"/>
        </w:rPr>
      </w:pPr>
    </w:p>
    <w:p>
      <w:pPr>
        <w:ind w:right="220" w:firstLine="1151"/>
        <w:spacing w:after="0" w:line="283" w:lineRule="auto"/>
        <w:rPr>
          <w:sz w:val="20"/>
          <w:szCs w:val="20"/>
          <w:color w:val="auto"/>
        </w:rPr>
      </w:pPr>
      <w:r>
        <w:rPr>
          <w:rFonts w:ascii="Times New Roman" w:cs="Times New Roman" w:eastAsia="Times New Roman" w:hAnsi="Times New Roman"/>
          <w:sz w:val="14"/>
          <w:szCs w:val="14"/>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25" w:lineRule="exact"/>
        <w:rPr>
          <w:sz w:val="20"/>
          <w:szCs w:val="20"/>
          <w:color w:val="auto"/>
        </w:rPr>
      </w:pPr>
    </w:p>
    <w:p>
      <w:pPr>
        <w:ind w:firstLine="1151"/>
        <w:spacing w:after="0" w:line="261" w:lineRule="auto"/>
        <w:rPr>
          <w:sz w:val="20"/>
          <w:szCs w:val="20"/>
          <w:color w:val="auto"/>
        </w:rPr>
      </w:pPr>
      <w:r>
        <w:rPr>
          <w:rFonts w:ascii="Times New Roman" w:cs="Times New Roman" w:eastAsia="Times New Roman" w:hAnsi="Times New Roman"/>
          <w:sz w:val="14"/>
          <w:szCs w:val="14"/>
          <w:color w:val="auto"/>
        </w:rPr>
        <w:t xml:space="preserve">Notwithstanding anything else in this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to the contrary, the Company may cease providing the information set forth in this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Company’s covenants under this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shall be reinstated at such time as the Company is no longer actively employing its commercially reasonable efforts to cause such registration statement to become effective.</w:t>
      </w:r>
    </w:p>
    <w:p>
      <w:pPr>
        <w:spacing w:after="0" w:line="141" w:lineRule="exact"/>
        <w:rPr>
          <w:sz w:val="20"/>
          <w:szCs w:val="20"/>
          <w:color w:val="auto"/>
        </w:rPr>
      </w:pPr>
    </w:p>
    <w:p>
      <w:pPr>
        <w:ind w:right="40" w:firstLine="1151"/>
        <w:spacing w:after="0" w:line="257"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Inspection</w:t>
      </w:r>
      <w:r>
        <w:rPr>
          <w:rFonts w:ascii="Times New Roman" w:cs="Times New Roman" w:eastAsia="Times New Roman" w:hAnsi="Times New Roman"/>
          <w:sz w:val="14"/>
          <w:szCs w:val="14"/>
          <w:color w:val="auto"/>
        </w:rPr>
        <w:t>. The Company shall permit each Major Investor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in connection with monitoring or making decisions with respect to its investment in the Company with reasonable advance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obligated pursuant to this </w:t>
      </w:r>
      <w:r>
        <w:rPr>
          <w:rFonts w:ascii="Times New Roman" w:cs="Times New Roman" w:eastAsia="Times New Roman" w:hAnsi="Times New Roman"/>
          <w:sz w:val="14"/>
          <w:szCs w:val="14"/>
          <w:u w:val="single" w:color="auto"/>
          <w:color w:val="auto"/>
        </w:rPr>
        <w:t>Subsection 3.2</w:t>
      </w:r>
      <w:r>
        <w:rPr>
          <w:rFonts w:ascii="Times New Roman" w:cs="Times New Roman" w:eastAsia="Times New Roman" w:hAnsi="Times New Roman"/>
          <w:sz w:val="14"/>
          <w:szCs w:val="14"/>
          <w:color w:val="auto"/>
        </w:rPr>
        <w:t xml:space="preserve"> to (a) create any new information or materials or (b)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43" w:lineRule="exact"/>
        <w:rPr>
          <w:sz w:val="20"/>
          <w:szCs w:val="20"/>
          <w:color w:val="auto"/>
        </w:rPr>
      </w:pPr>
    </w:p>
    <w:p>
      <w:pPr>
        <w:ind w:right="120" w:firstLine="1151"/>
        <w:spacing w:after="0" w:line="267"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Termination of Information Rights</w:t>
      </w:r>
      <w:r>
        <w:rPr>
          <w:rFonts w:ascii="Times New Roman" w:cs="Times New Roman" w:eastAsia="Times New Roman" w:hAnsi="Times New Roman"/>
          <w:sz w:val="14"/>
          <w:szCs w:val="14"/>
          <w:color w:val="auto"/>
        </w:rPr>
        <w:t xml:space="preserve">. The covenants set forth in </w:t>
      </w:r>
      <w:r>
        <w:rPr>
          <w:rFonts w:ascii="Times New Roman" w:cs="Times New Roman" w:eastAsia="Times New Roman" w:hAnsi="Times New Roman"/>
          <w:sz w:val="14"/>
          <w:szCs w:val="14"/>
          <w:u w:val="single" w:color="auto"/>
          <w:color w:val="auto"/>
        </w:rPr>
        <w:t>Subsection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Subsection 3.2</w:t>
      </w:r>
      <w:r>
        <w:rPr>
          <w:rFonts w:ascii="Times New Roman" w:cs="Times New Roman" w:eastAsia="Times New Roman" w:hAnsi="Times New Roman"/>
          <w:sz w:val="14"/>
          <w:szCs w:val="14"/>
          <w:color w:val="auto"/>
        </w:rPr>
        <w:t xml:space="preserve"> shall terminate and be of no further force or effect (a) immediately before the consummation of the IPO, (b) when the Company first becomes subject to the periodic reporting requirements of Section 12(g) or 15(d) of the Exchange Act, or (c) upon the closing of a Deemed Liquidation Event, as such term is defined in the Company’s Certificate of Incorporation, whichever event occurs first.</w:t>
      </w:r>
    </w:p>
    <w:p>
      <w:pPr>
        <w:spacing w:after="0" w:line="136" w:lineRule="exact"/>
        <w:rPr>
          <w:sz w:val="20"/>
          <w:szCs w:val="20"/>
          <w:color w:val="auto"/>
        </w:rPr>
      </w:pPr>
    </w:p>
    <w:p>
      <w:pPr>
        <w:ind w:right="20" w:firstLine="1151"/>
        <w:spacing w:after="0" w:line="254"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xml:space="preserve">. Each Investor agrees, severally and not jointly,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4"/>
          <w:szCs w:val="14"/>
          <w:u w:val="single" w:color="auto"/>
          <w:color w:val="auto"/>
        </w:rPr>
        <w:t>Subsection 3.4</w:t>
      </w:r>
      <w:r>
        <w:rPr>
          <w:rFonts w:ascii="Times New Roman" w:cs="Times New Roman" w:eastAsia="Times New Roman" w:hAnsi="Times New Roman"/>
          <w:sz w:val="14"/>
          <w:szCs w:val="14"/>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 Investor may disclose confidential information (i) to its attorneys, accountants, consultants, and other professionals to the extent necessary to obtain their services in connection with monitoring its investment in the Company; (ii) upon prior notice to the Company, to any prospective purchaser of any Registrable Securities from such Investor, if such prospective purchaser agrees to be bound by the provisions of this </w:t>
      </w:r>
      <w:r>
        <w:rPr>
          <w:rFonts w:ascii="Times New Roman" w:cs="Times New Roman" w:eastAsia="Times New Roman" w:hAnsi="Times New Roman"/>
          <w:sz w:val="14"/>
          <w:szCs w:val="14"/>
          <w:u w:val="single" w:color="auto"/>
          <w:color w:val="auto"/>
        </w:rPr>
        <w:t>Subsection 3.4</w:t>
      </w:r>
      <w:r>
        <w:rPr>
          <w:rFonts w:ascii="Times New Roman" w:cs="Times New Roman" w:eastAsia="Times New Roman" w:hAnsi="Times New Roman"/>
          <w:sz w:val="14"/>
          <w:szCs w:val="14"/>
          <w:color w:val="auto"/>
        </w:rPr>
        <w:t xml:space="preserve"> and is not determined to be a Competitor of the Company in the good faith determination of the Board; (iii) in the ordinary course of business, to any existing or prospective Affiliate, partner, member, stockholder, or wholly owned subsidiary of such Investor that is not a Competitor,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Investor informs such Person that such information is confidential and directs such Person to maintain the confidentiality of such information; or (iv) as may otherwise be required by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Investor promptly notifies the Company of such disclosure and takes reasonable steps to minimize the extent of any such required disclosure.</w:t>
      </w:r>
    </w:p>
    <w:p>
      <w:pPr>
        <w:spacing w:after="0" w:line="144" w:lineRule="exact"/>
        <w:rPr>
          <w:sz w:val="20"/>
          <w:szCs w:val="20"/>
          <w:color w:val="auto"/>
        </w:rPr>
      </w:pPr>
    </w:p>
    <w:p>
      <w:pPr>
        <w:ind w:right="22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Limitation on Foreign Person Investors</w:t>
      </w:r>
      <w:r>
        <w:rPr>
          <w:rFonts w:ascii="Times New Roman" w:cs="Times New Roman" w:eastAsia="Times New Roman" w:hAnsi="Times New Roman"/>
          <w:sz w:val="14"/>
          <w:szCs w:val="14"/>
          <w:color w:val="auto"/>
        </w:rPr>
        <w:t xml:space="preserve">. Notwithstanding the covenants set forth in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the Company shall not provide any Investor that is a Foreign Person access to any “material non-public technical information” within the meaning of the DPA.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22" w:name="page323"/>
    <w:bookmarkEnd w:id="322"/>
    <w:p>
      <w:pPr>
        <w:ind w:left="660" w:hanging="145"/>
        <w:spacing w:after="0"/>
        <w:tabs>
          <w:tab w:leader="none" w:pos="6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to Future Stock Issuances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51"/>
        <w:spacing w:after="0" w:line="254"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Right of First Offer</w:t>
      </w:r>
      <w:r>
        <w:rPr>
          <w:rFonts w:ascii="Times New Roman" w:cs="Times New Roman" w:eastAsia="Times New Roman" w:hAnsi="Times New Roman"/>
          <w:sz w:val="14"/>
          <w:szCs w:val="14"/>
          <w:color w:val="auto"/>
        </w:rPr>
        <w:t xml:space="preserve">. Subject to the terms and conditions of this </w:t>
      </w:r>
      <w:r>
        <w:rPr>
          <w:rFonts w:ascii="Times New Roman" w:cs="Times New Roman" w:eastAsia="Times New Roman" w:hAnsi="Times New Roman"/>
          <w:sz w:val="14"/>
          <w:szCs w:val="14"/>
          <w:u w:val="single" w:color="auto"/>
          <w:color w:val="auto"/>
        </w:rPr>
        <w:t>Subsection 4.1</w:t>
      </w:r>
      <w:r>
        <w:rPr>
          <w:rFonts w:ascii="Times New Roman" w:cs="Times New Roman" w:eastAsia="Times New Roman" w:hAnsi="Times New Roman"/>
          <w:sz w:val="14"/>
          <w:szCs w:val="14"/>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(a) itself, (b) its Affiliates and (c) its beneficial interest holders, such as limited partners, members or any other Person having “beneficial ownership,” as such term is defined in Rule 13d-3 promulgated under the Exchange Act, of such Major Investor (“</w:t>
      </w:r>
      <w:r>
        <w:rPr>
          <w:rFonts w:ascii="Times New Roman" w:cs="Times New Roman" w:eastAsia="Times New Roman" w:hAnsi="Times New Roman"/>
          <w:sz w:val="14"/>
          <w:szCs w:val="14"/>
          <w:b w:val="1"/>
          <w:bCs w:val="1"/>
          <w:color w:val="auto"/>
        </w:rPr>
        <w:t>Investor Beneficial Owners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such Affiliate or Investor Beneficial Owner (x) is not a Competitor of the Company or FOIA Party, unless such party’s purchase of New Securities is otherwise consented to by the Board of Directors, including a majority of the Preferred Directors, (y) agrees to enter into this Agreement and each of the Fifth Amended and Restated Voting Agreement and Fifth Amended and Restated Right of First Refusal and Co-Sale Agreement of even date herewith among the Company, the Investors and the other parties named therein, as an “Investor” under each such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Competitor or FOIA Party shall not be entitled to any rights as a Major Investor under </w:t>
      </w:r>
      <w:r>
        <w:rPr>
          <w:rFonts w:ascii="Times New Roman" w:cs="Times New Roman" w:eastAsia="Times New Roman" w:hAnsi="Times New Roman"/>
          <w:sz w:val="14"/>
          <w:szCs w:val="14"/>
          <w:u w:val="single" w:color="auto"/>
          <w:color w:val="auto"/>
        </w:rPr>
        <w:t>Subsections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4.1</w:t>
      </w:r>
      <w:r>
        <w:rPr>
          <w:rFonts w:ascii="Times New Roman" w:cs="Times New Roman" w:eastAsia="Times New Roman" w:hAnsi="Times New Roman"/>
          <w:sz w:val="14"/>
          <w:szCs w:val="14"/>
          <w:color w:val="auto"/>
        </w:rPr>
        <w:t xml:space="preserve"> hereof), and (z) agrees to purchase at least such number of New Securities as are allocable hereunder to the Major Investor holding the fewest number of Preferred Stock and any other Derivative Securities.</w:t>
      </w:r>
    </w:p>
    <w:p>
      <w:pPr>
        <w:spacing w:after="0" w:line="62" w:lineRule="exact"/>
        <w:rPr>
          <w:sz w:val="20"/>
          <w:szCs w:val="20"/>
          <w:color w:val="auto"/>
        </w:rPr>
      </w:pPr>
    </w:p>
    <w:p>
      <w:pPr>
        <w:ind w:firstLine="1666"/>
        <w:spacing w:after="0" w:line="286" w:lineRule="auto"/>
        <w:tabs>
          <w:tab w:leader="none" w:pos="1852"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notice (the “</w:t>
      </w:r>
      <w:r>
        <w:rPr>
          <w:rFonts w:ascii="Times New Roman" w:cs="Times New Roman" w:eastAsia="Times New Roman" w:hAnsi="Times New Roman"/>
          <w:sz w:val="14"/>
          <w:szCs w:val="14"/>
          <w:b w:val="1"/>
          <w:bCs w:val="1"/>
          <w:color w:val="auto"/>
        </w:rPr>
        <w:t>Offer Notice</w:t>
      </w:r>
      <w:r>
        <w:rPr>
          <w:rFonts w:ascii="Times New Roman" w:cs="Times New Roman" w:eastAsia="Times New Roman" w:hAnsi="Times New Roman"/>
          <w:sz w:val="14"/>
          <w:szCs w:val="14"/>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38" w:lineRule="exact"/>
        <w:rPr>
          <w:rFonts w:ascii="Times New Roman" w:cs="Times New Roman" w:eastAsia="Times New Roman" w:hAnsi="Times New Roman"/>
          <w:sz w:val="14"/>
          <w:szCs w:val="14"/>
          <w:color w:val="auto"/>
        </w:rPr>
      </w:pPr>
    </w:p>
    <w:p>
      <w:pPr>
        <w:ind w:firstLine="1666"/>
        <w:spacing w:after="0" w:line="253" w:lineRule="auto"/>
        <w:tabs>
          <w:tab w:leader="none" w:pos="1860"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(x) the Common Stock then held by such Major Investor (including all shares of Common Stock then issuable (directly or indirectly) upon conversion and/or exercise, as applicable, of the Preferred Stock and any other Derivative Securities then held by such Major Investor) bears to (y)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Times New Roman" w:cs="Times New Roman" w:eastAsia="Times New Roman" w:hAnsi="Times New Roman"/>
          <w:sz w:val="14"/>
          <w:szCs w:val="14"/>
          <w:b w:val="1"/>
          <w:bCs w:val="1"/>
          <w:color w:val="auto"/>
        </w:rPr>
        <w:t>Fully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Exercising Investor</w:t>
      </w:r>
      <w:r>
        <w:rPr>
          <w:rFonts w:ascii="Times New Roman" w:cs="Times New Roman" w:eastAsia="Times New Roman" w:hAnsi="Times New Roman"/>
          <w:sz w:val="14"/>
          <w:szCs w:val="14"/>
          <w:color w:val="auto"/>
        </w:rPr>
        <w:t>”) of any other Major Investor’s failure to do likewise. During the ten (10) day period commencing after the Company has given such notice, each Fully Exercising Investor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4"/>
          <w:szCs w:val="14"/>
          <w:u w:val="single" w:color="auto"/>
          <w:color w:val="auto"/>
        </w:rPr>
        <w:t>Subsection 4.1(b)</w:t>
      </w:r>
      <w:r>
        <w:rPr>
          <w:rFonts w:ascii="Times New Roman" w:cs="Times New Roman" w:eastAsia="Times New Roman" w:hAnsi="Times New Roman"/>
          <w:sz w:val="14"/>
          <w:szCs w:val="14"/>
          <w:color w:val="auto"/>
        </w:rPr>
        <w:t xml:space="preserve"> shall occur within the later of one hundred and twenty (120) days of the date that the Offer Notice is given and the date of initial sale of New Securities pursuant to </w:t>
      </w:r>
      <w:r>
        <w:rPr>
          <w:rFonts w:ascii="Times New Roman" w:cs="Times New Roman" w:eastAsia="Times New Roman" w:hAnsi="Times New Roman"/>
          <w:sz w:val="14"/>
          <w:szCs w:val="14"/>
          <w:u w:val="single" w:color="auto"/>
          <w:color w:val="auto"/>
        </w:rPr>
        <w:t>Subsection 4.1(c)</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all New Securities referred to in the Offer Notice are not elected to be purchased or acquired as provided in </w:t>
      </w:r>
      <w:r>
        <w:rPr>
          <w:rFonts w:ascii="Times New Roman" w:cs="Times New Roman" w:eastAsia="Times New Roman" w:hAnsi="Times New Roman"/>
          <w:sz w:val="14"/>
          <w:szCs w:val="14"/>
          <w:u w:val="single" w:color="auto"/>
          <w:color w:val="auto"/>
        </w:rPr>
        <w:t>Subsection 4.1(b)</w:t>
      </w:r>
      <w:r>
        <w:rPr>
          <w:rFonts w:ascii="Times New Roman" w:cs="Times New Roman" w:eastAsia="Times New Roman" w:hAnsi="Times New Roman"/>
          <w:sz w:val="14"/>
          <w:szCs w:val="14"/>
          <w:color w:val="auto"/>
        </w:rPr>
        <w:t>, the Company may, during the ninety</w:t>
      </w:r>
    </w:p>
    <w:p>
      <w:pPr>
        <w:spacing w:after="0" w:line="21" w:lineRule="exact"/>
        <w:rPr>
          <w:rFonts w:ascii="Times New Roman" w:cs="Times New Roman" w:eastAsia="Times New Roman" w:hAnsi="Times New Roman"/>
          <w:sz w:val="14"/>
          <w:szCs w:val="14"/>
          <w:color w:val="auto"/>
        </w:rPr>
      </w:pPr>
    </w:p>
    <w:p>
      <w:pPr>
        <w:ind w:right="180" w:firstLine="4"/>
        <w:spacing w:after="0" w:line="254" w:lineRule="auto"/>
        <w:tabs>
          <w:tab w:leader="none" w:pos="26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 period following the expiration of the periods provided in </w:t>
      </w:r>
      <w:r>
        <w:rPr>
          <w:rFonts w:ascii="Times New Roman" w:cs="Times New Roman" w:eastAsia="Times New Roman" w:hAnsi="Times New Roman"/>
          <w:sz w:val="14"/>
          <w:szCs w:val="14"/>
          <w:u w:val="single" w:color="auto"/>
          <w:color w:val="auto"/>
        </w:rPr>
        <w:t>Subsection 4.1(b)</w:t>
      </w:r>
      <w:r>
        <w:rPr>
          <w:rFonts w:ascii="Times New Roman" w:cs="Times New Roman" w:eastAsia="Times New Roman" w:hAnsi="Times New Roman"/>
          <w:sz w:val="14"/>
          <w:szCs w:val="14"/>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14"/>
          <w:szCs w:val="14"/>
          <w:u w:val="single" w:color="auto"/>
          <w:color w:val="auto"/>
        </w:rPr>
        <w:t>Subsection 4.1</w:t>
      </w:r>
      <w:r>
        <w:rPr>
          <w:rFonts w:ascii="Times New Roman" w:cs="Times New Roman" w:eastAsia="Times New Roman" w:hAnsi="Times New Roman"/>
          <w:sz w:val="14"/>
          <w:szCs w:val="14"/>
          <w:color w:val="auto"/>
        </w:rPr>
        <w:t>.</w:t>
      </w:r>
    </w:p>
    <w:p>
      <w:pPr>
        <w:spacing w:after="0" w:line="60" w:lineRule="exact"/>
        <w:rPr>
          <w:rFonts w:ascii="Times New Roman" w:cs="Times New Roman" w:eastAsia="Times New Roman" w:hAnsi="Times New Roman"/>
          <w:sz w:val="14"/>
          <w:szCs w:val="14"/>
          <w:color w:val="auto"/>
        </w:rPr>
      </w:pPr>
    </w:p>
    <w:p>
      <w:pPr>
        <w:ind w:right="60" w:firstLine="1666"/>
        <w:spacing w:after="0" w:line="283" w:lineRule="auto"/>
        <w:tabs>
          <w:tab w:leader="none" w:pos="186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 of first offer in this </w:t>
      </w:r>
      <w:r>
        <w:rPr>
          <w:rFonts w:ascii="Times New Roman" w:cs="Times New Roman" w:eastAsia="Times New Roman" w:hAnsi="Times New Roman"/>
          <w:sz w:val="14"/>
          <w:szCs w:val="14"/>
          <w:u w:val="single" w:color="auto"/>
          <w:color w:val="auto"/>
        </w:rPr>
        <w:t>Subsection 4.1</w:t>
      </w:r>
      <w:r>
        <w:rPr>
          <w:rFonts w:ascii="Times New Roman" w:cs="Times New Roman" w:eastAsia="Times New Roman" w:hAnsi="Times New Roman"/>
          <w:sz w:val="14"/>
          <w:szCs w:val="14"/>
          <w:color w:val="auto"/>
        </w:rPr>
        <w:t xml:space="preserve"> shall not be applicable to (i) Exempted Securities (as defined in the Company’s Certificate of Incorporation as in effect on the date hereof) and (ii) shares of Common Stock issued in the IPO.</w:t>
      </w:r>
    </w:p>
    <w:p>
      <w:pPr>
        <w:spacing w:after="0" w:line="125" w:lineRule="exact"/>
        <w:rPr>
          <w:sz w:val="20"/>
          <w:szCs w:val="20"/>
          <w:color w:val="auto"/>
        </w:rPr>
      </w:pPr>
    </w:p>
    <w:p>
      <w:pPr>
        <w:ind w:right="40" w:firstLine="1151"/>
        <w:spacing w:after="0" w:line="267"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The covenants set forth in </w:t>
      </w:r>
      <w:r>
        <w:rPr>
          <w:rFonts w:ascii="Times New Roman" w:cs="Times New Roman" w:eastAsia="Times New Roman" w:hAnsi="Times New Roman"/>
          <w:sz w:val="14"/>
          <w:szCs w:val="14"/>
          <w:u w:val="single" w:color="auto"/>
          <w:color w:val="auto"/>
        </w:rPr>
        <w:t>Subsection 4.1</w:t>
      </w:r>
      <w:r>
        <w:rPr>
          <w:rFonts w:ascii="Times New Roman" w:cs="Times New Roman" w:eastAsia="Times New Roman" w:hAnsi="Times New Roman"/>
          <w:sz w:val="14"/>
          <w:szCs w:val="14"/>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Company’s Certificate of Incorporation, whichever event occurs first.</w:t>
      </w:r>
    </w:p>
    <w:p>
      <w:pPr>
        <w:spacing w:after="0" w:line="136" w:lineRule="exact"/>
        <w:rPr>
          <w:sz w:val="20"/>
          <w:szCs w:val="20"/>
          <w:color w:val="auto"/>
        </w:rPr>
      </w:pPr>
    </w:p>
    <w:p>
      <w:pPr>
        <w:ind w:left="660" w:hanging="145"/>
        <w:spacing w:after="0"/>
        <w:tabs>
          <w:tab w:leader="none" w:pos="6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Covenants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61"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Notwithstanding any other provision of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to the contrary, for so long as a Preferred Director is serving on the Board of Directors, the Company shall not cease to maintain a Directors and Officers liability insurance policy in an amount and provided by a carrier satisfactory to the Board of Directors, including a majority of the Preferred Directors. In the event the Company merges with another entity and is not the surviving corporation, or transfers all of its assets, the Company shall use commercially reasonable best efforts (a) for proper provisions to be made so that successors of the Company assume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color w:val="auto"/>
        </w:rPr>
        <w:t>obligations with respect to indemnification of the members of the Board of Directors of the Company following such a transaction, and (b) to bind a customary D&amp;O “tail” policy.</w:t>
      </w:r>
    </w:p>
    <w:p>
      <w:pPr>
        <w:spacing w:after="0" w:line="175" w:lineRule="exact"/>
        <w:rPr>
          <w:sz w:val="20"/>
          <w:szCs w:val="20"/>
          <w:color w:val="auto"/>
        </w:rPr>
      </w:pPr>
    </w:p>
    <w:p>
      <w:pPr>
        <w:ind w:right="100" w:firstLine="1151"/>
        <w:spacing w:after="0" w:line="257"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Employee Agreements</w:t>
      </w:r>
      <w:r>
        <w:rPr>
          <w:rFonts w:ascii="Times New Roman" w:cs="Times New Roman" w:eastAsia="Times New Roman" w:hAnsi="Times New Roman"/>
          <w:sz w:val="14"/>
          <w:szCs w:val="14"/>
          <w:color w:val="auto"/>
        </w:rPr>
        <w:t>. The Company will cause (a) each person currently or hereafter employed by the Company or by any subsidiary (or engaged by the Company or any subsidiary as a consultant/independent contractor) with access to confidential information and/or trade secrets, including each Key Employee, to enter into a nondisclosure and proprietary rights assignment agreement substantially in the form approved by the Board of Directors, including a majority of the Preferred Directors and (b) Mathai Mammen, each executive officer of the Company, each current Key Employee of the Company and each newly hired or engaged Key Employee to enter into a one (1) year noncompetition and nonsolicitation agreement, substantially in the form approved by the Board of Directors, including a majority of the Preferred Directors. In addition, the Company shall not amend, modify, terminate, waive, or otherwise alter, in whole or in part, any of the above-referenced agreements or any restricted stock agreement between the Company and any employee, without the consent of a majority of the Preferred Directors.</w:t>
      </w:r>
    </w:p>
    <w:p>
      <w:pPr>
        <w:spacing w:after="0" w:line="143" w:lineRule="exact"/>
        <w:rPr>
          <w:sz w:val="20"/>
          <w:szCs w:val="20"/>
          <w:color w:val="auto"/>
        </w:rPr>
      </w:pPr>
    </w:p>
    <w:p>
      <w:pPr>
        <w:ind w:firstLine="1151"/>
        <w:spacing w:after="0" w:line="25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Employee Stock</w:t>
      </w:r>
      <w:r>
        <w:rPr>
          <w:rFonts w:ascii="Times New Roman" w:cs="Times New Roman" w:eastAsia="Times New Roman" w:hAnsi="Times New Roman"/>
          <w:sz w:val="14"/>
          <w:szCs w:val="14"/>
          <w:color w:val="auto"/>
        </w:rPr>
        <w:t xml:space="preserve">. Unless otherwise approved by the Board of Directors, including a majority of the Preferred Directors, all future employees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4"/>
          <w:szCs w:val="14"/>
          <w:u w:val="single" w:color="auto"/>
          <w:color w:val="auto"/>
        </w:rPr>
        <w:t>Subsection 2.11</w:t>
      </w:r>
      <w:r>
        <w:rPr>
          <w:rFonts w:ascii="Times New Roman" w:cs="Times New Roman" w:eastAsia="Times New Roman" w:hAnsi="Times New Roman"/>
          <w:sz w:val="14"/>
          <w:szCs w:val="14"/>
          <w:color w:val="auto"/>
        </w:rPr>
        <w:t>. Without prior approval by the Board of Directors, including a majority of the Preferred Directors, the Company shall not amend, modify, terminate, waive or otherwise alter, in whole or in part, any stock purchase, stock restriction or option agreement with any existing employee or service provider if such amendment would result in a modification or acceleration of the vesting schedule or lock-up period set forth therein. In addition, unless otherwise approved by the Board of Directors, including a majority of the Preferred Directors, the Company shall retain (and not waive) a “right of first refusal” on employee transfers until the Company’s IPO and shall have the right to repurchase unvested shares at cost upon termination of employment of a holder of restricted stock.</w:t>
      </w:r>
    </w:p>
    <w:p>
      <w:pPr>
        <w:spacing w:after="0" w:line="145" w:lineRule="exact"/>
        <w:rPr>
          <w:sz w:val="20"/>
          <w:szCs w:val="20"/>
          <w:color w:val="auto"/>
        </w:rPr>
      </w:pPr>
    </w:p>
    <w:p>
      <w:pPr>
        <w:ind w:right="80" w:firstLine="1151"/>
        <w:spacing w:after="0" w:line="267"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Matters Requiring Preferred Director Approval</w:t>
      </w:r>
      <w:r>
        <w:rPr>
          <w:rFonts w:ascii="Times New Roman" w:cs="Times New Roman" w:eastAsia="Times New Roman" w:hAnsi="Times New Roman"/>
          <w:sz w:val="14"/>
          <w:szCs w:val="14"/>
          <w:color w:val="auto"/>
        </w:rPr>
        <w:t>. So long as the holders of Series A Preferred Stock, Series B Preferred Stock, Series C Preferred Stock, Series D Preferred Stock, Series E Preferred Stock and Series F Preferred Stock are entitled to elect any Preferred Directors, the Company hereby covenants and agrees with each of the Investors that it shall not, without approval of the Board of Directors, which approval must include a majority of the Preferred Directors then serving:</w:t>
      </w:r>
    </w:p>
    <w:p>
      <w:pPr>
        <w:spacing w:after="0" w:line="51" w:lineRule="exact"/>
        <w:rPr>
          <w:sz w:val="20"/>
          <w:szCs w:val="20"/>
          <w:color w:val="auto"/>
        </w:rPr>
      </w:pPr>
    </w:p>
    <w:p>
      <w:pPr>
        <w:ind w:right="20" w:firstLine="1666"/>
        <w:spacing w:after="0" w:line="283" w:lineRule="auto"/>
        <w:tabs>
          <w:tab w:leader="none" w:pos="1852"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permit any subsidiary to make, any loan or advance to, or own any stock or other securities of, any subsidiary or other corporation, partnership, or other entity unless it is wholly owned by the Company;</w:t>
      </w:r>
    </w:p>
    <w:p>
      <w:pPr>
        <w:spacing w:after="0" w:line="40" w:lineRule="exact"/>
        <w:rPr>
          <w:rFonts w:ascii="Times New Roman" w:cs="Times New Roman" w:eastAsia="Times New Roman" w:hAnsi="Times New Roman"/>
          <w:sz w:val="14"/>
          <w:szCs w:val="14"/>
          <w:color w:val="auto"/>
        </w:rPr>
      </w:pPr>
    </w:p>
    <w:p>
      <w:pPr>
        <w:ind w:right="60" w:firstLine="1666"/>
        <w:spacing w:after="0" w:line="283" w:lineRule="auto"/>
        <w:tabs>
          <w:tab w:leader="none" w:pos="18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40" w:lineRule="exact"/>
        <w:rPr>
          <w:rFonts w:ascii="Times New Roman" w:cs="Times New Roman" w:eastAsia="Times New Roman" w:hAnsi="Times New Roman"/>
          <w:sz w:val="14"/>
          <w:szCs w:val="14"/>
          <w:color w:val="auto"/>
        </w:rPr>
      </w:pPr>
    </w:p>
    <w:p>
      <w:pPr>
        <w:ind w:right="460" w:firstLine="1666"/>
        <w:spacing w:after="0" w:line="283" w:lineRule="auto"/>
        <w:tabs>
          <w:tab w:leader="none" w:pos="1852"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directly or indirectly, or permit any subsidiary to guarantee, directly or indirectly, any indebtedness except for trade accounts of the Company or any subsidiary arising in the ordinary course of business;</w:t>
      </w:r>
    </w:p>
    <w:p>
      <w:pPr>
        <w:spacing w:after="0" w:line="40"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investment inconsistent with any investment policy approved by the Board of Directors, nor alter or amend any such investment policy or cash management</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 or practice;</w:t>
      </w:r>
    </w:p>
    <w:p>
      <w:pPr>
        <w:spacing w:after="0" w:line="76"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aggregate indebtedness in excess of $250,000 that is not already included in a budget approved by the Board of Directors, other than trade credit incurred in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course of business;</w:t>
      </w:r>
    </w:p>
    <w:p>
      <w:pPr>
        <w:spacing w:after="0" w:line="76" w:lineRule="exact"/>
        <w:rPr>
          <w:rFonts w:ascii="Times New Roman" w:cs="Times New Roman" w:eastAsia="Times New Roman" w:hAnsi="Times New Roman"/>
          <w:sz w:val="14"/>
          <w:szCs w:val="14"/>
          <w:color w:val="auto"/>
        </w:rPr>
      </w:pPr>
    </w:p>
    <w:p>
      <w:pPr>
        <w:ind w:right="20" w:firstLine="1666"/>
        <w:spacing w:after="0" w:line="261" w:lineRule="auto"/>
        <w:tabs>
          <w:tab w:leader="none" w:pos="1837"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enter into or be a party to any transaction with any director, officer, employee, or holder of at least 10% of the issued and outstanding capital stock of the Company or any “associate” (as defined in Rule 12b-2 promulgated under the Exchange Act) of any such Person, except (i) for transactions contemplated by this Agreement or the Purchase Agreement, (ii) individual transactions in the ordinary course of business and consistent with past practice involving amounts less than $50,000 and (iii) transactions made in the ordinary course of business and pursuant to reasonable requirements of the Company’s business and upon fair and reasonable terms that are approved by a majority of the disinterested members of the Board of Directors;</w:t>
      </w:r>
    </w:p>
    <w:p>
      <w:pPr>
        <w:spacing w:after="0" w:line="56"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terminate, or change the compensation of the chief executive officer, including approving any option grants or stock awards to the chief executive officer;</w:t>
      </w:r>
    </w:p>
    <w:p>
      <w:pPr>
        <w:spacing w:after="0" w:line="91"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principal business of the Company, enter new lines of business, or exit the current line of business; or</w:t>
      </w:r>
    </w:p>
    <w:p>
      <w:pPr>
        <w:spacing w:after="0" w:line="91" w:lineRule="exact"/>
        <w:rPr>
          <w:rFonts w:ascii="Times New Roman" w:cs="Times New Roman" w:eastAsia="Times New Roman" w:hAnsi="Times New Roman"/>
          <w:sz w:val="14"/>
          <w:szCs w:val="14"/>
          <w:color w:val="auto"/>
        </w:rPr>
      </w:pPr>
    </w:p>
    <w:p>
      <w:pPr>
        <w:ind w:right="260" w:firstLine="1666"/>
        <w:spacing w:after="0" w:line="283" w:lineRule="auto"/>
        <w:tabs>
          <w:tab w:leader="none" w:pos="1829"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exclusively license, pledge, or encumber material technology or intellectual property, other than licenses granted in the ordinary course of business (for clarity, material research and development collaborations and corporate strategic relationships shall be deemed outside of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24" w:name="page325"/>
    <w:bookmarkEnd w:id="324"/>
    <w:p>
      <w:pPr>
        <w:jc w:val="both"/>
        <w:ind w:right="100" w:firstLine="1151"/>
        <w:spacing w:after="0" w:line="267"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Board Matters</w:t>
      </w:r>
      <w:r>
        <w:rPr>
          <w:rFonts w:ascii="Times New Roman" w:cs="Times New Roman" w:eastAsia="Times New Roman" w:hAnsi="Times New Roman"/>
          <w:sz w:val="14"/>
          <w:szCs w:val="14"/>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 Each Preferred Director shall have the right to join each committee of the Board of Directors that may be established from time to time.</w:t>
      </w:r>
    </w:p>
    <w:p>
      <w:pPr>
        <w:spacing w:after="0" w:line="136" w:lineRule="exact"/>
        <w:rPr>
          <w:sz w:val="20"/>
          <w:szCs w:val="20"/>
          <w:color w:val="auto"/>
        </w:rPr>
      </w:pPr>
    </w:p>
    <w:p>
      <w:pPr>
        <w:ind w:right="12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Successor Indemnification</w:t>
      </w:r>
      <w:r>
        <w:rPr>
          <w:rFonts w:ascii="Times New Roman" w:cs="Times New Roman" w:eastAsia="Times New Roman" w:hAnsi="Times New Roman"/>
          <w:sz w:val="14"/>
          <w:szCs w:val="14"/>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41" w:lineRule="exact"/>
        <w:rPr>
          <w:sz w:val="20"/>
          <w:szCs w:val="20"/>
          <w:color w:val="auto"/>
        </w:rPr>
      </w:pPr>
    </w:p>
    <w:p>
      <w:pPr>
        <w:ind w:right="40" w:firstLine="1151"/>
        <w:spacing w:after="0" w:line="253"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Expenses of Counsel</w:t>
      </w:r>
      <w:r>
        <w:rPr>
          <w:rFonts w:ascii="Times New Roman" w:cs="Times New Roman" w:eastAsia="Times New Roman" w:hAnsi="Times New Roman"/>
          <w:sz w:val="14"/>
          <w:szCs w:val="14"/>
          <w:color w:val="auto"/>
        </w:rPr>
        <w:t>. In the event of a transaction which is a Sale of the Company (as defined in the Fifth Amended and Restated Voting Agreement of even date herewith among the Investors and the Company and the other parties named therein), the reasonable fees and disbursements, not to exceed $50,000 of one counsel for the Major Investors that are not Competitors (“</w:t>
      </w:r>
      <w:r>
        <w:rPr>
          <w:rFonts w:ascii="Times New Roman" w:cs="Times New Roman" w:eastAsia="Times New Roman" w:hAnsi="Times New Roman"/>
          <w:sz w:val="14"/>
          <w:szCs w:val="14"/>
          <w:b w:val="1"/>
          <w:bCs w:val="1"/>
          <w:color w:val="auto"/>
        </w:rPr>
        <w:t>Investor Counsel</w:t>
      </w:r>
      <w:r>
        <w:rPr>
          <w:rFonts w:ascii="Times New Roman" w:cs="Times New Roman" w:eastAsia="Times New Roman" w:hAnsi="Times New Roman"/>
          <w:sz w:val="14"/>
          <w:szCs w:val="14"/>
          <w:color w:val="auto"/>
        </w:rPr>
        <w:t>”), in their capacities as stockholders, shall be borne and paid by the Company. Following the execution of a definitive term sheet in respect of any transaction which if consummated would constitute a Sale of the Company, the Company shall use commercially reasonable efforts to obtain the ability to share with the Investor Counsel (and such counsel’s clients that are Major Investors and not Competitors),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with Investor Counsel concurrently with the distribution of such materials to any other stockholder of the Company in his or her capacity as such.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the Company and Investor Counsel. In the event that one or more of the other parties to such transactions require the Major Investor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Major Investor clients to negotiate and enter into the appropriate agreement(s) without undue burden to the clients of Investor Counsel.</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Indemnification Matters</w:t>
      </w:r>
      <w:r>
        <w:rPr>
          <w:rFonts w:ascii="Times New Roman" w:cs="Times New Roman" w:eastAsia="Times New Roman" w:hAnsi="Times New Roman"/>
          <w:sz w:val="14"/>
          <w:szCs w:val="14"/>
          <w:color w:val="auto"/>
        </w:rPr>
        <w:t>. The Company hereby acknowledges that one (1) or more of the directors nominated to serve on the Board of Directors by the Investors (each 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 Director</w:t>
      </w:r>
      <w:r>
        <w:rPr>
          <w:rFonts w:ascii="Times New Roman" w:cs="Times New Roman" w:eastAsia="Times New Roman" w:hAnsi="Times New Roman"/>
          <w:sz w:val="14"/>
          <w:szCs w:val="14"/>
          <w:color w:val="auto"/>
        </w:rPr>
        <w:t>”) may have certain rights to indemnification, advancement of expenses and/or insurance provided by one or more of the Investors and certain of their Affiliates (collectively,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 Indemnitors</w:t>
      </w:r>
      <w:r>
        <w:rPr>
          <w:rFonts w:ascii="Times New Roman" w:cs="Times New Roman" w:eastAsia="Times New Roman" w:hAnsi="Times New Roman"/>
          <w:sz w:val="14"/>
          <w:szCs w:val="14"/>
          <w:color w:val="auto"/>
        </w:rPr>
        <w:t>”). The Company hereby agrees (a) that it is the indemnitor of first resort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its obligations to any such Investor Director are primary and any obligation of the Investor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Indemnitors to advance expenses or to provide indemnification for the same expenses or liabilities incurred by such Investor Director are secondary), (b) that it shall be required to advance the full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of expenses incurred by such Investor Director and shall be liable for the full amount of all expenses, judgments, penalties, fines and amounts paid in settlement by or on behalf of any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Director to the extent legally permitted and as required by the Company’s Certificate of Incorporation or Bylaws of the Company (or any agreement between the Company and such Investor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without regard to any rights such Investor Director may have against the Investor Indemnitors, and, (c) that it irrevocably waives, relinquishes and releases the Investor Indemnitors from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all claims against the Investor Indemnitors for contribution, subrogation or any other recovery of any kind in respect thereof. The Company further agrees that no advancement or payment by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Indemnitors on behalf of any such Investor Director with respect to any claim for which such Investor Director has sought indemnification from the Company shall affect the foregoing and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Indemnitors shall have a right of contribution and/or be subrogated to the extent of such advancement or payment to all of the rights of recovery of such Investor Director against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Investor Directors and the Investor Indemnitors are intended third-party beneficiaries of this </w:t>
      </w:r>
      <w:r>
        <w:rPr>
          <w:rFonts w:ascii="Times New Roman" w:cs="Times New Roman" w:eastAsia="Times New Roman" w:hAnsi="Times New Roman"/>
          <w:sz w:val="14"/>
          <w:szCs w:val="14"/>
          <w:u w:val="single" w:color="auto"/>
          <w:color w:val="auto"/>
        </w:rPr>
        <w:t>Subsection 5.9</w:t>
      </w:r>
      <w:r>
        <w:rPr>
          <w:rFonts w:ascii="Times New Roman" w:cs="Times New Roman" w:eastAsia="Times New Roman" w:hAnsi="Times New Roman"/>
          <w:sz w:val="14"/>
          <w:szCs w:val="14"/>
          <w:color w:val="auto"/>
        </w:rPr>
        <w:t xml:space="preserve"> and shall have the right, power and authority to enforce the provisions hereof as though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they were a party hereto.</w:t>
      </w:r>
    </w:p>
    <w:p>
      <w:pPr>
        <w:spacing w:after="0" w:line="161" w:lineRule="exact"/>
        <w:rPr>
          <w:sz w:val="20"/>
          <w:szCs w:val="20"/>
          <w:color w:val="auto"/>
        </w:rPr>
      </w:pPr>
    </w:p>
    <w:p>
      <w:pPr>
        <w:ind w:right="20" w:firstLine="1151"/>
        <w:spacing w:after="0" w:line="256"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The Company covenants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25" w:name="page326"/>
    <w:bookmarkEnd w:id="325"/>
    <w:p>
      <w:pPr>
        <w:ind w:right="200"/>
        <w:spacing w:after="0" w:line="257" w:lineRule="auto"/>
        <w:rPr>
          <w:sz w:val="20"/>
          <w:szCs w:val="20"/>
          <w:color w:val="auto"/>
        </w:rPr>
      </w:pPr>
      <w:r>
        <w:rPr>
          <w:rFonts w:ascii="Times New Roman" w:cs="Times New Roman" w:eastAsia="Times New Roman" w:hAnsi="Times New Roman"/>
          <w:sz w:val="14"/>
          <w:szCs w:val="14"/>
          <w:color w:val="auto"/>
        </w:rPr>
        <w:t>to) maintain commercially reasonable systems of internal controls (including, but not limited to, accounting systems, purchasing systems and billing systems) to provide reasonable assurances regarding compliance with the FCPA, the U.K. Bribery Act, or any other applicable anti-bribery or anti-corruption law. Upon request by a Major Investor, the Company agrees to provide responsive information and/or certifications to such Major Investor concerning its compliance with applicable anti-corruption laws. The Company shall promptly notify each Major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5.10 </w:t>
      </w:r>
      <w:r>
        <w:rPr>
          <w:rFonts w:ascii="Times New Roman" w:cs="Times New Roman" w:eastAsia="Times New Roman" w:hAnsi="Times New Roman"/>
          <w:sz w:val="14"/>
          <w:szCs w:val="14"/>
          <w:u w:val="single" w:color="auto"/>
          <w:color w:val="auto"/>
        </w:rPr>
        <w:t>CFIUS and Foreign Person Limitations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120" w:firstLine="1666"/>
        <w:spacing w:after="0" w:line="267" w:lineRule="auto"/>
        <w:tabs>
          <w:tab w:leader="none" w:pos="1852"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approved by the Board of Directors, the Company will not provide to any Foreign Person any DPA Triggering Rights. No Investor who is a Foreign Person shall be permitted to obtain any DPA Triggering Rights or a voting equity interest in the Company that exceeds nine and nine-tenths percent (9.9%) of the Company’s total voting securities pursuant to the Purchase Agreement, Section 4 of this Agreement, or otherwise, including by way of any secondary transaction(s), without the approval of the Board of Directors.</w:t>
      </w:r>
    </w:p>
    <w:p>
      <w:pPr>
        <w:spacing w:after="0" w:line="51" w:lineRule="exact"/>
        <w:rPr>
          <w:rFonts w:ascii="Times New Roman" w:cs="Times New Roman" w:eastAsia="Times New Roman" w:hAnsi="Times New Roman"/>
          <w:sz w:val="14"/>
          <w:szCs w:val="14"/>
          <w:color w:val="auto"/>
        </w:rPr>
      </w:pPr>
    </w:p>
    <w:p>
      <w:pPr>
        <w:ind w:right="100" w:firstLine="1666"/>
        <w:spacing w:after="0" w:line="283" w:lineRule="auto"/>
        <w:tabs>
          <w:tab w:leader="none" w:pos="18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covenants that it will notify the Company in advance of permitting any Foreign Person affiliated with Investor, whether affiliated as a limited partner or otherwise, to obtain through Investor any DPA Triggering Rights.</w:t>
      </w:r>
    </w:p>
    <w:p>
      <w:pPr>
        <w:spacing w:after="0" w:line="40" w:lineRule="exact"/>
        <w:rPr>
          <w:rFonts w:ascii="Times New Roman" w:cs="Times New Roman" w:eastAsia="Times New Roman" w:hAnsi="Times New Roman"/>
          <w:sz w:val="14"/>
          <w:szCs w:val="14"/>
          <w:color w:val="auto"/>
        </w:rPr>
      </w:pPr>
    </w:p>
    <w:p>
      <w:pPr>
        <w:ind w:right="40" w:firstLine="1666"/>
        <w:spacing w:after="0" w:line="258" w:lineRule="auto"/>
        <w:tabs>
          <w:tab w:leader="none" w:pos="1852"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acknowledges and agrees that the Company is authorized, without the consent of any Person, including any Investor, to take any action as the Board of Directors determines, in its good faith discretion, to be necessary or advisable to comply with the DPA and/or the laws, rules, regulations, directives, or special measures adopted or implemented by the Committee on Foreign Investment in the United States (“</w:t>
      </w:r>
      <w:r>
        <w:rPr>
          <w:rFonts w:ascii="Times New Roman" w:cs="Times New Roman" w:eastAsia="Times New Roman" w:hAnsi="Times New Roman"/>
          <w:sz w:val="14"/>
          <w:szCs w:val="14"/>
          <w:b w:val="1"/>
          <w:bCs w:val="1"/>
          <w:color w:val="auto"/>
        </w:rPr>
        <w:t>CFIUS</w:t>
      </w:r>
      <w:r>
        <w:rPr>
          <w:rFonts w:ascii="Times New Roman" w:cs="Times New Roman" w:eastAsia="Times New Roman" w:hAnsi="Times New Roman"/>
          <w:sz w:val="14"/>
          <w:szCs w:val="14"/>
          <w:color w:val="auto"/>
        </w:rPr>
        <w:t xml:space="preserve">”) pursuant to the DPA, which shall include (i) restricting access to facilities, information, and/or materials, including access to facilities, information, and/or materials that the Company may otherwise be required to provide pursuant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and/or (ii) limiting or eliminating an Investor’s right of first offer pursuant to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right="60" w:firstLine="1151"/>
        <w:spacing w:after="0" w:line="255"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Qualified Small Business Stock</w:t>
      </w:r>
      <w:r>
        <w:rPr>
          <w:rFonts w:ascii="Times New Roman" w:cs="Times New Roman" w:eastAsia="Times New Roman" w:hAnsi="Times New Roman"/>
          <w:sz w:val="14"/>
          <w:szCs w:val="14"/>
          <w:color w:val="auto"/>
        </w:rPr>
        <w:t>. The Company shall use commercially reasonable efforts to cause the shares of Series A Preferred Stock and Series B Preferred Stock, as well as any shares into which such shares are converted, within the meaning of Section 1202(f) of the Internal Revenue Code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xml:space="preserve">”), to constitute “qualified small business stock” as defined in Section 1202(c) of the Code;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45" w:lineRule="exact"/>
        <w:rPr>
          <w:sz w:val="20"/>
          <w:szCs w:val="20"/>
          <w:color w:val="auto"/>
        </w:rPr>
      </w:pPr>
    </w:p>
    <w:p>
      <w:pPr>
        <w:ind w:right="40" w:firstLine="1151"/>
        <w:spacing w:after="0" w:line="256" w:lineRule="auto"/>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4"/>
          <w:szCs w:val="14"/>
          <w:u w:val="single" w:color="auto"/>
          <w:color w:val="auto"/>
        </w:rPr>
        <w:t>Real Property Holding Corporation</w:t>
      </w:r>
      <w:r>
        <w:rPr>
          <w:rFonts w:ascii="Times New Roman" w:cs="Times New Roman" w:eastAsia="Times New Roman" w:hAnsi="Times New Roman"/>
          <w:sz w:val="14"/>
          <w:szCs w:val="14"/>
          <w:color w:val="auto"/>
        </w:rPr>
        <w:t>. Within a reasonable period following (and in any event within 20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 provided, such obligation shall terminate as to any particular Investor when the Investor no longer owns shares of Preferred Stock or any shares of Common Stock issued upon conversion of Preferred Stock.</w:t>
      </w:r>
    </w:p>
    <w:p>
      <w:pPr>
        <w:spacing w:after="0" w:line="144" w:lineRule="exact"/>
        <w:rPr>
          <w:sz w:val="20"/>
          <w:szCs w:val="20"/>
          <w:color w:val="auto"/>
        </w:rPr>
      </w:pPr>
    </w:p>
    <w:p>
      <w:pPr>
        <w:ind w:firstLine="1151"/>
        <w:spacing w:after="0" w:line="267" w:lineRule="auto"/>
        <w:rPr>
          <w:sz w:val="20"/>
          <w:szCs w:val="20"/>
          <w:color w:val="auto"/>
        </w:rPr>
      </w:pPr>
      <w:r>
        <w:rPr>
          <w:rFonts w:ascii="Times New Roman" w:cs="Times New Roman" w:eastAsia="Times New Roman" w:hAnsi="Times New Roman"/>
          <w:sz w:val="14"/>
          <w:szCs w:val="14"/>
          <w:color w:val="auto"/>
        </w:rPr>
        <w:t xml:space="preserve">5.13 </w:t>
      </w:r>
      <w:r>
        <w:rPr>
          <w:rFonts w:ascii="Times New Roman" w:cs="Times New Roman" w:eastAsia="Times New Roman" w:hAnsi="Times New Roman"/>
          <w:sz w:val="14"/>
          <w:szCs w:val="14"/>
          <w:u w:val="single" w:color="auto"/>
          <w:color w:val="auto"/>
        </w:rPr>
        <w:t>Termination of Covenants</w:t>
      </w:r>
      <w:r>
        <w:rPr>
          <w:rFonts w:ascii="Times New Roman" w:cs="Times New Roman" w:eastAsia="Times New Roman" w:hAnsi="Times New Roman"/>
          <w:sz w:val="14"/>
          <w:szCs w:val="14"/>
          <w:color w:val="auto"/>
        </w:rPr>
        <w:t xml:space="preserve">. The covenants set forth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except for </w:t>
      </w:r>
      <w:r>
        <w:rPr>
          <w:rFonts w:ascii="Times New Roman" w:cs="Times New Roman" w:eastAsia="Times New Roman" w:hAnsi="Times New Roman"/>
          <w:sz w:val="14"/>
          <w:szCs w:val="14"/>
          <w:u w:val="single" w:color="auto"/>
          <w:color w:val="auto"/>
        </w:rPr>
        <w:t>Subsections 5.6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5.8</w:t>
      </w:r>
      <w:r>
        <w:rPr>
          <w:rFonts w:ascii="Times New Roman" w:cs="Times New Roman" w:eastAsia="Times New Roman" w:hAnsi="Times New Roman"/>
          <w:sz w:val="14"/>
          <w:szCs w:val="14"/>
          <w:color w:val="auto"/>
        </w:rPr>
        <w:t>, shall terminate and be of no further force or effect (a) immediately before the consummation of the IPO, (b) when the Company first becomes subject to the periodic reporting requirements of Section 12(g) or 15(d) of the Exchange Act, or (c) upon the closing of a Deemed Liquidation Event, as such term is defined in the Company’s Certificate of Incorporation, whichever event occurs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26" w:name="page327"/>
    <w:bookmarkEnd w:id="326"/>
    <w:p>
      <w:pPr>
        <w:ind w:left="660" w:hanging="145"/>
        <w:spacing w:after="0"/>
        <w:tabs>
          <w:tab w:leader="none" w:pos="6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00" w:firstLine="1151"/>
        <w:spacing w:after="0" w:line="253"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The rights under this Agreement may be assigned (but only with all related obligations) by a Holder to a transferee of Registrable Securities that (a) is an Affiliate of a Holder and not determined in the good faith discretion of the Board of Directors to be a Competitor; or (b) is a Holder’s Immediate Family Member or trust for the benefit of an individual Holder or one or more of such Holder’s Immediate Family Members; or (c) after such transfer, holds at least 600,000 shares of Registrable Securities (subject to appropriate adjustment for stock splits, stock dividends, combinations, and other recapitalizations);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4"/>
          <w:szCs w:val="14"/>
          <w:u w:val="single" w:color="auto"/>
          <w:color w:val="auto"/>
        </w:rPr>
        <w:t>Subsection 2.11</w:t>
      </w:r>
      <w:r>
        <w:rPr>
          <w:rFonts w:ascii="Times New Roman" w:cs="Times New Roman" w:eastAsia="Times New Roman" w:hAnsi="Times New Roman"/>
          <w:sz w:val="14"/>
          <w:szCs w:val="14"/>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all transferees who would not qualify individually for assignment of rights shall, as a condition to the applicable transfer,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50" w:lineRule="exact"/>
        <w:rPr>
          <w:sz w:val="20"/>
          <w:szCs w:val="20"/>
          <w:color w:val="auto"/>
        </w:rPr>
      </w:pPr>
    </w:p>
    <w:p>
      <w:pPr>
        <w:ind w:right="10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the internal law of the State of Delaware, without regard to conflict of law principles that would result in the application of any law other than the law of the State of Delaware.</w:t>
      </w:r>
    </w:p>
    <w:p>
      <w:pPr>
        <w:spacing w:after="0" w:line="125" w:lineRule="exact"/>
        <w:rPr>
          <w:sz w:val="20"/>
          <w:szCs w:val="20"/>
          <w:color w:val="auto"/>
        </w:rPr>
      </w:pPr>
    </w:p>
    <w:p>
      <w:pPr>
        <w:jc w:val="both"/>
        <w:ind w:firstLine="1151"/>
        <w:spacing w:after="0" w:line="267"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www.docusign.com) or other transmission method and any counterpart so delivered shall be deemed to have been duly and validly delivered and be valid and effective for all purposes.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for convenience only and are not to be considered in construing or interpreting this Agreement.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40" w:firstLine="1666"/>
        <w:spacing w:after="0" w:line="254" w:lineRule="auto"/>
        <w:tabs>
          <w:tab w:leader="none" w:pos="1852"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B</w:t>
      </w:r>
      <w:r>
        <w:rPr>
          <w:rFonts w:ascii="Times New Roman" w:cs="Times New Roman" w:eastAsia="Times New Roman" w:hAnsi="Times New Roman"/>
          <w:sz w:val="14"/>
          <w:szCs w:val="14"/>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4"/>
          <w:szCs w:val="14"/>
          <w:u w:val="single" w:color="auto"/>
          <w:color w:val="auto"/>
        </w:rPr>
        <w:t>Subsection 6.5</w:t>
      </w:r>
      <w:r>
        <w:rPr>
          <w:rFonts w:ascii="Times New Roman" w:cs="Times New Roman" w:eastAsia="Times New Roman" w:hAnsi="Times New Roman"/>
          <w:sz w:val="14"/>
          <w:szCs w:val="14"/>
          <w:color w:val="auto"/>
        </w:rPr>
        <w:t>. If notice is given to the Company, it shall be sent to 30 Acorn Park Drive, Cambridge, MA 02140, Email: mmammen@parabilismed.com, with a copy sent to Goodwin Procter LLP, 100 Northern Ave, Boston, MA 02210, Attention: Kingsley L. Taft, Ph.D., Esq., Email: ktaft@goodwinlaw.com and Gregg L. Katz, Esq., Email: gkatz@goodwinlaw.com, and if notice is given to Investors, a copy (which shall not constitute notice) shall also be given to any “cc” address noted on Schedule A for such Investor.</w:t>
      </w:r>
    </w:p>
    <w:p>
      <w:pPr>
        <w:spacing w:after="0" w:line="64" w:lineRule="exact"/>
        <w:rPr>
          <w:rFonts w:ascii="Times New Roman" w:cs="Times New Roman" w:eastAsia="Times New Roman" w:hAnsi="Times New Roman"/>
          <w:sz w:val="14"/>
          <w:szCs w:val="14"/>
          <w:color w:val="auto"/>
        </w:rPr>
      </w:pPr>
    </w:p>
    <w:p>
      <w:pPr>
        <w:ind w:right="20" w:firstLine="1666"/>
        <w:spacing w:after="0" w:line="257" w:lineRule="auto"/>
        <w:tabs>
          <w:tab w:leader="none" w:pos="18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Electronic Notice</w:t>
      </w:r>
      <w:r>
        <w:rPr>
          <w:rFonts w:ascii="Times New Roman" w:cs="Times New Roman" w:eastAsia="Times New Roman" w:hAnsi="Times New Roman"/>
          <w:sz w:val="14"/>
          <w:szCs w:val="14"/>
          <w:color w:val="auto"/>
        </w:rPr>
        <w:t>. Each party to this Agreement consents to the delivery of any stockholder notice pursuant to the Delaware General Corporation Law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as 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27" w:name="page328"/>
    <w:bookmarkEnd w:id="327"/>
    <w:p>
      <w:pPr>
        <w:ind w:left="1160"/>
        <w:spacing w:after="0"/>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1666"/>
        <w:spacing w:after="0" w:line="253" w:lineRule="auto"/>
        <w:tabs>
          <w:tab w:leader="none" w:pos="1852"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term of this Agreement may be amended or terminated and the observance of any term of this Agreement may be waived (either generally or in a particular instance, and either retroactively or prospectively) only with the written consent of (i) the Company and (ii) Investors holding a majority of the Common Stock issuable or issued upon the conversion of the outstanding Preferred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in its sole discretion waive compliance with </w:t>
      </w:r>
      <w:r>
        <w:rPr>
          <w:rFonts w:ascii="Times New Roman" w:cs="Times New Roman" w:eastAsia="Times New Roman" w:hAnsi="Times New Roman"/>
          <w:sz w:val="14"/>
          <w:szCs w:val="14"/>
          <w:u w:val="single" w:color="auto"/>
          <w:color w:val="auto"/>
        </w:rPr>
        <w:t>Subsection 2.12(c)</w:t>
      </w:r>
      <w:r>
        <w:rPr>
          <w:rFonts w:ascii="Times New Roman" w:cs="Times New Roman" w:eastAsia="Times New Roman" w:hAnsi="Times New Roman"/>
          <w:sz w:val="14"/>
          <w:szCs w:val="14"/>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4"/>
          <w:szCs w:val="14"/>
          <w:u w:val="single" w:color="auto"/>
          <w:color w:val="auto"/>
        </w:rPr>
        <w:t>Subsection 2.12(c)</w:t>
      </w:r>
      <w:r>
        <w:rPr>
          <w:rFonts w:ascii="Times New Roman" w:cs="Times New Roman" w:eastAsia="Times New Roman" w:hAnsi="Times New Roman"/>
          <w:sz w:val="14"/>
          <w:szCs w:val="14"/>
          <w:color w:val="auto"/>
        </w:rPr>
        <w:t xml:space="preserve"> shall be deemed to be a waiver);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(1) any provision hereof may be waived by any waiving party on such party’s own behalf, without the consent of any other party and (2) any amendment or waiver to the definition of Competitor,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xml:space="preserve"> that materially and adversely affects the rights of an Investor shall require the affirmative written consent of such Investor.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subject to the immediately following sentence, a waiver of the provisions of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and (ii) the defined term “Major Investor,”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and any other section of this Agreement applicable to the Major Investors (including this clause (ii) of this </w:t>
      </w:r>
      <w:r>
        <w:rPr>
          <w:rFonts w:ascii="Times New Roman" w:cs="Times New Roman" w:eastAsia="Times New Roman" w:hAnsi="Times New Roman"/>
          <w:sz w:val="14"/>
          <w:szCs w:val="14"/>
          <w:u w:val="single" w:color="auto"/>
          <w:color w:val="auto"/>
        </w:rPr>
        <w:t>Section 6.6(a)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6.6(b)</w:t>
      </w:r>
      <w:r>
        <w:rPr>
          <w:rFonts w:ascii="Times New Roman" w:cs="Times New Roman" w:eastAsia="Times New Roman" w:hAnsi="Times New Roman"/>
          <w:sz w:val="14"/>
          <w:szCs w:val="14"/>
          <w:color w:val="auto"/>
        </w:rPr>
        <w:t>) may be amended, modified, terminated or waived with only the written consent of the Company and the holders of a majority of the Registrable Securities then outstanding and held by the Major Investors.</w:t>
      </w:r>
    </w:p>
    <w:p>
      <w:pPr>
        <w:spacing w:after="0" w:line="66" w:lineRule="exact"/>
        <w:rPr>
          <w:rFonts w:ascii="Times New Roman" w:cs="Times New Roman" w:eastAsia="Times New Roman" w:hAnsi="Times New Roman"/>
          <w:sz w:val="14"/>
          <w:szCs w:val="14"/>
          <w:color w:val="auto"/>
        </w:rPr>
      </w:pPr>
    </w:p>
    <w:p>
      <w:pPr>
        <w:ind w:right="40" w:firstLine="1666"/>
        <w:spacing w:after="0" w:line="254" w:lineRule="auto"/>
        <w:tabs>
          <w:tab w:leader="none" w:pos="186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holders of Registrable Securities amend or waive the rights of the Major Investors to purchase New Securities pursuant to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hereof and the Company thereafter determines to allocate a portion of such New Securities (such portion referred to herein as the “</w:t>
      </w:r>
      <w:r>
        <w:rPr>
          <w:rFonts w:ascii="Times New Roman" w:cs="Times New Roman" w:eastAsia="Times New Roman" w:hAnsi="Times New Roman"/>
          <w:sz w:val="14"/>
          <w:szCs w:val="14"/>
          <w:b w:val="1"/>
          <w:bCs w:val="1"/>
          <w:color w:val="auto"/>
        </w:rPr>
        <w:t>Residual New Securities</w:t>
      </w:r>
      <w:r>
        <w:rPr>
          <w:rFonts w:ascii="Times New Roman" w:cs="Times New Roman" w:eastAsia="Times New Roman" w:hAnsi="Times New Roman"/>
          <w:sz w:val="14"/>
          <w:szCs w:val="14"/>
          <w:color w:val="auto"/>
        </w:rPr>
        <w:t>”) for offer and sale to any Major Investor, then each Major Investor shall be entitled to purchase up to that amount of the Residual New Securities which equals the product of (A) the total number of Residual New Securities multiplied by (B) the fraction X/Y, where X equals the number of shares of Common Stock held by such Major Investor prior to such financing (including all shares of Common Stock then issuable (directly or indirectly) upon conversion and/or exercise, as applicable, of the Preferred Stock and any other Derivative Securities then held by such Major Investor), and where Y equals the total number of shares of Common Stock held by all Major Investors prior to such financing (including all shares of Common Stock then issuable (directly or indirectly) upon conversion and/or exercise, as applicable, of the Preferred Stock and any other Derivative Securities then held by all Major Investors). Any Major Investor may exercise its right to purchase Residual New Securities pursuant to the immediately preceding sentence by delivering written notice to the Company of its irrevocable commitment to purchase within five (5) business days following the Company’s notice of its determination to offer Residual New Securities to any Major Investor, and upon expiration of such fifth (5</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business day, said right shall expire.</w:t>
      </w:r>
    </w:p>
    <w:p>
      <w:pPr>
        <w:spacing w:after="0" w:line="64" w:lineRule="exact"/>
        <w:rPr>
          <w:rFonts w:ascii="Times New Roman" w:cs="Times New Roman" w:eastAsia="Times New Roman" w:hAnsi="Times New Roman"/>
          <w:sz w:val="14"/>
          <w:szCs w:val="14"/>
          <w:color w:val="auto"/>
        </w:rPr>
      </w:pPr>
    </w:p>
    <w:p>
      <w:pPr>
        <w:ind w:firstLine="1666"/>
        <w:spacing w:after="0" w:line="258" w:lineRule="auto"/>
        <w:tabs>
          <w:tab w:leader="none" w:pos="1852"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give prompt notice of any amendment or termination hereof or waiver hereunder to any party whose rights and/or obligations were affected by such amendment or termination and that did not consent in writing to such amendment, termination or waiver; provided that the failure to provide such notice shall not invalidate any amendment, termination or waiver effected in accordance with this </w:t>
      </w:r>
      <w:r>
        <w:rPr>
          <w:rFonts w:ascii="Times New Roman" w:cs="Times New Roman" w:eastAsia="Times New Roman" w:hAnsi="Times New Roman"/>
          <w:sz w:val="14"/>
          <w:szCs w:val="14"/>
          <w:u w:val="single" w:color="auto"/>
          <w:color w:val="auto"/>
        </w:rPr>
        <w:t>Subsection 6.6</w:t>
      </w:r>
      <w:r>
        <w:rPr>
          <w:rFonts w:ascii="Times New Roman" w:cs="Times New Roman" w:eastAsia="Times New Roman" w:hAnsi="Times New Roman"/>
          <w:sz w:val="14"/>
          <w:szCs w:val="14"/>
          <w:color w:val="auto"/>
        </w:rPr>
        <w:t xml:space="preserve">. Any amendment, termination or waiver effected in accordance with this </w:t>
      </w:r>
      <w:r>
        <w:rPr>
          <w:rFonts w:ascii="Times New Roman" w:cs="Times New Roman" w:eastAsia="Times New Roman" w:hAnsi="Times New Roman"/>
          <w:sz w:val="14"/>
          <w:szCs w:val="14"/>
          <w:u w:val="single" w:color="auto"/>
          <w:color w:val="auto"/>
        </w:rPr>
        <w:t>Subsection 6.6</w:t>
      </w:r>
      <w:r>
        <w:rPr>
          <w:rFonts w:ascii="Times New Roman" w:cs="Times New Roman" w:eastAsia="Times New Roman" w:hAnsi="Times New Roman"/>
          <w:sz w:val="14"/>
          <w:szCs w:val="14"/>
          <w:color w:val="auto"/>
        </w:rPr>
        <w:t xml:space="preserve"> shall be binding on all parties hereto, regardless of whether any such party has consented thereto or received notice thereof. No waivers of or exceptions to any term, condition, or provision of this Agreement, in any one or more instances, shall be deemed to be or construed as a further or continuing waiver of any such term, condition, or provision.</w:t>
      </w:r>
    </w:p>
    <w:p>
      <w:pPr>
        <w:spacing w:after="0" w:line="144" w:lineRule="exact"/>
        <w:rPr>
          <w:sz w:val="20"/>
          <w:szCs w:val="20"/>
          <w:color w:val="auto"/>
        </w:rPr>
      </w:pPr>
    </w:p>
    <w:p>
      <w:pPr>
        <w:jc w:val="both"/>
        <w:ind w:right="100" w:firstLine="1151"/>
        <w:spacing w:after="0" w:line="267" w:lineRule="auto"/>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6" w:lineRule="exact"/>
        <w:rPr>
          <w:sz w:val="20"/>
          <w:szCs w:val="20"/>
          <w:color w:val="auto"/>
        </w:rPr>
      </w:pPr>
    </w:p>
    <w:p>
      <w:pPr>
        <w:ind w:right="480" w:firstLine="1151"/>
        <w:spacing w:after="0" w:line="283" w:lineRule="auto"/>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Aggregation of Stock; Apportionment</w:t>
      </w:r>
      <w:r>
        <w:rPr>
          <w:rFonts w:ascii="Times New Roman" w:cs="Times New Roman" w:eastAsia="Times New Roman" w:hAnsi="Times New Roman"/>
          <w:sz w:val="14"/>
          <w:szCs w:val="14"/>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25" w:lineRule="exact"/>
        <w:rPr>
          <w:sz w:val="20"/>
          <w:szCs w:val="20"/>
          <w:color w:val="auto"/>
        </w:rPr>
      </w:pPr>
    </w:p>
    <w:p>
      <w:pPr>
        <w:ind w:right="24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Additional Investors</w:t>
      </w:r>
      <w:r>
        <w:rPr>
          <w:rFonts w:ascii="Times New Roman" w:cs="Times New Roman" w:eastAsia="Times New Roman" w:hAnsi="Times New Roman"/>
          <w:sz w:val="14"/>
          <w:szCs w:val="14"/>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328" w:name="page329"/>
    <w:bookmarkEnd w:id="328"/>
    <w:p>
      <w:pPr>
        <w:ind w:firstLine="1158"/>
        <w:spacing w:after="0" w:line="267"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IRA shall be deemed amended and restated and superseded and replaced in its entirety by this Agreement, and shall be of no further force or effect.</w:t>
      </w:r>
    </w:p>
    <w:p>
      <w:pPr>
        <w:spacing w:after="0" w:line="136" w:lineRule="exact"/>
        <w:rPr>
          <w:sz w:val="20"/>
          <w:szCs w:val="20"/>
          <w:color w:val="auto"/>
        </w:rPr>
      </w:pPr>
    </w:p>
    <w:p>
      <w:pPr>
        <w:ind w:right="40" w:firstLine="1151"/>
        <w:spacing w:after="0" w:line="257" w:lineRule="auto"/>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44" w:lineRule="exact"/>
        <w:rPr>
          <w:sz w:val="20"/>
          <w:szCs w:val="20"/>
          <w:color w:val="auto"/>
        </w:rPr>
      </w:pPr>
    </w:p>
    <w:p>
      <w:pPr>
        <w:ind w:right="60" w:firstLine="1151"/>
        <w:spacing w:after="0" w:line="267" w:lineRule="auto"/>
        <w:rPr>
          <w:sz w:val="20"/>
          <w:szCs w:val="20"/>
          <w:color w:val="auto"/>
        </w:rPr>
      </w:pPr>
      <w:r>
        <w:rPr>
          <w:rFonts w:ascii="Times New Roman" w:cs="Times New Roman" w:eastAsia="Times New Roman" w:hAnsi="Times New Roman"/>
          <w:sz w:val="14"/>
          <w:szCs w:val="14"/>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Delaware or any court of the State of Delaware having subject matter jurisdiction.</w:t>
      </w:r>
    </w:p>
    <w:p>
      <w:pPr>
        <w:spacing w:after="0" w:line="104" w:lineRule="exact"/>
        <w:rPr>
          <w:sz w:val="20"/>
          <w:szCs w:val="20"/>
          <w:color w:val="auto"/>
        </w:rPr>
      </w:pPr>
    </w:p>
    <w:p>
      <w:pPr>
        <w:ind w:right="10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6.12 </w:t>
      </w:r>
      <w:r>
        <w:rPr>
          <w:rFonts w:ascii="Times New Roman" w:cs="Times New Roman" w:eastAsia="Times New Roman" w:hAnsi="Times New Roman"/>
          <w:sz w:val="14"/>
          <w:szCs w:val="14"/>
          <w:u w:val="single" w:color="auto"/>
          <w:color w:val="auto"/>
        </w:rPr>
        <w:t>Delays or Omissions</w:t>
      </w:r>
      <w:r>
        <w:rPr>
          <w:rFonts w:ascii="Times New Roman" w:cs="Times New Roman" w:eastAsia="Times New Roman" w:hAnsi="Times New Roman"/>
          <w:sz w:val="14"/>
          <w:szCs w:val="14"/>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41" w:lineRule="exact"/>
        <w:rPr>
          <w:sz w:val="20"/>
          <w:szCs w:val="20"/>
          <w:color w:val="auto"/>
        </w:rPr>
      </w:pPr>
    </w:p>
    <w:p>
      <w:pPr>
        <w:ind w:right="40" w:firstLine="1151"/>
        <w:spacing w:after="0" w:line="254" w:lineRule="auto"/>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Right to Conduct Activities</w:t>
      </w:r>
      <w:r>
        <w:rPr>
          <w:rFonts w:ascii="Times New Roman" w:cs="Times New Roman" w:eastAsia="Times New Roman" w:hAnsi="Times New Roman"/>
          <w:sz w:val="14"/>
          <w:szCs w:val="14"/>
          <w:color w:val="auto"/>
        </w:rPr>
        <w:t xml:space="preserve">. The Company acknowledges that Deerfield, 6 Dimensions, GV, venBio, Cormorant, Invus, Pags, Milky Way, Fidelity, ARCH, HBM, Casdin, GC, Nextech, RA Capital, Foresite, Marshall Wace, Sixty Degree, Rock Springs, Baker Brothers, Samsara, Frazier and certain of the other Investors are in the business of venture capital or private equity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 The Company hereby agrees and acknowledges that such Investors (together with their Affiliates) invest in numerous portfolio companies (including publicly traded companies), some of which may be deemed competitive with the Company’s business (as currently conducted or as currently proposed to be conducted). The Company hereby agrees that, to the extent permitted under applicable law, such Investors shall not be liable to the Company for any claim arising out of, or based upon, (a) the investment by such Investors in any entity, including entities that are competitive with the Company, or (b) actions taken by any partner, officer or other representative of such Investors to assist any such company, whether or not such action was taken as a member of the board of directors of a competitive company or otherwise, and whether or not such action has a detrimental effect on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foregoing shall not relieve (x) any of the Investors from liability associated with the unauthorized disclosure or use of the Company’s confidential information obtained pursuant to this Agreement, or (y) any director or officer of the Company from any liability associated with his or her fiduciary duties to the Company.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581660</wp:posOffset>
            </wp:positionV>
            <wp:extent cx="7188200"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29" w:name="page330"/>
    <w:bookmarkEnd w:id="329"/>
    <w:p>
      <w:pPr>
        <w:ind w:left="1160"/>
        <w:spacing w:after="0"/>
        <w:rPr>
          <w:sz w:val="20"/>
          <w:szCs w:val="20"/>
          <w:color w:val="auto"/>
        </w:rPr>
      </w:pPr>
      <w:r>
        <w:rPr>
          <w:rFonts w:ascii="Times New Roman" w:cs="Times New Roman" w:eastAsia="Times New Roman" w:hAnsi="Times New Roman"/>
          <w:sz w:val="14"/>
          <w:szCs w:val="14"/>
          <w:color w:val="auto"/>
        </w:rPr>
        <w:t>IN WITNESS WHEREOF, the parties have executed this Sixth Amended and Restated Investors’ Rights Agreement as of the date first written above.</w:t>
      </w:r>
    </w:p>
    <w:p>
      <w:pPr>
        <w:spacing w:after="0" w:line="19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ind w:left="6780"/>
              <w:spacing w:after="0"/>
              <w:rPr>
                <w:sz w:val="20"/>
                <w:szCs w:val="20"/>
                <w:color w:val="auto"/>
              </w:rPr>
            </w:pPr>
            <w:r>
              <w:rPr>
                <w:rFonts w:ascii="Times New Roman" w:cs="Times New Roman" w:eastAsia="Times New Roman" w:hAnsi="Times New Roman"/>
                <w:sz w:val="14"/>
                <w:szCs w:val="14"/>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Mathai Mammen</w:t>
            </w:r>
          </w:p>
        </w:tc>
      </w:tr>
      <w:tr>
        <w:trPr>
          <w:trHeight w:val="339"/>
        </w:trPr>
        <w:tc>
          <w:tcPr>
            <w:tcW w:w="7580" w:type="dxa"/>
            <w:vAlign w:val="bottom"/>
          </w:tcPr>
          <w:p>
            <w:pPr>
              <w:ind w:left="6780"/>
              <w:spacing w:after="0"/>
              <w:rPr>
                <w:sz w:val="20"/>
                <w:szCs w:val="20"/>
                <w:color w:val="auto"/>
              </w:rPr>
            </w:pPr>
            <w:r>
              <w:rPr>
                <w:rFonts w:ascii="Times New Roman" w:cs="Times New Roman" w:eastAsia="Times New Roman" w:hAnsi="Times New Roman"/>
                <w:sz w:val="14"/>
                <w:szCs w:val="14"/>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Mathai Mammen</w:t>
            </w:r>
          </w:p>
        </w:tc>
      </w:tr>
      <w:tr>
        <w:trPr>
          <w:trHeight w:val="183"/>
        </w:trPr>
        <w:tc>
          <w:tcPr>
            <w:tcW w:w="7580" w:type="dxa"/>
            <w:vAlign w:val="bottom"/>
          </w:tcPr>
          <w:p>
            <w:pPr>
              <w:ind w:left="6780"/>
              <w:spacing w:after="0"/>
              <w:rPr>
                <w:sz w:val="20"/>
                <w:szCs w:val="20"/>
                <w:color w:val="auto"/>
              </w:rPr>
            </w:pPr>
            <w:r>
              <w:rPr>
                <w:rFonts w:ascii="Times New Roman" w:cs="Times New Roman" w:eastAsia="Times New Roman" w:hAnsi="Times New Roman"/>
                <w:sz w:val="14"/>
                <w:szCs w:val="14"/>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r>
        <w:trPr>
          <w:trHeight w:val="979"/>
        </w:trPr>
        <w:tc>
          <w:tcPr>
            <w:tcW w:w="75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30" w:name="page331"/>
    <w:bookmarkEnd w:id="330"/>
    <w:p>
      <w:pPr>
        <w:ind w:left="10600"/>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7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THIS WARRANT AND THE SHARES ISSUABLE HEREUNDER HAVE NOT BEEN REGISTERED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THE SECURITIES LAWS OF ANY STATE AND, EXCEPT AS SET FORTH IN SECTIONS 6.3 AND 6.4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WARRANT TO PURCHASE STOCK</w:t>
      </w:r>
    </w:p>
    <w:p>
      <w:pPr>
        <w:spacing w:after="0" w:line="175" w:lineRule="exact"/>
        <w:rPr>
          <w:sz w:val="20"/>
          <w:szCs w:val="20"/>
          <w:color w:val="auto"/>
        </w:rPr>
      </w:pPr>
    </w:p>
    <w:p>
      <w:pPr>
        <w:jc w:val="both"/>
        <w:ind w:right="20" w:firstLine="511"/>
        <w:spacing w:after="0" w:line="268" w:lineRule="auto"/>
        <w:rPr>
          <w:sz w:val="20"/>
          <w:szCs w:val="20"/>
          <w:color w:val="auto"/>
        </w:rPr>
      </w:pPr>
      <w:r>
        <w:rPr>
          <w:rFonts w:ascii="Times New Roman" w:cs="Times New Roman" w:eastAsia="Times New Roman" w:hAnsi="Times New Roman"/>
          <w:sz w:val="14"/>
          <w:szCs w:val="14"/>
          <w:color w:val="auto"/>
        </w:rPr>
        <w:t>This WARRANT TO PURCHASE STOCK (as amended and in effect from time to time, this “</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xml:space="preserve">”) is issued as of the issue date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Issue Date</w:t>
      </w:r>
      <w:r>
        <w:rPr>
          <w:rFonts w:ascii="Times New Roman" w:cs="Times New Roman" w:eastAsia="Times New Roman" w:hAnsi="Times New Roman"/>
          <w:sz w:val="14"/>
          <w:szCs w:val="14"/>
          <w:color w:val="auto"/>
        </w:rPr>
        <w:t xml:space="preserve">”) by the company set forth on </w:t>
      </w:r>
      <w:r>
        <w:rPr>
          <w:rFonts w:ascii="Times New Roman" w:cs="Times New Roman" w:eastAsia="Times New Roman" w:hAnsi="Times New Roman"/>
          <w:sz w:val="14"/>
          <w:szCs w:val="14"/>
          <w:u w:val="single" w:color="auto"/>
          <w:color w:val="auto"/>
        </w:rPr>
        <w:t>Schedule</w:t>
      </w:r>
      <w:r>
        <w:rPr>
          <w:rFonts w:ascii="Times New Roman" w:cs="Times New Roman" w:eastAsia="Times New Roman" w:hAnsi="Times New Roman"/>
          <w:sz w:val="14"/>
          <w:szCs w:val="14"/>
          <w:color w:val="auto"/>
        </w:rPr>
        <w:t xml:space="preserve"> I hereto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to SILICON VALLEY BANK in connection with that certain Loan and Security Agreement of even date herewith between them (as amended and/or modified and in effect from time to time,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 and shall be transferred to SVB FINANCIAL GROUP pursuant to Section 6.4 below. The parties agree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gridSpan w:val="3"/>
          </w:tcPr>
          <w:p>
            <w:pPr>
              <w:ind w:left="1320"/>
              <w:spacing w:after="0"/>
              <w:rPr>
                <w:sz w:val="20"/>
                <w:szCs w:val="20"/>
                <w:color w:val="auto"/>
              </w:rPr>
            </w:pPr>
            <w:r>
              <w:rPr>
                <w:rFonts w:ascii="Times New Roman" w:cs="Times New Roman" w:eastAsia="Times New Roman" w:hAnsi="Times New Roman"/>
                <w:sz w:val="14"/>
                <w:szCs w:val="14"/>
                <w:color w:val="auto"/>
              </w:rPr>
              <w:t>SCHEDULE I. WARRANT PROVISIONS.</w:t>
            </w:r>
          </w:p>
        </w:tc>
      </w:tr>
      <w:tr>
        <w:trPr>
          <w:trHeight w:val="20"/>
        </w:trPr>
        <w:tc>
          <w:tcPr>
            <w:tcW w:w="2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95"/>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Warrant Section</w:t>
            </w:r>
          </w:p>
        </w:tc>
        <w:tc>
          <w:tcPr>
            <w:tcW w:w="1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1"/>
                <w:szCs w:val="11"/>
                <w:b w:val="1"/>
                <w:bCs w:val="1"/>
                <w:color w:val="auto"/>
              </w:rPr>
              <w:t>Warrant Provision</w:t>
            </w:r>
          </w:p>
        </w:tc>
      </w:tr>
      <w:tr>
        <w:trPr>
          <w:trHeight w:val="222"/>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Recitals – “Issue Date”</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September 21, 2021</w:t>
            </w:r>
          </w:p>
        </w:tc>
      </w:tr>
      <w:tr>
        <w:trPr>
          <w:trHeight w:val="33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Recitals – “Company”</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FOG Pharmaceuticals, Inc., a Delaware corporation</w:t>
            </w:r>
          </w:p>
        </w:tc>
      </w:tr>
      <w:tr>
        <w:trPr>
          <w:trHeight w:val="33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“Class”</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Common Stock, $0.001 par value per share</w:t>
            </w:r>
          </w:p>
        </w:tc>
      </w:tr>
      <w:tr>
        <w:trPr>
          <w:trHeight w:val="33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“Exercise Price”</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$3.13 per Share</w:t>
            </w:r>
          </w:p>
        </w:tc>
      </w:tr>
      <w:tr>
        <w:trPr>
          <w:trHeight w:val="33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“Initial Shares”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18,584</w:t>
            </w:r>
          </w:p>
        </w:tc>
        <w:tc>
          <w:tcPr>
            <w:tcW w:w="15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“Additional Shares”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18,585</w:t>
            </w:r>
          </w:p>
        </w:tc>
        <w:tc>
          <w:tcPr>
            <w:tcW w:w="15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22"/>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Conditions for exercisability of Additional</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The making (if any) of the first Term B Loan Advance (as defined in the Loan Agreement) to the Company in any amount.</w:t>
            </w:r>
          </w:p>
        </w:tc>
      </w:tr>
      <w:tr>
        <w:trPr>
          <w:trHeight w:val="183"/>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33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4.1(b) – Share percentage as of the Issue Date</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0.200% of the Company’s total fully-diluted shares outstanding.</w:t>
            </w:r>
          </w:p>
        </w:tc>
      </w:tr>
      <w:tr>
        <w:trPr>
          <w:trHeight w:val="33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6.1(a) – “Expiration Date”</w:t>
            </w:r>
          </w:p>
        </w:tc>
        <w:tc>
          <w:tcPr>
            <w:tcW w:w="8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September 20, 2031</w:t>
            </w:r>
          </w:p>
        </w:tc>
      </w:tr>
      <w:tr>
        <w:trPr>
          <w:trHeight w:val="1042"/>
        </w:trPr>
        <w:tc>
          <w:tcPr>
            <w:tcW w:w="2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331" w:name="page332"/>
    <w:bookmarkEnd w:id="331"/>
    <w:p>
      <w:pPr>
        <w:jc w:val="center"/>
        <w:ind w:right="2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RIGHT TO PURCHASE SHARES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40" w:firstLine="511"/>
        <w:spacing w:after="0" w:line="261"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Grant of Right</w:t>
      </w:r>
      <w:r>
        <w:rPr>
          <w:rFonts w:ascii="Times New Roman" w:cs="Times New Roman" w:eastAsia="Times New Roman" w:hAnsi="Times New Roman"/>
          <w:sz w:val="14"/>
          <w:szCs w:val="14"/>
          <w:color w:val="auto"/>
        </w:rPr>
        <w:t>. For good and valuable consideration, the Company hereby grants to SILICON VALLEY BANK (together with any successor or permitted assignee or transferee of this Warrant or of any shares issued upon exercise hereof,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xml:space="preserve">”) the right, and Holder is entitled, to purchase from the Company up to the number of fully paid and non-assessable shares (as determined pursuant to Section 1.2 below) of the class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4"/>
          <w:szCs w:val="14"/>
          <w:color w:val="auto"/>
        </w:rPr>
        <w:t xml:space="preserve">”), at a purchase price per Share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Exercise Price</w:t>
      </w:r>
      <w:r>
        <w:rPr>
          <w:rFonts w:ascii="Times New Roman" w:cs="Times New Roman" w:eastAsia="Times New Roman" w:hAnsi="Times New Roman"/>
          <w:sz w:val="14"/>
          <w:szCs w:val="14"/>
          <w:color w:val="auto"/>
        </w:rPr>
        <w:t>”), subject to the provisions and upon the terms and conditions set forth in this Warrant.</w:t>
      </w:r>
    </w:p>
    <w:p>
      <w:pPr>
        <w:spacing w:after="0" w:line="139" w:lineRule="exact"/>
        <w:rPr>
          <w:sz w:val="20"/>
          <w:szCs w:val="20"/>
          <w:color w:val="auto"/>
        </w:rPr>
      </w:pPr>
    </w:p>
    <w:p>
      <w:pPr>
        <w:ind w:right="400" w:firstLine="511"/>
        <w:spacing w:after="0" w:line="286"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xml:space="preserve">. This Warrant shall be exercisable for the number of initial shares of the Class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Initial Shares</w:t>
      </w:r>
      <w:r>
        <w:rPr>
          <w:rFonts w:ascii="Times New Roman" w:cs="Times New Roman" w:eastAsia="Times New Roman" w:hAnsi="Times New Roman"/>
          <w:sz w:val="14"/>
          <w:szCs w:val="14"/>
          <w:color w:val="auto"/>
        </w:rPr>
        <w:t>”), plus the Additional Shares (as hereinafter defined), if any (collectively, and as may be adjusted from time to time in accordance with the provisions of this Warrant,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right="40" w:firstLine="511"/>
        <w:spacing w:after="0" w:line="262"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Additional Shares</w:t>
      </w:r>
      <w:r>
        <w:rPr>
          <w:rFonts w:ascii="Times New Roman" w:cs="Times New Roman" w:eastAsia="Times New Roman" w:hAnsi="Times New Roman"/>
          <w:sz w:val="14"/>
          <w:szCs w:val="14"/>
          <w:color w:val="auto"/>
        </w:rPr>
        <w:t xml:space="preserve">. This Warrant shall automatically become exercisable for the number of additional shares of the Class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Additional Shares</w:t>
      </w:r>
      <w:r>
        <w:rPr>
          <w:rFonts w:ascii="Times New Roman" w:cs="Times New Roman" w:eastAsia="Times New Roman" w:hAnsi="Times New Roman"/>
          <w:sz w:val="14"/>
          <w:szCs w:val="14"/>
          <w:color w:val="auto"/>
        </w:rPr>
        <w:t xml:space="preserve">”) upon the occurrence of the event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number of Additional Shares shall be adjusted from time to time in accordance with the provisions of this Warrant, including, without limitation, adjustments in respect of events occurring prior to the date, if any, on which this Warrant becomes exercisable for such shares as if they constituted “Shares” hereunder for such purpose at all times from the Issue Date.</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xml:space="preserve">. Holder may exercise this Warrant in whole or in part at any time and from time to time prior to the expiration or earlier termination of this Warrant, by delivering to the Company the original of this Warrant together with a duly executed Notice of Exercise in substantially the form attached hereto as </w:t>
      </w:r>
      <w:r>
        <w:rPr>
          <w:rFonts w:ascii="Times New Roman" w:cs="Times New Roman" w:eastAsia="Times New Roman" w:hAnsi="Times New Roman"/>
          <w:sz w:val="14"/>
          <w:szCs w:val="14"/>
          <w:u w:val="single" w:color="auto"/>
          <w:color w:val="auto"/>
        </w:rPr>
        <w:t>Appendix 1</w:t>
      </w:r>
      <w:r>
        <w:rPr>
          <w:rFonts w:ascii="Times New Roman" w:cs="Times New Roman" w:eastAsia="Times New Roman" w:hAnsi="Times New Roman"/>
          <w:sz w:val="14"/>
          <w:szCs w:val="14"/>
          <w:color w:val="auto"/>
        </w:rPr>
        <w:t xml:space="preserve"> and, unless Holder is exercising this Warrant pursuant to a cashless exercise set forth in Section 2.2 below, a check, wire transfer of same-day funds (to an account designated by the Company), or other form of payment acceptable to the Company for the aggregate Exercise Price for the Shares being purchased. Notwithstanding any contrary provision herein, to the extent that the original of this Warrant is an electronic original, in no event shall an original ink-signed paper copy of this Warrant be required for any exercise of a Holder’s rights hereunder, nor shall this Warrant or any physical copy hereof be required to be physically surrendered at the time of any exercise hereof.</w:t>
      </w:r>
    </w:p>
    <w:p>
      <w:pPr>
        <w:spacing w:after="0" w:line="143" w:lineRule="exact"/>
        <w:rPr>
          <w:sz w:val="20"/>
          <w:szCs w:val="20"/>
          <w:color w:val="auto"/>
        </w:rPr>
      </w:pPr>
    </w:p>
    <w:p>
      <w:pPr>
        <w:ind w:right="180" w:firstLine="511"/>
        <w:spacing w:after="0" w:line="267"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On any exercise of this Warrant, in lieu of payment of the aggregate Exercise Price in the manner specified in Section 2.1 above, Holder may elect to surrender to the Company Shares having an aggregate value equal to the aggregate Exercise Price. If Holder makes such election, the Company shall issue to Holder such number of fully paid and non-assessable Shares determined by the following formula:</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X = Y(A-B)/A</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where: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X = the number of Shares to be issued to Holder;</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Y = the number of Shares with respect to which this Warrant is being exercised (inclusive of the Shares surrendered to the Company in payment of the aggregate Exercise Price);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 the fair market value (as determined pursuant to Section 2.3 below) of one Share; and</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 = the Exercise Price.</w:t>
      </w:r>
    </w:p>
    <w:p>
      <w:pPr>
        <w:spacing w:after="0" w:line="173"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If shares of the Class are then traded or quoted on a nationally recognized securities exchange, inter-dealer quotation system or over-the-counter market (a “</w:t>
      </w:r>
      <w:r>
        <w:rPr>
          <w:rFonts w:ascii="Times New Roman" w:cs="Times New Roman" w:eastAsia="Times New Roman" w:hAnsi="Times New Roman"/>
          <w:sz w:val="14"/>
          <w:szCs w:val="14"/>
          <w:b w:val="1"/>
          <w:bCs w:val="1"/>
          <w:color w:val="auto"/>
        </w:rPr>
        <w:t>Trading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Market</w:t>
      </w:r>
      <w:r>
        <w:rPr>
          <w:rFonts w:ascii="Times New Roman" w:cs="Times New Roman" w:eastAsia="Times New Roman" w:hAnsi="Times New Roman"/>
          <w:sz w:val="14"/>
          <w:szCs w:val="14"/>
          <w:color w:val="auto"/>
        </w:rPr>
        <w:t>”), the fair market value of a Share shall be the closing price or last sale price of a share of the Class reported for the Business Day immediately before the date on which Holder delivers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40" w:lineRule="exact"/>
        <w:rPr>
          <w:sz w:val="20"/>
          <w:szCs w:val="20"/>
          <w:color w:val="auto"/>
        </w:rPr>
      </w:pPr>
    </w:p>
    <w:p>
      <w:pPr>
        <w:ind w:right="180" w:firstLine="511"/>
        <w:spacing w:after="0" w:line="267"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Delivery of Certificate and New Warrant</w:t>
      </w:r>
      <w:r>
        <w:rPr>
          <w:rFonts w:ascii="Times New Roman" w:cs="Times New Roman" w:eastAsia="Times New Roman" w:hAnsi="Times New Roman"/>
          <w:sz w:val="14"/>
          <w:szCs w:val="14"/>
          <w:color w:val="auto"/>
        </w:rPr>
        <w:t>. Within a reasonable time after Holder exercises this Warrant in the manner set forth in Sections 2.1 or 2.2 above, the Company shall deliver to Holder a certificate (or, in the case of uncertificated securities, provide notice of book entry) representing the Shares issued to Holder upon such exercise and, if this Warrant has not been fully exercised and has not expired, a new warrant of like tenor representing the Shares not so acquired (or surrendered in payment of the 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332" w:name="page333"/>
    <w:bookmarkEnd w:id="332"/>
    <w:p>
      <w:pPr>
        <w:ind w:left="52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Replacement of Warrant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20" w:firstLine="1155"/>
        <w:spacing w:after="0" w:line="261" w:lineRule="auto"/>
        <w:tabs>
          <w:tab w:leader="none" w:pos="1341"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Paper Original Warrant</w:t>
      </w:r>
      <w:r>
        <w:rPr>
          <w:rFonts w:ascii="Times New Roman" w:cs="Times New Roman" w:eastAsia="Times New Roman" w:hAnsi="Times New Roman"/>
          <w:sz w:val="14"/>
          <w:szCs w:val="14"/>
          <w:color w:val="auto"/>
        </w:rPr>
        <w:t>. To the extent that the original of this Warrant is a paper original,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0" w:lineRule="exact"/>
        <w:rPr>
          <w:rFonts w:ascii="Times New Roman" w:cs="Times New Roman" w:eastAsia="Times New Roman" w:hAnsi="Times New Roman"/>
          <w:sz w:val="14"/>
          <w:szCs w:val="14"/>
          <w:color w:val="auto"/>
        </w:rPr>
      </w:pPr>
    </w:p>
    <w:p>
      <w:pPr>
        <w:ind w:right="60" w:firstLine="1155"/>
        <w:spacing w:after="0" w:line="261" w:lineRule="auto"/>
        <w:tabs>
          <w:tab w:leader="none" w:pos="1349"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Original Warrant</w:t>
      </w:r>
      <w:r>
        <w:rPr>
          <w:rFonts w:ascii="Times New Roman" w:cs="Times New Roman" w:eastAsia="Times New Roman" w:hAnsi="Times New Roman"/>
          <w:sz w:val="14"/>
          <w:szCs w:val="14"/>
          <w:color w:val="auto"/>
        </w:rPr>
        <w:t>. To the extent that the original of this Warrant is an electronic original, if at any time this Warrant is rejected by any person (including, but not limited to, paying or escrow agents) or any such person fails to comply with the terms of this Warrant based on this Warrant being presented to such person as an electronic record or a printout hereof, or any signature hereto being in electronic form, the Company shall, promptly upon Holder’s request and without indemnity, execute and deliver to Holder, in lieu of electronic original versions of this Warrant, a new warrant of like tenor and amount in paper form with original ink signatures.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Treatment of Warrant Upon Acquisition of Company</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right="20" w:firstLine="1155"/>
        <w:spacing w:after="0" w:line="256" w:lineRule="auto"/>
        <w:tabs>
          <w:tab w:leader="none" w:pos="1341"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For the avoidance of doubt, “Acquisition” shall not include any sale and issuance by the Company of shares of its capital stock or of securities or instruments exercisable for or convertible into, or otherwise representing the right to acquire, shares of its capital stock to one or more investors for cash in a transaction or series of related transactions the primary purpose of which is a bona fide equity financing of the Company.</w:t>
      </w:r>
    </w:p>
    <w:p>
      <w:pPr>
        <w:spacing w:after="0" w:line="145" w:lineRule="exact"/>
        <w:rPr>
          <w:rFonts w:ascii="Times New Roman" w:cs="Times New Roman" w:eastAsia="Times New Roman" w:hAnsi="Times New Roman"/>
          <w:sz w:val="14"/>
          <w:szCs w:val="14"/>
          <w:color w:val="auto"/>
        </w:rPr>
      </w:pPr>
    </w:p>
    <w:p>
      <w:pPr>
        <w:ind w:firstLine="1155"/>
        <w:spacing w:after="0" w:line="254" w:lineRule="auto"/>
        <w:tabs>
          <w:tab w:leader="none" w:pos="1349"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Warrant in Cash/Public Acquisition</w:t>
      </w:r>
      <w:r>
        <w:rPr>
          <w:rFonts w:ascii="Times New Roman" w:cs="Times New Roman" w:eastAsia="Times New Roman" w:hAnsi="Times New Roman"/>
          <w:sz w:val="14"/>
          <w:szCs w:val="14"/>
          <w:color w:val="auto"/>
        </w:rPr>
        <w:t>. In the event of an Acquisition in which the consideration to be received by the holders of the outstanding shares of the Class (in their capacity as such) consists solely of cash, solely of Marketable Securities (as hereinafter defined) or a combination of cash and Marketable Securities (a “</w:t>
      </w:r>
      <w:r>
        <w:rPr>
          <w:rFonts w:ascii="Times New Roman" w:cs="Times New Roman" w:eastAsia="Times New Roman" w:hAnsi="Times New Roman"/>
          <w:sz w:val="14"/>
          <w:szCs w:val="14"/>
          <w:b w:val="1"/>
          <w:bCs w:val="1"/>
          <w:color w:val="auto"/>
        </w:rPr>
        <w:t>Cash/Public Acquisition</w:t>
      </w:r>
      <w:r>
        <w:rPr>
          <w:rFonts w:ascii="Times New Roman" w:cs="Times New Roman" w:eastAsia="Times New Roman" w:hAnsi="Times New Roman"/>
          <w:sz w:val="14"/>
          <w:szCs w:val="14"/>
          <w:color w:val="auto"/>
        </w:rPr>
        <w:t>”), and the fair market value of one Share as determined in accordance with Section 2.3 above would be greater than the Exercise Price in effect as of immediately prior to the closing of such Cash/Public Acquisition, and Holder has not previously exercised this Warrant in full, then, in lieu of Holder’s exercise of the unexercised portion of this Warrant, this Warrant shall, as of immediately prior to such closing (but subject to the occurrence thereof) automatically cease to represent the right to purchase Shares and shall, from and after such closing, represent solely the right to receive the aggregate consideration that would have been payable in such Acquisition on and in respect of all Shares for which this Warrant was exercisable as of immediately prior to the closing thereof, net of the aggregate Exercise Price therefor, as if such Shares had been issued and outstanding to Holder as of immediately prior to such closing, as and when such consideration is paid to the holders of the outstanding shares of the Class. In the event of a Cash/Public Acquisition in which the fair market value of one Share as determined in accordance with Section 2.3 above would be equal to or less than the Exercise Price in effect as of immediately prior to the closing of such Cash/Public Acquisition, then this Warrant will automatically and without further action of any party terminate as of immediately prior to such closing.</w:t>
      </w:r>
    </w:p>
    <w:p>
      <w:pPr>
        <w:spacing w:after="0" w:line="146" w:lineRule="exact"/>
        <w:rPr>
          <w:rFonts w:ascii="Times New Roman" w:cs="Times New Roman" w:eastAsia="Times New Roman" w:hAnsi="Times New Roman"/>
          <w:sz w:val="14"/>
          <w:szCs w:val="14"/>
          <w:color w:val="auto"/>
        </w:rPr>
      </w:pPr>
    </w:p>
    <w:p>
      <w:pPr>
        <w:ind w:firstLine="1155"/>
        <w:spacing w:after="0" w:line="261" w:lineRule="auto"/>
        <w:tabs>
          <w:tab w:leader="none" w:pos="1341"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Warrant in non-Cash/Public Acquisition</w:t>
      </w:r>
      <w:r>
        <w:rPr>
          <w:rFonts w:ascii="Times New Roman" w:cs="Times New Roman" w:eastAsia="Times New Roman" w:hAnsi="Times New Roman"/>
          <w:sz w:val="14"/>
          <w:szCs w:val="14"/>
          <w:color w:val="auto"/>
        </w:rPr>
        <w:t>. Upon the closing of any Acquisition other than a Cash/Public Acquisition, the acquiring, surviving or successor entity shall assume this Warrant and the Company’s obligations hereunder,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at an aggregate Exercise Price equal to the aggregate Exercise Price in effect as of immediately prior to such closing, all subject to further adjustment from time to time thereafter in accordance with the provisions of this Warrant.</w:t>
      </w:r>
    </w:p>
    <w:p>
      <w:pPr>
        <w:spacing w:after="0" w:line="138"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Marketable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Marketable Securities</w:t>
      </w:r>
      <w:r>
        <w:rPr>
          <w:rFonts w:ascii="Times New Roman" w:cs="Times New Roman" w:eastAsia="Times New Roman" w:hAnsi="Times New Roman"/>
          <w:sz w:val="14"/>
          <w:szCs w:val="14"/>
          <w:color w:val="auto"/>
        </w:rPr>
        <w:t>” means securities meeting all of the following requirements (determined as of immediately prior to the closing of the</w:t>
      </w:r>
    </w:p>
    <w:p>
      <w:pPr>
        <w:spacing w:after="0" w:line="23" w:lineRule="exact"/>
        <w:rPr>
          <w:rFonts w:ascii="Times New Roman" w:cs="Times New Roman" w:eastAsia="Times New Roman" w:hAnsi="Times New Roman"/>
          <w:sz w:val="14"/>
          <w:szCs w:val="14"/>
          <w:color w:val="auto"/>
        </w:rPr>
      </w:pPr>
    </w:p>
    <w:p>
      <w:pPr>
        <w:ind w:right="4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(i) the issuer thereof is then subject to the reporting requirements of Section 13 or Section 15(d)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476250</wp:posOffset>
            </wp:positionV>
            <wp:extent cx="7188200"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33" w:name="page334"/>
    <w:bookmarkEnd w:id="333"/>
    <w:p>
      <w:pPr>
        <w:ind w:right="20"/>
        <w:spacing w:after="0" w:line="267" w:lineRule="auto"/>
        <w:rPr>
          <w:sz w:val="20"/>
          <w:szCs w:val="20"/>
          <w:color w:val="auto"/>
        </w:rPr>
      </w:pPr>
      <w:r>
        <w:rPr>
          <w:rFonts w:ascii="Times New Roman" w:cs="Times New Roman" w:eastAsia="Times New Roman" w:hAnsi="Times New Roman"/>
          <w:sz w:val="14"/>
          <w:szCs w:val="14"/>
          <w:color w:val="auto"/>
        </w:rPr>
        <w:t>beyond six (6) months from the closing of such Acquisition. Notwithstanding the foregoing provisions of this Section 2.6(d), securities held in escrow or subject to holdback to cover indemnification-related claims shall be deemed to be Marketable Securities if they would otherwise be Marketable Securities but for the fact that they are held in escrow or subject to holdback to cover indemnification-related claims.</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CERTAIN ADJUSTMENTS TO THE SHARES, CLASS AND EXERCISE PRICE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Stock Dividends, Splits, Etc</w:t>
      </w:r>
      <w:r>
        <w:rPr>
          <w:rFonts w:ascii="Times New Roman" w:cs="Times New Roman" w:eastAsia="Times New Roman" w:hAnsi="Times New Roman"/>
          <w:sz w:val="14"/>
          <w:szCs w:val="14"/>
          <w:color w:val="auto"/>
        </w:rPr>
        <w:t>. If the Company declares or pays a dividend or distribution on the outstanding shares of the Class payable in additional shares of the Class (including fractional shares)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even if such number would include fractional shares, and the Exercise Price shall be proportionately decreased. If the outstanding shares of the Class are combined or consolidated, by reclassification or otherwise, into a lesser number of shares, the Exercise Price shall be proportionately increased and the number of Shares shall be proportionately decreased, even if such number would include fractional shares.</w:t>
      </w:r>
    </w:p>
    <w:p>
      <w:pPr>
        <w:spacing w:after="0" w:line="143"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Reclassification, Exchange, Combination or Substitution</w:t>
      </w:r>
      <w:r>
        <w:rPr>
          <w:rFonts w:ascii="Times New Roman" w:cs="Times New Roman" w:eastAsia="Times New Roman" w:hAnsi="Times New Roman"/>
          <w:sz w:val="14"/>
          <w:szCs w:val="14"/>
          <w:color w:val="auto"/>
        </w:rPr>
        <w:t>. Upon any event whereby all of the outstanding shares of the Class are reclassified, exchanged, combined, substituted, or replaced for, into, with or by Company securities of a different class and/or series, then from and after the consummation of such event, “Class” shall mean such securities and this Warrant will be exercisable for the number of such securities that Holder would have received had the Shares been outstanding on and as of the consummation of such event, at an aggregate Exercise Price equal to the aggregate Exercise Price in effect as of immediately prior to such event, all subject to further adjustment thereafter from time to time in accordance with the provisions of this Warrant. The provisions of this Section 3.2 shall similarly apply to successive reclassifications, exchanges, combinations, substitutions, replacements or other similar events.</w:t>
      </w:r>
    </w:p>
    <w:p>
      <w:pPr>
        <w:spacing w:after="0" w:line="144" w:lineRule="exact"/>
        <w:rPr>
          <w:sz w:val="20"/>
          <w:szCs w:val="20"/>
          <w:color w:val="auto"/>
        </w:rPr>
      </w:pPr>
    </w:p>
    <w:p>
      <w:pPr>
        <w:ind w:right="140" w:firstLine="511"/>
        <w:spacing w:after="0" w:line="258"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Adjustment to Exercise Price on Cash Dividend</w:t>
      </w:r>
      <w:r>
        <w:rPr>
          <w:rFonts w:ascii="Times New Roman" w:cs="Times New Roman" w:eastAsia="Times New Roman" w:hAnsi="Times New Roman"/>
          <w:sz w:val="14"/>
          <w:szCs w:val="14"/>
          <w:color w:val="auto"/>
        </w:rPr>
        <w:t>. In the event that the Company at any time or from time to time prior to the exercise in full of this Warrant pays any cash dividend on the outstanding shares of the Class or makes any cash distribution on or in respect of all outstanding shares of the Class (other than a distribution of cash proceeds received by the Company in connection with an Acquisition described in Section 2.6(a)(i) above), then on and as of the date of each such dividend payment and/or distribution, the Exercise Price shall be reduced by an amount equal to the amount paid or distributed upon or in respect of each outstanding share of the Class; provided that in no event shall the Exercise Price be reduced below the then-par value, if any, of a share of the Class.</w:t>
      </w:r>
    </w:p>
    <w:p>
      <w:pPr>
        <w:spacing w:after="0" w:line="112" w:lineRule="exact"/>
        <w:rPr>
          <w:sz w:val="20"/>
          <w:szCs w:val="20"/>
          <w:color w:val="auto"/>
        </w:rPr>
      </w:pPr>
    </w:p>
    <w:p>
      <w:pPr>
        <w:ind w:right="80" w:firstLine="511"/>
        <w:spacing w:after="0" w:line="257"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No Fractional Share</w:t>
      </w:r>
      <w:r>
        <w:rPr>
          <w:rFonts w:ascii="Times New Roman" w:cs="Times New Roman" w:eastAsia="Times New Roman" w:hAnsi="Times New Roman"/>
          <w:sz w:val="14"/>
          <w:szCs w:val="14"/>
          <w:color w:val="auto"/>
        </w:rPr>
        <w:t>. No fractional Share shall be issued upon exercise of this Warrant, and the number of Shares to be issued shall be rounded down to the nearest whole Share. If a fractional Share interest arises upon any exercise of this Warrant, the Company shall eliminate such fractional Share interest by paying Holder in cash an amount equal to (a) such fractional interest, multiplied by (b)(i) the fair market value (as determined in accordance with Section 2.3 above) of a full Share, less (ii) the then-effective Exercise Price (the “</w:t>
      </w:r>
      <w:r>
        <w:rPr>
          <w:rFonts w:ascii="Times New Roman" w:cs="Times New Roman" w:eastAsia="Times New Roman" w:hAnsi="Times New Roman"/>
          <w:sz w:val="14"/>
          <w:szCs w:val="14"/>
          <w:b w:val="1"/>
          <w:bCs w:val="1"/>
          <w:color w:val="auto"/>
        </w:rPr>
        <w:t>Fractional Share Value</w:t>
      </w:r>
      <w:r>
        <w:rPr>
          <w:rFonts w:ascii="Times New Roman" w:cs="Times New Roman" w:eastAsia="Times New Roman" w:hAnsi="Times New Roman"/>
          <w:sz w:val="14"/>
          <w:szCs w:val="14"/>
          <w:color w:val="auto"/>
        </w:rPr>
        <w:t>”), unless Holder otherwise elects, in its sole discretion, to waive such payment. Notwithstanding any contrary provision herein, if this Warrant becomes exercisable for a fractional Share interest at any time or from time to time prior to the exercise in full of this Warrant, and the Company eliminates such fractional Share interest prior to any exercise of this Warrant, then the then-effective Exercise Price shall be reduced by an amount equal to the Fractional Share Value, unless Holder otherwise elects, in its sole discretion, to waive such reduction.</w:t>
      </w:r>
    </w:p>
    <w:p>
      <w:pPr>
        <w:spacing w:after="0" w:line="143"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Within a reasonable time following each adjustment of the Exercise Price, Class and/or number of Shares pursuant to the terms of this Warrant, the Company, at its expense, shall deliver a certificate of its Chief Financial Officer or other authorized officer to Holder setting forth the adjustments to the Exercise Price, Class and/or number of Shares and the facts upon which such adjustments are based. The Company shall, at any time and from time to time within a reasonable time following Holder’s written request and at the Company’s expense, furnish Holder with a certificate of its Chief Financial Officer or other authorized officer setting forth the then-current Exercise Price, Class and number of Shares and the computations or other determinations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34" w:name="page335"/>
    <w:bookmarkEnd w:id="334"/>
    <w:p>
      <w:pPr>
        <w:ind w:left="282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REPRESENTATIONS AND COVENANTS OF THE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represents and warrants to, and agrees with, Holder as follows:</w:t>
      </w:r>
    </w:p>
    <w:p>
      <w:pPr>
        <w:spacing w:after="0" w:line="175" w:lineRule="exact"/>
        <w:rPr>
          <w:sz w:val="20"/>
          <w:szCs w:val="20"/>
          <w:color w:val="auto"/>
        </w:rPr>
      </w:pPr>
    </w:p>
    <w:p>
      <w:pPr>
        <w:ind w:left="-520" w:right="20" w:firstLine="1155"/>
        <w:spacing w:after="0" w:line="267" w:lineRule="auto"/>
        <w:tabs>
          <w:tab w:leader="none" w:pos="821"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Exercise Price first set forth above is not greater than the fair market value of a share of the Class as determined by the most recently completed third-party valuation, approved or accepted by the Company’s Board of Directors, of a share of the Class obtained for purposes of the Company’s compliance with Section 409A of the Internal Revenue Code of 1986, as amended (or the corresponding section of any successor statute) (a “</w:t>
      </w:r>
      <w:r>
        <w:rPr>
          <w:rFonts w:ascii="Times New Roman" w:cs="Times New Roman" w:eastAsia="Times New Roman" w:hAnsi="Times New Roman"/>
          <w:sz w:val="14"/>
          <w:szCs w:val="14"/>
          <w:b w:val="1"/>
          <w:bCs w:val="1"/>
          <w:color w:val="auto"/>
        </w:rPr>
        <w:t>409A Valuation</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520" w:firstLine="1155"/>
        <w:spacing w:after="0" w:line="256" w:lineRule="auto"/>
        <w:tabs>
          <w:tab w:leader="none" w:pos="829"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Initial Shares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plus the number of Additional Shares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collectively represent not less than the share percentage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calculated on and as of the Issue Date hereof on a fully-diluted, common stock-equivalent basis (but without excluding shares of capital stock that are not convertible into shares of common stock) assuming (i) the conversion into common stock of all outstanding securities and instruments (including, without limitation, securities deemed to be outstanding pursuant to clause (ii) of this Section 4.1(b))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now exercisable); and (iii) the inclusion of all shares of common stock reserved for issuance under all of the Company’s incentive stock and stock option plans and not now subject to outstanding grants or options.</w:t>
      </w:r>
    </w:p>
    <w:p>
      <w:pPr>
        <w:spacing w:after="0" w:line="143" w:lineRule="exact"/>
        <w:rPr>
          <w:rFonts w:ascii="Times New Roman" w:cs="Times New Roman" w:eastAsia="Times New Roman" w:hAnsi="Times New Roman"/>
          <w:sz w:val="14"/>
          <w:szCs w:val="14"/>
          <w:color w:val="auto"/>
        </w:rPr>
      </w:pPr>
    </w:p>
    <w:p>
      <w:pPr>
        <w:ind w:left="-520" w:right="20" w:firstLine="1155"/>
        <w:spacing w:after="0" w:line="258" w:lineRule="auto"/>
        <w:tabs>
          <w:tab w:leader="none" w:pos="821"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which may be issued upon the exercise of this Warrant, shall, upon issuance, be duly authorized, validly issued, fully paid and non-assessable, and free of any liens and encumbrances except for restrictions on transfer provided for herein or under the Company’s Certificate of Incorporation or Bylaws, each as amended and in effect from time to time (the “</w:t>
      </w:r>
      <w:r>
        <w:rPr>
          <w:rFonts w:ascii="Times New Roman" w:cs="Times New Roman" w:eastAsia="Times New Roman" w:hAnsi="Times New Roman"/>
          <w:sz w:val="14"/>
          <w:szCs w:val="14"/>
          <w:b w:val="1"/>
          <w:bCs w:val="1"/>
          <w:color w:val="auto"/>
        </w:rPr>
        <w:t>Charter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 any Stockholder Agreement (to the extent Holder is then a party thereto or otherwise subject thereto in accordance with the provisions of Section 5.4 below) or applicable federal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43" w:lineRule="exact"/>
        <w:rPr>
          <w:rFonts w:ascii="Times New Roman" w:cs="Times New Roman" w:eastAsia="Times New Roman" w:hAnsi="Times New Roman"/>
          <w:sz w:val="14"/>
          <w:szCs w:val="14"/>
          <w:color w:val="auto"/>
        </w:rPr>
      </w:pPr>
    </w:p>
    <w:p>
      <w:pPr>
        <w:ind w:left="840" w:hanging="205"/>
        <w:spacing w:after="0"/>
        <w:tabs>
          <w:tab w:leader="none" w:pos="8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capitalization table attached hereto as </w:t>
      </w:r>
      <w:r>
        <w:rPr>
          <w:rFonts w:ascii="Times New Roman" w:cs="Times New Roman" w:eastAsia="Times New Roman" w:hAnsi="Times New Roman"/>
          <w:sz w:val="14"/>
          <w:szCs w:val="14"/>
          <w:u w:val="single" w:color="auto"/>
          <w:color w:val="auto"/>
        </w:rPr>
        <w:t>Appendix 2</w:t>
      </w:r>
      <w:r>
        <w:rPr>
          <w:rFonts w:ascii="Times New Roman" w:cs="Times New Roman" w:eastAsia="Times New Roman" w:hAnsi="Times New Roman"/>
          <w:sz w:val="14"/>
          <w:szCs w:val="14"/>
          <w:color w:val="auto"/>
        </w:rPr>
        <w:t xml:space="preserve"> is true and complete, in all material respects, as of the Issue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Notice of Certain Events</w:t>
      </w:r>
      <w:r>
        <w:rPr>
          <w:rFonts w:ascii="Times New Roman" w:cs="Times New Roman" w:eastAsia="Times New Roman" w:hAnsi="Times New Roman"/>
          <w:sz w:val="14"/>
          <w:szCs w:val="14"/>
          <w:color w:val="auto"/>
        </w:rPr>
        <w:t>. If the Company proposes at any time to:</w:t>
      </w:r>
    </w:p>
    <w:p>
      <w:pPr>
        <w:spacing w:after="0" w:line="175" w:lineRule="exact"/>
        <w:rPr>
          <w:sz w:val="20"/>
          <w:szCs w:val="20"/>
          <w:color w:val="auto"/>
        </w:rPr>
      </w:pPr>
    </w:p>
    <w:p>
      <w:pPr>
        <w:ind w:left="820" w:hanging="185"/>
        <w:spacing w:after="0"/>
        <w:tabs>
          <w:tab w:leader="none" w:pos="8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any dividend or distribution upon the outstanding shares of the Class, whether in cash, stock or other securities or property and whether or not a regular cash dividend;</w:t>
      </w:r>
    </w:p>
    <w:p>
      <w:pPr>
        <w:spacing w:after="0" w:line="175" w:lineRule="exact"/>
        <w:rPr>
          <w:rFonts w:ascii="Times New Roman" w:cs="Times New Roman" w:eastAsia="Times New Roman" w:hAnsi="Times New Roman"/>
          <w:sz w:val="14"/>
          <w:szCs w:val="14"/>
          <w:color w:val="auto"/>
        </w:rPr>
      </w:pPr>
    </w:p>
    <w:p>
      <w:pPr>
        <w:ind w:left="-520" w:right="380" w:firstLine="1155"/>
        <w:spacing w:after="0" w:line="283" w:lineRule="auto"/>
        <w:tabs>
          <w:tab w:leader="none" w:pos="829"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for subscription or sale pro rata to all holders of the outstanding shares of the Class any additional securities of the Company (other than pursuant to contractual pre-emptive or first refusal rights);</w:t>
      </w:r>
    </w:p>
    <w:p>
      <w:pPr>
        <w:spacing w:after="0" w:line="124" w:lineRule="exact"/>
        <w:rPr>
          <w:rFonts w:ascii="Times New Roman" w:cs="Times New Roman" w:eastAsia="Times New Roman" w:hAnsi="Times New Roman"/>
          <w:sz w:val="14"/>
          <w:szCs w:val="14"/>
          <w:color w:val="auto"/>
        </w:rPr>
      </w:pPr>
    </w:p>
    <w:p>
      <w:pPr>
        <w:ind w:left="820" w:hanging="185"/>
        <w:spacing w:after="0"/>
        <w:tabs>
          <w:tab w:leader="none" w:pos="8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any redemption, reclassification, exchange, combination, substitution, reorganization or recapitalization of the outstanding shares of the Class;</w:t>
      </w:r>
    </w:p>
    <w:p>
      <w:pPr>
        <w:spacing w:after="0" w:line="175" w:lineRule="exact"/>
        <w:rPr>
          <w:rFonts w:ascii="Times New Roman" w:cs="Times New Roman" w:eastAsia="Times New Roman" w:hAnsi="Times New Roman"/>
          <w:sz w:val="14"/>
          <w:szCs w:val="14"/>
          <w:color w:val="auto"/>
        </w:rPr>
      </w:pPr>
    </w:p>
    <w:p>
      <w:pPr>
        <w:ind w:left="840" w:hanging="205"/>
        <w:spacing w:after="0"/>
        <w:tabs>
          <w:tab w:leader="none" w:pos="84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 Acquisition, or to liquidate, dissolve or wind up the Company; or</w:t>
      </w:r>
    </w:p>
    <w:p>
      <w:pPr>
        <w:spacing w:after="0" w:line="173" w:lineRule="exact"/>
        <w:rPr>
          <w:rFonts w:ascii="Times New Roman" w:cs="Times New Roman" w:eastAsia="Times New Roman" w:hAnsi="Times New Roman"/>
          <w:sz w:val="14"/>
          <w:szCs w:val="14"/>
          <w:color w:val="auto"/>
        </w:rPr>
      </w:pPr>
    </w:p>
    <w:p>
      <w:pPr>
        <w:ind w:left="-520" w:right="160" w:firstLine="1155"/>
        <w:spacing w:after="0" w:line="286" w:lineRule="auto"/>
        <w:tabs>
          <w:tab w:leader="none" w:pos="821"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its initial, underwritten offering and sale of its securities to the public pursuant to an effective registration statement under the Act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then, in connection with each such event, the Company shall give Holder (pursuant to Section 6.5 below):</w:t>
      </w:r>
    </w:p>
    <w:p>
      <w:pPr>
        <w:spacing w:after="0" w:line="123" w:lineRule="exact"/>
        <w:rPr>
          <w:sz w:val="20"/>
          <w:szCs w:val="20"/>
          <w:color w:val="auto"/>
        </w:rPr>
      </w:pPr>
    </w:p>
    <w:p>
      <w:pPr>
        <w:ind w:left="1140" w:hanging="513"/>
        <w:spacing w:after="0" w:line="267" w:lineRule="auto"/>
        <w:tabs>
          <w:tab w:leader="none" w:pos="114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35" w:lineRule="exact"/>
        <w:rPr>
          <w:rFonts w:ascii="Times New Roman" w:cs="Times New Roman" w:eastAsia="Times New Roman" w:hAnsi="Times New Roman"/>
          <w:sz w:val="14"/>
          <w:szCs w:val="14"/>
          <w:color w:val="auto"/>
        </w:rPr>
      </w:pPr>
    </w:p>
    <w:p>
      <w:pPr>
        <w:ind w:left="1140" w:hanging="513"/>
        <w:spacing w:after="0" w:line="261" w:lineRule="auto"/>
        <w:tabs>
          <w:tab w:leader="none" w:pos="114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473075</wp:posOffset>
            </wp:positionV>
            <wp:extent cx="7188200"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40"/>
          </w:cols>
          <w:pgMar w:left="820" w:top="1154" w:right="339" w:bottom="1440" w:gutter="0" w:footer="0" w:header="0"/>
        </w:sectPr>
      </w:pPr>
    </w:p>
    <w:bookmarkStart w:id="335" w:name="page336"/>
    <w:bookmarkEnd w:id="335"/>
    <w:p>
      <w:pPr>
        <w:ind w:left="1660" w:right="180" w:hanging="513"/>
        <w:spacing w:after="0" w:line="283" w:lineRule="auto"/>
        <w:tabs>
          <w:tab w:leader="none" w:pos="16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IPO, at least seven (7) Business Days prior written notice of the date on which the Company proposes to make the first public filing of its registration statement in connection therewith.</w:t>
      </w:r>
    </w:p>
    <w:p>
      <w:pPr>
        <w:spacing w:after="0" w:line="12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Certain Company Information</w:t>
      </w:r>
      <w:r>
        <w:rPr>
          <w:rFonts w:ascii="Times New Roman" w:cs="Times New Roman" w:eastAsia="Times New Roman" w:hAnsi="Times New Roman"/>
          <w:sz w:val="14"/>
          <w:szCs w:val="14"/>
          <w:color w:val="auto"/>
        </w:rPr>
        <w:t>. The Company will provide such information requested by Holder from time to time, within a reasonable time following each such request, that is reasonably necessary to enable Holder to comply with Holder’s accounting or reporting requirements. Prior to the IPO, such information may include, but shall not be limited to, the Company’s then-current summary capitalization table, the price per share for which the Company most recently prior thereto sold or issued shares of its convertible preferred stock to investors for cash in a bona fide equity financing of the Company, and the Company’s most recent 409A Valuation.</w:t>
      </w:r>
    </w:p>
    <w:p>
      <w:pPr>
        <w:spacing w:after="0" w:line="30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REPRESENTATIONS AND COVENANTS OF HOLDER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 represents and warrants to, and agrees with, the Company as follows: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Investment Representations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right="200" w:firstLine="1155"/>
        <w:spacing w:after="0" w:line="267" w:lineRule="auto"/>
        <w:tabs>
          <w:tab w:leader="none" w:pos="134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for Own Account</w:t>
      </w:r>
      <w:r>
        <w:rPr>
          <w:rFonts w:ascii="Times New Roman" w:cs="Times New Roman" w:eastAsia="Times New Roman" w:hAnsi="Times New Roman"/>
          <w:sz w:val="14"/>
          <w:szCs w:val="14"/>
          <w:color w:val="auto"/>
        </w:rPr>
        <w:t>. Except for the one-time transfer of this Warrant from Silicon Valley Bank to its parent SVB Financial Group described in Section 6.4 below, this Warrant and the Shares to be acquired upon exercise hereof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5" w:lineRule="exact"/>
        <w:rPr>
          <w:rFonts w:ascii="Times New Roman" w:cs="Times New Roman" w:eastAsia="Times New Roman" w:hAnsi="Times New Roman"/>
          <w:sz w:val="14"/>
          <w:szCs w:val="14"/>
          <w:color w:val="auto"/>
        </w:rPr>
      </w:pPr>
    </w:p>
    <w:p>
      <w:pPr>
        <w:ind w:right="80" w:firstLine="1155"/>
        <w:spacing w:after="0" w:line="261" w:lineRule="auto"/>
        <w:tabs>
          <w:tab w:leader="none" w:pos="1349"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Disclosure of Information</w:t>
      </w:r>
      <w:r>
        <w:rPr>
          <w:rFonts w:ascii="Times New Roman" w:cs="Times New Roman" w:eastAsia="Times New Roman" w:hAnsi="Times New Roman"/>
          <w:sz w:val="14"/>
          <w:szCs w:val="14"/>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of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0" w:lineRule="exact"/>
        <w:rPr>
          <w:rFonts w:ascii="Times New Roman" w:cs="Times New Roman" w:eastAsia="Times New Roman" w:hAnsi="Times New Roman"/>
          <w:sz w:val="14"/>
          <w:szCs w:val="14"/>
          <w:color w:val="auto"/>
        </w:rPr>
      </w:pPr>
    </w:p>
    <w:p>
      <w:pPr>
        <w:ind w:firstLine="1155"/>
        <w:spacing w:after="0" w:line="258" w:lineRule="auto"/>
        <w:tabs>
          <w:tab w:leader="none" w:pos="134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Experience</w:t>
      </w:r>
      <w:r>
        <w:rPr>
          <w:rFonts w:ascii="Times New Roman" w:cs="Times New Roman" w:eastAsia="Times New Roman" w:hAnsi="Times New Roman"/>
          <w:sz w:val="14"/>
          <w:szCs w:val="14"/>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for an indefinite period of time,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43"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 Status</w:t>
      </w:r>
      <w:r>
        <w:rPr>
          <w:rFonts w:ascii="Times New Roman" w:cs="Times New Roman" w:eastAsia="Times New Roman" w:hAnsi="Times New Roman"/>
          <w:sz w:val="14"/>
          <w:szCs w:val="14"/>
          <w:color w:val="auto"/>
        </w:rPr>
        <w:t>. Holder is an “accredited investor” within the meaning of Regulation D promulgated under the Act.</w:t>
      </w:r>
    </w:p>
    <w:p>
      <w:pPr>
        <w:spacing w:after="0" w:line="175" w:lineRule="exact"/>
        <w:rPr>
          <w:rFonts w:ascii="Times New Roman" w:cs="Times New Roman" w:eastAsia="Times New Roman" w:hAnsi="Times New Roman"/>
          <w:sz w:val="14"/>
          <w:szCs w:val="14"/>
          <w:color w:val="auto"/>
        </w:rPr>
      </w:pPr>
    </w:p>
    <w:p>
      <w:pPr>
        <w:ind w:right="60" w:firstLine="1155"/>
        <w:spacing w:after="0" w:line="257" w:lineRule="auto"/>
        <w:tabs>
          <w:tab w:leader="none" w:pos="1341"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Act</w:t>
      </w:r>
      <w:r>
        <w:rPr>
          <w:rFonts w:ascii="Times New Roman" w:cs="Times New Roman" w:eastAsia="Times New Roman" w:hAnsi="Times New Roman"/>
          <w:sz w:val="14"/>
          <w:szCs w:val="14"/>
          <w:color w:val="auto"/>
        </w:rPr>
        <w:t>. Holder understands that this Warrant and the Shares issuable upon exercise hereof have not been registered under the Act or registered or qualified under the securities laws of any state, and are issued in reliance upon specific exemptions therefrom, which exemptions depend upon, among other things, the bona fide nature of the Holder’s investment intent as expressed herein. Holder understands that the Company is under no obligation to so register or qualify this Warrant, the Shares or such other securities. Holder understands that this Warrant and the Shares issued upon any exercise hereof are “restricted securities” under applicable federal and state securities laws and must be held indefinitely unless subsequently registered under the Act and registered or qualified under applicable state securities laws, or unless exemptions from such registration and qualification are otherwise available. Holder is aware of the provisions of Rule 144 promulgated under the Act.</w:t>
      </w:r>
    </w:p>
    <w:p>
      <w:pPr>
        <w:spacing w:after="0" w:line="143" w:lineRule="exact"/>
        <w:rPr>
          <w:sz w:val="20"/>
          <w:szCs w:val="20"/>
          <w:color w:val="auto"/>
        </w:rPr>
      </w:pPr>
    </w:p>
    <w:p>
      <w:pPr>
        <w:ind w:right="320" w:firstLine="511"/>
        <w:spacing w:after="0" w:line="283"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No Stockholder Rights</w:t>
      </w:r>
      <w:r>
        <w:rPr>
          <w:rFonts w:ascii="Times New Roman" w:cs="Times New Roman" w:eastAsia="Times New Roman" w:hAnsi="Times New Roman"/>
          <w:sz w:val="14"/>
          <w:szCs w:val="14"/>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25"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The Holder agrees that the Shares shall be subject to the Market Standoff provisions in Section 2.11 of the Company’s Investor Rights Agreement or similar agreement, as amended and in effect from time to time.</w:t>
      </w:r>
    </w:p>
    <w:p>
      <w:pPr>
        <w:spacing w:after="0" w:line="125" w:lineRule="exact"/>
        <w:rPr>
          <w:sz w:val="20"/>
          <w:szCs w:val="20"/>
          <w:color w:val="auto"/>
        </w:rPr>
      </w:pPr>
    </w:p>
    <w:p>
      <w:pPr>
        <w:ind w:right="20" w:firstLine="511"/>
        <w:spacing w:after="0" w:line="283"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Stockholder Agreements</w:t>
      </w:r>
      <w:r>
        <w:rPr>
          <w:rFonts w:ascii="Times New Roman" w:cs="Times New Roman" w:eastAsia="Times New Roman" w:hAnsi="Times New Roman"/>
          <w:sz w:val="14"/>
          <w:szCs w:val="14"/>
          <w:color w:val="auto"/>
        </w:rPr>
        <w:t>. Following any exercise of this Warrant and solely with respect to the Shares issued thereupon, if the Company so requests in writing, Holder shall become a party to the Company’s then-effective right of first refusal and co-sale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36" w:name="page337"/>
    <w:bookmarkEnd w:id="336"/>
    <w:p>
      <w:pPr>
        <w:ind w:right="80"/>
        <w:spacing w:after="0" w:line="261" w:lineRule="auto"/>
        <w:rPr>
          <w:sz w:val="20"/>
          <w:szCs w:val="20"/>
          <w:color w:val="auto"/>
        </w:rPr>
      </w:pPr>
      <w:r>
        <w:rPr>
          <w:rFonts w:ascii="Times New Roman" w:cs="Times New Roman" w:eastAsia="Times New Roman" w:hAnsi="Times New Roman"/>
          <w:sz w:val="14"/>
          <w:szCs w:val="14"/>
          <w:color w:val="auto"/>
        </w:rPr>
        <w:t>agreement, voting agreement and/or each other agreement entered into among the Company and holders of the outstanding shares of the Class, each as may be amended and in effect from time to time (collectively, the “</w:t>
      </w:r>
      <w:r>
        <w:rPr>
          <w:rFonts w:ascii="Times New Roman" w:cs="Times New Roman" w:eastAsia="Times New Roman" w:hAnsi="Times New Roman"/>
          <w:sz w:val="14"/>
          <w:szCs w:val="14"/>
          <w:b w:val="1"/>
          <w:bCs w:val="1"/>
          <w:color w:val="auto"/>
        </w:rPr>
        <w:t>Stockholder Agreements</w:t>
      </w:r>
      <w:r>
        <w:rPr>
          <w:rFonts w:ascii="Times New Roman" w:cs="Times New Roman" w:eastAsia="Times New Roman" w:hAnsi="Times New Roman"/>
          <w:sz w:val="14"/>
          <w:szCs w:val="14"/>
          <w:color w:val="auto"/>
        </w:rPr>
        <w:t>”), by execution and delivery to the Company of a counterpart signature page, joinder agreement, instrument of accession or similar instrument, provided that such Stockholder Agreement is by its terms in force and effect at the time of such exercise. If the foregoing condition is met, then effective upon such exercise, Holder shall automatically become bound by, and the Shares issued upon such exercise shall automatically become subject to, such Stockholder Agreement.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Holder agrees to treat and hold all information provided by the Company pursuant to this Warrant in confidence in accordance with the provisions of 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11.8 of the Loan Agreement (regardless of whether the Loan Agreement shall then be in effect).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6.1 Term; Automatic Cashless Exercise Upon Expiration.</w:t>
      </w:r>
    </w:p>
    <w:p>
      <w:pPr>
        <w:spacing w:after="0" w:line="175" w:lineRule="exact"/>
        <w:rPr>
          <w:sz w:val="20"/>
          <w:szCs w:val="20"/>
          <w:color w:val="auto"/>
        </w:rPr>
      </w:pPr>
    </w:p>
    <w:p>
      <w:pPr>
        <w:jc w:val="both"/>
        <w:ind w:firstLine="1155"/>
        <w:spacing w:after="0" w:line="258" w:lineRule="auto"/>
        <w:tabs>
          <w:tab w:leader="none" w:pos="1341"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Subject to the provisions of Section 2.6 above, this Warrant is exercisable in whole or in part at any time and from time to time on or before 6:00 PM, Pacific time, on the expiration date set forth on Schedule I hereto (the “</w:t>
      </w:r>
      <w:r>
        <w:rPr>
          <w:rFonts w:ascii="Times New Roman" w:cs="Times New Roman" w:eastAsia="Times New Roman" w:hAnsi="Times New Roman"/>
          <w:sz w:val="14"/>
          <w:szCs w:val="14"/>
          <w:b w:val="1"/>
          <w:bCs w:val="1"/>
          <w:color w:val="auto"/>
        </w:rPr>
        <w:t>Expiration Date</w:t>
      </w:r>
      <w:r>
        <w:rPr>
          <w:rFonts w:ascii="Times New Roman" w:cs="Times New Roman" w:eastAsia="Times New Roman" w:hAnsi="Times New Roman"/>
          <w:sz w:val="14"/>
          <w:szCs w:val="14"/>
          <w:color w:val="auto"/>
        </w:rPr>
        <w:t>”) and shall be void thereafter; provided that if the Company does not deliver to Holder written confirmation of the fair market value of a Share pursuant to Section 6.1(b) below, then the Expiration Date shall automatically be extended until the earlier to occur of (i) such date as the Company delivers such written confirmation and</w:t>
      </w:r>
    </w:p>
    <w:p>
      <w:pPr>
        <w:ind w:left="220" w:hanging="216"/>
        <w:spacing w:after="0"/>
        <w:tabs>
          <w:tab w:leader="none" w:pos="2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(1) year after the Expiration Date.</w:t>
      </w:r>
    </w:p>
    <w:p>
      <w:pPr>
        <w:spacing w:after="0" w:line="160" w:lineRule="exact"/>
        <w:rPr>
          <w:rFonts w:ascii="Times New Roman" w:cs="Times New Roman" w:eastAsia="Times New Roman" w:hAnsi="Times New Roman"/>
          <w:sz w:val="14"/>
          <w:szCs w:val="14"/>
          <w:color w:val="auto"/>
        </w:rPr>
      </w:pPr>
    </w:p>
    <w:p>
      <w:pPr>
        <w:ind w:right="120" w:firstLine="1155"/>
        <w:spacing w:after="0" w:line="257" w:lineRule="auto"/>
        <w:tabs>
          <w:tab w:leader="none" w:pos="1349"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Automatic Cashless Exercise upon Expiration</w:t>
      </w:r>
      <w:r>
        <w:rPr>
          <w:rFonts w:ascii="Times New Roman" w:cs="Times New Roman" w:eastAsia="Times New Roman" w:hAnsi="Times New Roman"/>
          <w:sz w:val="14"/>
          <w:szCs w:val="14"/>
          <w:color w:val="auto"/>
        </w:rPr>
        <w:t>. In the event that, upon the Expiration Date, the fair market value of one Share as determined in accordance with Section 2.3 above is greater than the Exercise Price in effect on such date, then this Warrant shall automatically be deemed on and as of such date to be exercised pursuant to Section 2.2 above as to all Shares for which it shall not previously have been exercised, and the Company shall, within a reasonable time following Holder’s written request, deliver a certificate (or, in the case of uncertificated securities, provide notice of book entry) representing the Shares issued to Holder upon such exercise. If shares of the Class are not then traded in a Trading Market, the Company shall deliver to Holder, prior to the Expiration Date, written confirmation of the fair market value of a Share (as determined pursuant to Section 2.3 above) to be used in determining whether this Warrant shall automatically exercise on the Expiration Date pursuant to this Section 6.1(b).</w:t>
      </w:r>
    </w:p>
    <w:p>
      <w:pPr>
        <w:spacing w:after="0" w:line="143" w:lineRule="exact"/>
        <w:rPr>
          <w:sz w:val="20"/>
          <w:szCs w:val="20"/>
          <w:color w:val="auto"/>
        </w:rPr>
      </w:pPr>
    </w:p>
    <w:p>
      <w:pPr>
        <w:ind w:right="160" w:firstLine="511"/>
        <w:spacing w:after="0" w:line="267"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Each certificate or notice of book entry evidencing Shares shall be imprinted with a legend in substantially the following form (together with such additional legends as may be required by the Charter Documents or under any Stockholder Agreement (to the extent Holder is then a party thereto or otherwise subject thereto in accordance with the provisions of Section 5.4 above)):</w:t>
      </w:r>
    </w:p>
    <w:p>
      <w:pPr>
        <w:spacing w:after="0" w:line="134" w:lineRule="exact"/>
        <w:rPr>
          <w:sz w:val="20"/>
          <w:szCs w:val="20"/>
          <w:color w:val="auto"/>
        </w:rPr>
      </w:pPr>
    </w:p>
    <w:p>
      <w:pPr>
        <w:ind w:left="1160" w:right="180"/>
        <w:spacing w:after="0" w:line="259" w:lineRule="auto"/>
        <w:rPr>
          <w:sz w:val="20"/>
          <w:szCs w:val="20"/>
          <w:color w:val="auto"/>
        </w:rPr>
      </w:pPr>
      <w:r>
        <w:rPr>
          <w:rFonts w:ascii="Times New Roman" w:cs="Times New Roman" w:eastAsia="Times New Roman" w:hAnsi="Times New Roman"/>
          <w:sz w:val="14"/>
          <w:szCs w:val="14"/>
          <w:color w:val="auto"/>
        </w:rPr>
        <w:t>THE SHARES EVIDENCED BY THIS CERTIFICATE HAVE NOT BEEN REGISTERED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THE SECURITIES LAWS OF ANY STATE AND, EXCEPT AS SET FORTH IN THAT CERTAIN WARRANT TO PURCHASE STOCK ISSUED BY THE ISSUER TO SILICON VALLEY BANK DATED SEPTEMBER 21,2021,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if then applicable, a legend in substantially the following form:</w:t>
      </w:r>
    </w:p>
    <w:p>
      <w:pPr>
        <w:spacing w:after="0" w:line="175" w:lineRule="exact"/>
        <w:rPr>
          <w:sz w:val="20"/>
          <w:szCs w:val="20"/>
          <w:color w:val="auto"/>
        </w:rPr>
      </w:pPr>
    </w:p>
    <w:p>
      <w:pPr>
        <w:ind w:left="1160" w:right="160"/>
        <w:spacing w:after="0" w:line="258" w:lineRule="auto"/>
        <w:rPr>
          <w:sz w:val="20"/>
          <w:szCs w:val="20"/>
          <w:color w:val="auto"/>
        </w:rPr>
      </w:pPr>
      <w:r>
        <w:rPr>
          <w:rFonts w:ascii="Times New Roman" w:cs="Times New Roman" w:eastAsia="Times New Roman" w:hAnsi="Times New Roman"/>
          <w:sz w:val="14"/>
          <w:szCs w:val="14"/>
          <w:color w:val="auto"/>
        </w:rPr>
        <w:t>THE SECURITIES EVIDENCED BY THIS CERTIFICATE ARE SUBJECT TO CERTAIN RESTRICTIONS ON TRANSFERABILITY AND RESALE, INCLUDING A LOCK-UP PERIOD AFTER THE EFFECTIVE DATE OF THE ISSUER’S REGISTRATION STATEMENT FILED UNDER THE SECURITIES ACT OF 1933, AS AMENDED, AS SET FORTH IN THAT CERTAIN WARRANT TO PURCHASE STOCK ISSUED BY THE ISSUER TO SILICON VALLEY BANK DATED SEPTEMBER 21, 2021, A COPY OF WHICH MAY BE OBTAINED AT THE ISSUER’S PRINCIPAL OFFICE. SUCH RESTRICTIONS ARE BINDING ON TRANSFEREES OF THESE SECURITIES.</w:t>
      </w:r>
    </w:p>
    <w:p>
      <w:pPr>
        <w:spacing w:after="0" w:line="144"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Compliance with Securities Laws on Transfer</w:t>
      </w:r>
      <w:r>
        <w:rPr>
          <w:rFonts w:ascii="Times New Roman" w:cs="Times New Roman" w:eastAsia="Times New Roman" w:hAnsi="Times New Roman"/>
          <w:sz w:val="14"/>
          <w:szCs w:val="14"/>
          <w:color w:val="auto"/>
        </w:rPr>
        <w:t>. This Warrant and the Shares issued upon exercise hereof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37" w:name="page338"/>
    <w:bookmarkEnd w:id="337"/>
    <w:p>
      <w:pPr>
        <w:ind w:right="20" w:firstLine="511"/>
        <w:spacing w:after="0" w:line="253"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Transfer Procedure</w:t>
      </w:r>
      <w:r>
        <w:rPr>
          <w:rFonts w:ascii="Times New Roman" w:cs="Times New Roman" w:eastAsia="Times New Roman" w:hAnsi="Times New Roman"/>
          <w:sz w:val="14"/>
          <w:szCs w:val="14"/>
          <w:color w:val="auto"/>
        </w:rPr>
        <w:t>. After receipt by Silicon Valley Bank of the executed Warrant, Silicon Valley Bank will transfer, for value received, all of its rights, title and interest in and to this Warrant to its parent company, SVB Financial Group, without any separate assignment agreement. By its acceptance of this Warrant, SVB Financial Group, on and as of the date of such assignment, hereby makes to the Company each of the representations and warranties set forth in Section 5.1 hereof and agrees to be bound by all of the terms and conditions of this Warrant as if it were the original Holder hereof. Subject to the provisions of Section 6.3 and upon providing the Company with written notice, SVB Financial Group and any subsequent Holder may transfer all or part of this Warrant or the Shares issued upon exercise of this Warrant to any transferee; provided that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or the certificates or other evidence of such Shares or other securities, to the Company for reissuance to the transferee(s) (and to Holder if applicable); and provided further, that any subsequent transferee other than SVB Financial Group shall make substantially the representations set forth in Section 5.1 above and shall agree in writing with the Company to be bound by all of the terms and conditions of this Warrant; and provided further, that the transfer of any Shares issued on exercise hereof shall be subject to the provisions of the Stockholder Agreements to the extent Holder is then a party thereto or otherwise subject thereto in accordance with the provisions of Section above.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(as determined by the Company’s Board of Directors in its reasonable good faith judgment), except in connection with an Acquisition of the Company by such a direct competitor.</w:t>
      </w:r>
    </w:p>
    <w:p>
      <w:pPr>
        <w:spacing w:after="0" w:line="119"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6.5. All notices to Holder shall be addressed as follows until the Company receives notice of a change of address in connection with a transfer or otherwise:</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SVB Financial Group</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Attn: Warrants</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80 East Rio Salado Parkway, Suite 600</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Tempe, AZ 85281</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Telephone: ***</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notices to the Company shall be addressed as follows until Holder receives notice of a change in address:</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Attn: Chief Financial Officer</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Address: 30 Acorn Park Drive, Cambridge, MA 02140</w:t>
      </w:r>
    </w:p>
    <w:p>
      <w:pPr>
        <w:spacing w:after="0" w:line="7" w:lineRule="exact"/>
        <w:rPr>
          <w:sz w:val="20"/>
          <w:szCs w:val="20"/>
          <w:color w:val="auto"/>
        </w:rPr>
      </w:pPr>
    </w:p>
    <w:p>
      <w:pPr>
        <w:ind w:left="1660"/>
        <w:spacing w:after="0"/>
        <w:tabs>
          <w:tab w:leader="none" w:pos="3100" w:val="left"/>
        </w:tabs>
        <w:rPr>
          <w:sz w:val="20"/>
          <w:szCs w:val="20"/>
          <w:color w:val="auto"/>
        </w:rPr>
      </w:pPr>
      <w:r>
        <w:rPr>
          <w:rFonts w:ascii="Times New Roman" w:cs="Times New Roman" w:eastAsia="Times New Roman" w:hAnsi="Times New Roman"/>
          <w:sz w:val="14"/>
          <w:szCs w:val="14"/>
          <w:color w:val="auto"/>
        </w:rPr>
        <w:t xml:space="preserve">Telephone: [             </w:t>
      </w:r>
      <w:r>
        <w:rPr>
          <w:sz w:val="20"/>
          <w:szCs w:val="20"/>
          <w:color w:val="auto"/>
        </w:rPr>
        <w:tab/>
      </w:r>
      <w:r>
        <w:rPr>
          <w:rFonts w:ascii="Times New Roman" w:cs="Times New Roman" w:eastAsia="Times New Roman" w:hAnsi="Times New Roman"/>
          <w:sz w:val="12"/>
          <w:szCs w:val="12"/>
          <w:color w:val="auto"/>
        </w:rPr>
        <w:t>]</w:t>
      </w:r>
    </w:p>
    <w:p>
      <w:pPr>
        <w:spacing w:after="0" w:line="7" w:lineRule="exact"/>
        <w:rPr>
          <w:sz w:val="20"/>
          <w:szCs w:val="20"/>
          <w:color w:val="auto"/>
        </w:rPr>
      </w:pPr>
    </w:p>
    <w:p>
      <w:pPr>
        <w:ind w:left="1660"/>
        <w:spacing w:after="0"/>
        <w:tabs>
          <w:tab w:leader="none" w:pos="2840" w:val="left"/>
        </w:tabs>
        <w:rPr>
          <w:sz w:val="20"/>
          <w:szCs w:val="20"/>
          <w:color w:val="auto"/>
        </w:rPr>
      </w:pPr>
      <w:r>
        <w:rPr>
          <w:rFonts w:ascii="Times New Roman" w:cs="Times New Roman" w:eastAsia="Times New Roman" w:hAnsi="Times New Roman"/>
          <w:sz w:val="14"/>
          <w:szCs w:val="14"/>
          <w:color w:val="auto"/>
        </w:rPr>
        <w:t xml:space="preserve">Email: [             </w:t>
      </w:r>
      <w:r>
        <w:rPr>
          <w:sz w:val="20"/>
          <w:szCs w:val="20"/>
          <w:color w:val="auto"/>
        </w:rPr>
        <w:tab/>
      </w:r>
      <w:r>
        <w:rPr>
          <w:rFonts w:ascii="Times New Roman" w:cs="Times New Roman" w:eastAsia="Times New Roman" w:hAnsi="Times New Roman"/>
          <w:sz w:val="12"/>
          <w:szCs w:val="12"/>
          <w:color w:val="auto"/>
        </w:rPr>
        <w:t>]</w:t>
      </w:r>
    </w:p>
    <w:p>
      <w:pPr>
        <w:spacing w:after="0" w:line="1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Faber Daeufer &amp; Itrato PC</w:t>
      </w:r>
    </w:p>
    <w:p>
      <w:pPr>
        <w:spacing w:after="0" w:line="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Attn: Timothy J. LaBua and Joseph L. Faber</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Address: 890 Winter Street, Waltham, MA 02451</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Telephone:</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timothy.labua@faberlawgroup.com</w:t>
      </w:r>
    </w:p>
    <w:p>
      <w:pPr>
        <w:spacing w:after="0" w:line="161"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Amendment and Waiver</w:t>
      </w:r>
      <w:r>
        <w:rPr>
          <w:rFonts w:ascii="Times New Roman" w:cs="Times New Roman" w:eastAsia="Times New Roman" w:hAnsi="Times New Roman"/>
          <w:sz w:val="14"/>
          <w:szCs w:val="14"/>
          <w:color w:val="auto"/>
        </w:rPr>
        <w:t>. Notwithstanding any contrary provision herein or in the Loan Agreement, this Warrant may be amended and any provision hereof waived (either generally or in a particular instance and either retroactively or prospectively) only by an instrument in writing signed by Holder and any party against which enforcement of such amendment or waiver is sought.</w:t>
      </w:r>
    </w:p>
    <w:p>
      <w:pPr>
        <w:spacing w:after="0" w:line="12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Counterparts; Electronic Signatures; Status as Certificated Security</w:t>
      </w:r>
      <w:r>
        <w:rPr>
          <w:rFonts w:ascii="Times New Roman" w:cs="Times New Roman" w:eastAsia="Times New Roman" w:hAnsi="Times New Roman"/>
          <w:sz w:val="14"/>
          <w:szCs w:val="14"/>
          <w:color w:val="auto"/>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473075</wp:posOffset>
            </wp:positionV>
            <wp:extent cx="7188200"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38" w:name="page339"/>
    <w:bookmarkEnd w:id="338"/>
    <w:p>
      <w:pPr>
        <w:spacing w:after="0" w:line="261" w:lineRule="auto"/>
        <w:rPr>
          <w:sz w:val="20"/>
          <w:szCs w:val="20"/>
          <w:color w:val="auto"/>
        </w:rPr>
      </w:pPr>
      <w:r>
        <w:rPr>
          <w:rFonts w:ascii="Times New Roman" w:cs="Times New Roman" w:eastAsia="Times New Roman" w:hAnsi="Times New Roman"/>
          <w:sz w:val="14"/>
          <w:szCs w:val="14"/>
          <w:color w:val="auto"/>
        </w:rPr>
        <w:t>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Section 6.4 or the enforcement of the terms hereof. To the extent that the original of this Warrant is an electronic original,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in this Warrant are for purposes of reference only and shall not limit or otherwise affect the meaning of any provision of this Warrant.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Business Days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that is not a Saturday, Sunday or a day on which banks in California are closed.</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GOVERNING LAW, VENUE AND JURY TRIAL WAIVER; JUDICIAL REFERENCE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laws of the State of Delaware, without giving effect to its principles regarding conflicts of law.</w:t>
      </w:r>
    </w:p>
    <w:p>
      <w:pPr>
        <w:spacing w:after="0" w:line="175"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Jurisdiction and Venue</w:t>
      </w:r>
      <w:r>
        <w:rPr>
          <w:rFonts w:ascii="Times New Roman" w:cs="Times New Roman" w:eastAsia="Times New Roman" w:hAnsi="Times New Roman"/>
          <w:sz w:val="14"/>
          <w:szCs w:val="14"/>
          <w:color w:val="auto"/>
        </w:rPr>
        <w:t>. The Company and Holder each irrevocably and unconditionally submit to the exclusive jurisdiction of the State and Federal courts in Suffolk County, Massachusetts; provided, however, that nothing in this Warrant shall be deemed to operate to preclude Holder from bringing suit or taking other legal action in any other jurisdiction to enforce a judgment or other court order in favor of Holder. The Company expressly, irrevocably and unconditionally submits and consents in advance to such jurisdiction in any action or suit commenced in any such court, and the Company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by registered or certified mail addressed to the Company in accordance with Section 6.5 of this Warrant and that service so made shall be deemed completed upon the earlier to occur of the Company’s actual receipt thereof or three (3) days after deposit in the U.S. mails, proper postage prepaid.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Jury Trial Waiver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THE FULLEST EXTENT PERMITTED BY APPLICABLE LAW, THE COMPANY AND HOLDER EACH WAIVES ITS RIGHT TO A JURY TRIAL</w:t>
      </w:r>
    </w:p>
    <w:p>
      <w:pPr>
        <w:spacing w:after="0" w:line="2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4"/>
          <w:szCs w:val="14"/>
          <w:b w:val="1"/>
          <w:bCs w:val="1"/>
          <w:color w:val="auto"/>
        </w:rPr>
        <w:t>OF ANY CLAIM OR CAUSE OF ACTION ARISING OUT OF OR BASED UPON THIS WARRANT, THE LOAN AGREEMENT OR ANY CONTEMPLATED TRANSACTION, INCLUDING CONTRACT, TORT, BREACH OF DUTY AND ALL OTHER CLAIMS. THIS WAIVER IS A MATERIAL INDUCEMENT FOR THE PARTIES’ AGREEMENT TO THIS WARRANT. EACH PARTY HERETO HAS REVIEWED THIS WAIVER WITH ITS COUNSEL</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This Section 7 shall survive the termination of this Warrant.</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582930</wp:posOffset>
            </wp:positionV>
            <wp:extent cx="7188200"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parties have caused this Warrant To Purchase Stock to be executed by their duly authorized representatives effective as of the Issue Date written above.</w:t>
      </w:r>
    </w:p>
    <w:p>
      <w:pPr>
        <w:spacing w:after="0" w:line="20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FOG PHARMACEUTICALS, INC</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6260"/>
        <w:spacing w:after="0"/>
        <w:tabs>
          <w:tab w:leader="none" w:pos="66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Anthony Gibney</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-101600</wp:posOffset>
            </wp:positionV>
            <wp:extent cx="257683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4"/>
          <w:szCs w:val="14"/>
          <w:color w:val="auto"/>
        </w:rPr>
        <w:t>Title: CFO/CBO</w:t>
      </w:r>
    </w:p>
    <w:p>
      <w:pPr>
        <w:spacing w:after="0" w:line="1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SILICON VALLEY BANK</w:t>
      </w:r>
    </w:p>
    <w:p>
      <w:pPr>
        <w:spacing w:after="0" w:line="177" w:lineRule="exact"/>
        <w:rPr>
          <w:sz w:val="20"/>
          <w:szCs w:val="20"/>
          <w:color w:val="auto"/>
        </w:rPr>
      </w:pPr>
    </w:p>
    <w:p>
      <w:pPr>
        <w:ind w:left="6260"/>
        <w:spacing w:after="0"/>
        <w:tabs>
          <w:tab w:leader="none" w:pos="66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Lauren Cole</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-101600</wp:posOffset>
            </wp:positionV>
            <wp:extent cx="257683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652780</wp:posOffset>
            </wp:positionV>
            <wp:extent cx="7188200"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360"/>
          </w:cols>
          <w:pgMar w:left="820" w:top="817" w:right="71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183"/>
        </w:trPr>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APPENDIX 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gridSpan w:val="6"/>
          </w:tcPr>
          <w:p>
            <w:pPr>
              <w:jc w:val="center"/>
              <w:ind w:left="130"/>
              <w:spacing w:after="0"/>
              <w:rPr>
                <w:sz w:val="20"/>
                <w:szCs w:val="20"/>
                <w:color w:val="auto"/>
              </w:rPr>
            </w:pPr>
            <w:r>
              <w:rPr>
                <w:rFonts w:ascii="Times New Roman" w:cs="Times New Roman" w:eastAsia="Times New Roman" w:hAnsi="Times New Roman"/>
                <w:sz w:val="14"/>
                <w:szCs w:val="14"/>
                <w:color w:val="auto"/>
              </w:rPr>
              <w:t>Form of Notice of Exercise of Warrant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w:t>
            </w:r>
          </w:p>
        </w:tc>
        <w:tc>
          <w:tcPr>
            <w:tcW w:w="0" w:type="dxa"/>
            <w:vAlign w:val="bottom"/>
          </w:tcPr>
          <w:p>
            <w:pPr>
              <w:spacing w:after="0" w:line="20" w:lineRule="exact"/>
              <w:rPr>
                <w:sz w:val="1"/>
                <w:szCs w:val="1"/>
                <w:color w:val="auto"/>
              </w:rPr>
            </w:pPr>
          </w:p>
        </w:tc>
      </w:tr>
      <w:tr>
        <w:trPr>
          <w:trHeight w:val="316"/>
        </w:trPr>
        <w:tc>
          <w:tcPr>
            <w:tcW w:w="6900" w:type="dxa"/>
            <w:vAlign w:val="bottom"/>
            <w:gridSpan w:val="13"/>
          </w:tcPr>
          <w:p>
            <w:pPr>
              <w:ind w:left="520"/>
              <w:spacing w:after="0"/>
              <w:rPr>
                <w:sz w:val="20"/>
                <w:szCs w:val="20"/>
                <w:color w:val="auto"/>
              </w:rPr>
            </w:pPr>
            <w:r>
              <w:rPr>
                <w:rFonts w:ascii="Times New Roman" w:cs="Times New Roman" w:eastAsia="Times New Roman" w:hAnsi="Times New Roman"/>
                <w:sz w:val="14"/>
                <w:szCs w:val="14"/>
                <w:color w:val="auto"/>
              </w:rPr>
              <w:t>1. The undersigned Holder hereby exercises its right to purchase                shares of the [Common] / [Series  </w:t>
            </w: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Preferred] [circle one] Stock of  </w:t>
            </w:r>
          </w:p>
        </w:tc>
        <w:tc>
          <w:tcPr>
            <w:tcW w:w="1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4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accordance with the attached Warrant To Purchase Stock, and tenders payment of the aggregate Exercise Price for such shares as follows:</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5"/>
        </w:trPr>
        <w:tc>
          <w:tcPr>
            <w:tcW w:w="700" w:type="dxa"/>
            <w:vAlign w:val="bottom"/>
          </w:tcPr>
          <w:p>
            <w:pPr>
              <w:ind w:left="580"/>
              <w:spacing w:after="0"/>
              <w:rPr>
                <w:sz w:val="20"/>
                <w:szCs w:val="20"/>
                <w:color w:val="auto"/>
              </w:rPr>
            </w:pPr>
            <w:r>
              <w:rPr>
                <w:rFonts w:ascii="Times New Roman" w:cs="Times New Roman" w:eastAsia="Times New Roman" w:hAnsi="Times New Roman"/>
                <w:sz w:val="10"/>
                <w:szCs w:val="10"/>
                <w:color w:val="auto"/>
                <w:w w:val="74"/>
              </w:rPr>
              <w:t>[ </w:t>
            </w:r>
          </w:p>
        </w:tc>
        <w:tc>
          <w:tcPr>
            <w:tcW w:w="5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5680" w:type="dxa"/>
            <w:vAlign w:val="bottom"/>
            <w:gridSpan w:val="11"/>
          </w:tcPr>
          <w:p>
            <w:pPr>
              <w:ind w:left="420"/>
              <w:spacing w:after="0"/>
              <w:rPr>
                <w:sz w:val="20"/>
                <w:szCs w:val="20"/>
                <w:color w:val="auto"/>
              </w:rPr>
            </w:pPr>
            <w:r>
              <w:rPr>
                <w:rFonts w:ascii="Times New Roman" w:cs="Times New Roman" w:eastAsia="Times New Roman" w:hAnsi="Times New Roman"/>
                <w:sz w:val="14"/>
                <w:szCs w:val="14"/>
                <w:color w:val="auto"/>
              </w:rPr>
              <w:t>Check in the amount of $         payable to order of the Company enclosed herewith</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 w:type="dxa"/>
            <w:vAlign w:val="bottom"/>
          </w:tcPr>
          <w:p>
            <w:pPr>
              <w:ind w:left="580"/>
              <w:spacing w:after="0"/>
              <w:rPr>
                <w:sz w:val="20"/>
                <w:szCs w:val="20"/>
                <w:color w:val="auto"/>
              </w:rPr>
            </w:pPr>
            <w:r>
              <w:rPr>
                <w:rFonts w:ascii="Times New Roman" w:cs="Times New Roman" w:eastAsia="Times New Roman" w:hAnsi="Times New Roman"/>
                <w:sz w:val="10"/>
                <w:szCs w:val="10"/>
                <w:color w:val="auto"/>
                <w:w w:val="74"/>
              </w:rPr>
              <w:t>[ </w:t>
            </w:r>
          </w:p>
        </w:tc>
        <w:tc>
          <w:tcPr>
            <w:tcW w:w="5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5680" w:type="dxa"/>
            <w:vAlign w:val="bottom"/>
            <w:gridSpan w:val="11"/>
          </w:tcPr>
          <w:p>
            <w:pPr>
              <w:ind w:left="420"/>
              <w:spacing w:after="0"/>
              <w:rPr>
                <w:sz w:val="20"/>
                <w:szCs w:val="20"/>
                <w:color w:val="auto"/>
              </w:rPr>
            </w:pPr>
            <w:r>
              <w:rPr>
                <w:rFonts w:ascii="Times New Roman" w:cs="Times New Roman" w:eastAsia="Times New Roman" w:hAnsi="Times New Roman"/>
                <w:sz w:val="14"/>
                <w:szCs w:val="14"/>
                <w:color w:val="auto"/>
              </w:rPr>
              <w:t>Wire transfer of immediately available funds to the Company’s account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580"/>
              <w:spacing w:after="0"/>
              <w:rPr>
                <w:sz w:val="20"/>
                <w:szCs w:val="20"/>
                <w:color w:val="auto"/>
              </w:rPr>
            </w:pPr>
            <w:r>
              <w:rPr>
                <w:rFonts w:ascii="Times New Roman" w:cs="Times New Roman" w:eastAsia="Times New Roman" w:hAnsi="Times New Roman"/>
                <w:sz w:val="10"/>
                <w:szCs w:val="10"/>
                <w:color w:val="auto"/>
                <w:w w:val="74"/>
              </w:rPr>
              <w:t>[ </w:t>
            </w:r>
          </w:p>
        </w:tc>
        <w:tc>
          <w:tcPr>
            <w:tcW w:w="520" w:type="dxa"/>
            <w:vAlign w:val="bottom"/>
          </w:tcPr>
          <w:p>
            <w:pPr>
              <w:jc w:val="right"/>
              <w:ind w:right="35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80" w:type="dxa"/>
            <w:vAlign w:val="bottom"/>
            <w:gridSpan w:val="11"/>
          </w:tcPr>
          <w:p>
            <w:pPr>
              <w:ind w:left="420"/>
              <w:spacing w:after="0" w:line="151" w:lineRule="exact"/>
              <w:rPr>
                <w:sz w:val="20"/>
                <w:szCs w:val="20"/>
                <w:color w:val="auto"/>
              </w:rPr>
            </w:pPr>
            <w:r>
              <w:rPr>
                <w:rFonts w:ascii="Times New Roman" w:cs="Times New Roman" w:eastAsia="Times New Roman" w:hAnsi="Times New Roman"/>
                <w:sz w:val="14"/>
                <w:szCs w:val="14"/>
                <w:color w:val="auto"/>
              </w:rPr>
              <w:t xml:space="preserve">Cashless exercise pursuant to Section 2.2 of the Warrant, resulting in the issuance of           </w:t>
            </w:r>
          </w:p>
        </w:tc>
        <w:tc>
          <w:tcPr>
            <w:tcW w:w="80" w:type="dxa"/>
            <w:vAlign w:val="bottom"/>
          </w:tcPr>
          <w:p>
            <w:pPr>
              <w:spacing w:after="0"/>
              <w:rPr>
                <w:sz w:val="13"/>
                <w:szCs w:val="13"/>
                <w:color w:val="auto"/>
              </w:rPr>
            </w:pPr>
          </w:p>
        </w:tc>
        <w:tc>
          <w:tcPr>
            <w:tcW w:w="2440" w:type="dxa"/>
            <w:vAlign w:val="bottom"/>
            <w:gridSpan w:val="4"/>
          </w:tcPr>
          <w:p>
            <w:pPr>
              <w:ind w:left="20"/>
              <w:spacing w:after="0" w:line="151" w:lineRule="exact"/>
              <w:rPr>
                <w:sz w:val="20"/>
                <w:szCs w:val="20"/>
                <w:color w:val="auto"/>
              </w:rPr>
            </w:pPr>
            <w:r>
              <w:rPr>
                <w:rFonts w:ascii="Times New Roman" w:cs="Times New Roman" w:eastAsia="Times New Roman" w:hAnsi="Times New Roman"/>
                <w:sz w:val="14"/>
                <w:szCs w:val="14"/>
                <w:color w:val="auto"/>
              </w:rPr>
              <w:t xml:space="preserve">shares of the [Common] / [Series          </w:t>
            </w:r>
          </w:p>
        </w:tc>
        <w:tc>
          <w:tcPr>
            <w:tcW w:w="18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color w:val="auto"/>
                <w:w w:val="99"/>
              </w:rPr>
              <w:t>Preferred] [circle one] Stock of</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gridSpan w:val="8"/>
          </w:tcPr>
          <w:p>
            <w:pPr>
              <w:ind w:left="420"/>
              <w:spacing w:after="0"/>
              <w:rPr>
                <w:sz w:val="20"/>
                <w:szCs w:val="20"/>
                <w:color w:val="auto"/>
              </w:rPr>
            </w:pPr>
            <w:r>
              <w:rPr>
                <w:rFonts w:ascii="Times New Roman" w:cs="Times New Roman" w:eastAsia="Times New Roman" w:hAnsi="Times New Roman"/>
                <w:sz w:val="14"/>
                <w:szCs w:val="14"/>
                <w:color w:val="auto"/>
              </w:rPr>
              <w:t>the Company</w:t>
            </w:r>
          </w:p>
        </w:tc>
        <w:tc>
          <w:tcPr>
            <w:tcW w:w="480" w:type="dxa"/>
            <w:vAlign w:val="bottom"/>
            <w:tcBorders>
              <w:top w:val="single" w:sz="8" w:color="auto"/>
            </w:tcBorders>
            <w:gridSpan w:val="3"/>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580"/>
              <w:spacing w:after="0"/>
              <w:rPr>
                <w:sz w:val="20"/>
                <w:szCs w:val="20"/>
                <w:color w:val="auto"/>
              </w:rPr>
            </w:pPr>
            <w:r>
              <w:rPr>
                <w:rFonts w:ascii="Times New Roman" w:cs="Times New Roman" w:eastAsia="Times New Roman" w:hAnsi="Times New Roman"/>
                <w:sz w:val="10"/>
                <w:szCs w:val="10"/>
                <w:color w:val="auto"/>
                <w:w w:val="74"/>
              </w:rPr>
              <w:t>[ </w:t>
            </w:r>
          </w:p>
        </w:tc>
        <w:tc>
          <w:tcPr>
            <w:tcW w:w="520" w:type="dxa"/>
            <w:vAlign w:val="bottom"/>
          </w:tcPr>
          <w:p>
            <w:pPr>
              <w:jc w:val="right"/>
              <w:ind w:right="350"/>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80" w:type="dxa"/>
            <w:vAlign w:val="bottom"/>
            <w:gridSpan w:val="11"/>
          </w:tcPr>
          <w:p>
            <w:pPr>
              <w:ind w:left="420"/>
              <w:spacing w:after="0" w:line="151" w:lineRule="exact"/>
              <w:rPr>
                <w:sz w:val="20"/>
                <w:szCs w:val="20"/>
                <w:color w:val="auto"/>
              </w:rPr>
            </w:pPr>
            <w:r>
              <w:rPr>
                <w:rFonts w:ascii="Times New Roman" w:cs="Times New Roman" w:eastAsia="Times New Roman" w:hAnsi="Times New Roman"/>
                <w:sz w:val="14"/>
                <w:szCs w:val="14"/>
                <w:color w:val="auto"/>
              </w:rPr>
              <w:t xml:space="preserve">Other [Describe]              </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20" w:right="3840" w:hanging="3305"/>
        <w:spacing w:after="0" w:line="894" w:lineRule="auto"/>
        <w:tabs>
          <w:tab w:leader="none" w:pos="64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a certificate or certificates (or evidence of book entry)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-417830</wp:posOffset>
            </wp:positionV>
            <wp:extent cx="238950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389505" cy="698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-151130</wp:posOffset>
            </wp:positionV>
            <wp:extent cx="238950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389505" cy="698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-17145</wp:posOffset>
            </wp:positionV>
            <wp:extent cx="238950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389505" cy="6985"/>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14"/>
          <w:szCs w:val="14"/>
          <w:color w:val="auto"/>
        </w:rPr>
        <w:t>(Address)</w:t>
      </w:r>
    </w:p>
    <w:p>
      <w:pPr>
        <w:spacing w:after="0" w:line="175" w:lineRule="exact"/>
        <w:rPr>
          <w:sz w:val="20"/>
          <w:szCs w:val="20"/>
          <w:color w:val="auto"/>
        </w:rPr>
      </w:pPr>
    </w:p>
    <w:p>
      <w:pPr>
        <w:ind w:right="60" w:firstLine="515"/>
        <w:spacing w:after="0" w:line="283" w:lineRule="auto"/>
        <w:tabs>
          <w:tab w:leader="none" w:pos="651"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its execution below and for the benefit of the Company, Holder hereby makes each of the representations and warranties set forth in Section 5.1 of the Warrant To Purchase Stock as of the date hereof.</w:t>
      </w:r>
    </w:p>
    <w:p>
      <w:pPr>
        <w:spacing w:after="0" w:line="1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HOLDER:</w:t>
      </w:r>
    </w:p>
    <w:p>
      <w:pPr>
        <w:spacing w:after="0" w:line="1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-99060</wp:posOffset>
            </wp:positionV>
            <wp:extent cx="2863850"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-101600</wp:posOffset>
            </wp:positionV>
            <wp:extent cx="243014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-101600</wp:posOffset>
            </wp:positionV>
            <wp:extent cx="243014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666115</wp:posOffset>
            </wp:positionV>
            <wp:extent cx="7188200"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-101600</wp:posOffset>
            </wp:positionV>
            <wp:extent cx="243014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30145"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11430</wp:posOffset>
            </wp:positionV>
            <wp:extent cx="243014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sectPr>
          <w:pgSz w:w="11900" w:h="16838" w:orient="portrait"/>
          <w:cols w:equalWidth="0" w:num="1">
            <w:col w:w="11220"/>
          </w:cols>
          <w:pgMar w:left="300" w:top="818" w:right="379" w:bottom="1440" w:gutter="0" w:footer="0" w:header="0"/>
        </w:sectPr>
      </w:pPr>
    </w:p>
    <w:bookmarkStart w:id="341" w:name="page342"/>
    <w:bookmarkEnd w:id="341"/>
    <w:p>
      <w:pPr>
        <w:jc w:val="center"/>
        <w:ind w:right="20"/>
        <w:spacing w:after="0"/>
        <w:rPr>
          <w:sz w:val="20"/>
          <w:szCs w:val="20"/>
          <w:color w:val="auto"/>
        </w:rPr>
      </w:pPr>
      <w:r>
        <w:rPr>
          <w:rFonts w:ascii="Times New Roman" w:cs="Times New Roman" w:eastAsia="Times New Roman" w:hAnsi="Times New Roman"/>
          <w:sz w:val="14"/>
          <w:szCs w:val="14"/>
          <w:color w:val="auto"/>
        </w:rPr>
        <w:t>AMENDMENT NO. 1 TO WARRANT TO PURCHASE STOCK</w:t>
      </w:r>
    </w:p>
    <w:p>
      <w:pPr>
        <w:spacing w:after="0" w:line="175"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THIS AMENDMENT NO. 1 TO WARRANT TO PURCHASE STOCK is made this 12</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day of April, 2022, by and between SVB Financial Group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and FOG Pharmaceuticals,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120" w:firstLine="1151"/>
        <w:spacing w:after="0" w:line="283" w:lineRule="auto"/>
        <w:rPr>
          <w:sz w:val="20"/>
          <w:szCs w:val="20"/>
          <w:color w:val="auto"/>
        </w:rPr>
      </w:pPr>
      <w:r>
        <w:rPr>
          <w:rFonts w:ascii="Times New Roman" w:cs="Times New Roman" w:eastAsia="Times New Roman" w:hAnsi="Times New Roman"/>
          <w:sz w:val="14"/>
          <w:szCs w:val="14"/>
          <w:color w:val="auto"/>
        </w:rPr>
        <w:t>WHEREAS, Holder is the holder, by assignment from Silicon Valley Bank (“</w:t>
      </w:r>
      <w:r>
        <w:rPr>
          <w:rFonts w:ascii="Times New Roman" w:cs="Times New Roman" w:eastAsia="Times New Roman" w:hAnsi="Times New Roman"/>
          <w:sz w:val="14"/>
          <w:szCs w:val="14"/>
          <w:u w:val="single" w:color="auto"/>
          <w:color w:val="auto"/>
        </w:rPr>
        <w:t>Bank</w:t>
      </w:r>
      <w:r>
        <w:rPr>
          <w:rFonts w:ascii="Times New Roman" w:cs="Times New Roman" w:eastAsia="Times New Roman" w:hAnsi="Times New Roman"/>
          <w:sz w:val="14"/>
          <w:szCs w:val="14"/>
          <w:color w:val="auto"/>
        </w:rPr>
        <w:t>”), of that certain Warrant to Purchase Stock dated September 21, 2021 issued by the Company to Bank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and</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WHEREAS, in connection with certain credit transactions of even date herewith between Bank and the Company, the parties desire to amend the Warrant in the manner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NOW, THEREFORE, in consideration of the premises and for good and valuable consideration, the receipt and sufficiency of which are hereby acknowledged, the parties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161" w:lineRule="exact"/>
        <w:rPr>
          <w:sz w:val="20"/>
          <w:szCs w:val="20"/>
          <w:color w:val="auto"/>
        </w:rPr>
      </w:pPr>
    </w:p>
    <w:p>
      <w:pPr>
        <w:ind w:left="1140" w:hanging="505"/>
        <w:spacing w:after="0"/>
        <w:tabs>
          <w:tab w:leader="none" w:pos="11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of Warrant. The Warrant is hereby amended as follows:</w:t>
      </w:r>
    </w:p>
    <w:p>
      <w:pPr>
        <w:spacing w:after="0" w:line="175" w:lineRule="exact"/>
        <w:rPr>
          <w:rFonts w:ascii="Times New Roman" w:cs="Times New Roman" w:eastAsia="Times New Roman" w:hAnsi="Times New Roman"/>
          <w:sz w:val="14"/>
          <w:szCs w:val="14"/>
          <w:color w:val="auto"/>
        </w:rPr>
      </w:pPr>
    </w:p>
    <w:p>
      <w:pPr>
        <w:ind w:left="1340" w:hanging="193"/>
        <w:spacing w:after="0"/>
        <w:tabs>
          <w:tab w:leader="none" w:pos="134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Initial Shares set forth in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thereto is hereby changed to 27,877.</w:t>
      </w:r>
    </w:p>
    <w:p>
      <w:pPr>
        <w:spacing w:after="0" w:line="175" w:lineRule="exact"/>
        <w:rPr>
          <w:rFonts w:ascii="Times New Roman" w:cs="Times New Roman" w:eastAsia="Times New Roman" w:hAnsi="Times New Roman"/>
          <w:sz w:val="14"/>
          <w:szCs w:val="14"/>
          <w:color w:val="auto"/>
        </w:rPr>
      </w:pPr>
    </w:p>
    <w:p>
      <w:pPr>
        <w:ind w:left="1340" w:hanging="193"/>
        <w:spacing w:after="0"/>
        <w:tabs>
          <w:tab w:leader="none" w:pos="134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Additional Shares set forth in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thereto is hereby changed to 9,292.</w:t>
      </w:r>
    </w:p>
    <w:p>
      <w:pPr>
        <w:spacing w:after="0" w:line="175" w:lineRule="exact"/>
        <w:rPr>
          <w:rFonts w:ascii="Times New Roman" w:cs="Times New Roman" w:eastAsia="Times New Roman" w:hAnsi="Times New Roman"/>
          <w:sz w:val="14"/>
          <w:szCs w:val="14"/>
          <w:color w:val="auto"/>
        </w:rPr>
      </w:pPr>
    </w:p>
    <w:p>
      <w:pPr>
        <w:ind w:left="1140" w:right="20" w:hanging="505"/>
        <w:spacing w:after="0" w:line="283" w:lineRule="auto"/>
        <w:tabs>
          <w:tab w:leader="none" w:pos="11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Adjustment Events</w:t>
      </w:r>
      <w:r>
        <w:rPr>
          <w:rFonts w:ascii="Times New Roman" w:cs="Times New Roman" w:eastAsia="Times New Roman" w:hAnsi="Times New Roman"/>
          <w:sz w:val="14"/>
          <w:szCs w:val="14"/>
          <w:color w:val="auto"/>
        </w:rPr>
        <w:t>. The Company represents and warrants that, since the original Issue Date of the Warrant, there has occurred no event of a type described in Section 3 thereof that resulted in an adjustment to the number of Shares, the Class or the Exercise Price (as such terms are defined in the Warrant).</w:t>
      </w:r>
    </w:p>
    <w:p>
      <w:pPr>
        <w:spacing w:after="0" w:line="124"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Amendments</w:t>
      </w:r>
      <w:r>
        <w:rPr>
          <w:rFonts w:ascii="Times New Roman" w:cs="Times New Roman" w:eastAsia="Times New Roman" w:hAnsi="Times New Roman"/>
          <w:sz w:val="14"/>
          <w:szCs w:val="14"/>
          <w:color w:val="auto"/>
        </w:rPr>
        <w:t>. Except as amended hereby, the Warrant shall remain in full force and effect as originally written.</w:t>
      </w:r>
    </w:p>
    <w:p>
      <w:pPr>
        <w:spacing w:after="0" w:line="175"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 This Amendment No. 1 shall be governed by and construed in accordance with the laws of the State of Delaware, without regard to its conflict of laws provisions.</w:t>
      </w:r>
    </w:p>
    <w:p>
      <w:pPr>
        <w:spacing w:after="0" w:line="175" w:lineRule="exact"/>
        <w:rPr>
          <w:rFonts w:ascii="Times New Roman" w:cs="Times New Roman" w:eastAsia="Times New Roman" w:hAnsi="Times New Roman"/>
          <w:sz w:val="14"/>
          <w:szCs w:val="14"/>
          <w:color w:val="auto"/>
        </w:rPr>
      </w:pPr>
    </w:p>
    <w:p>
      <w:pPr>
        <w:ind w:left="1140" w:right="220" w:hanging="505"/>
        <w:spacing w:after="0" w:line="283" w:lineRule="auto"/>
        <w:tabs>
          <w:tab w:leader="none" w:pos="11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Signatures</w:t>
      </w:r>
      <w:r>
        <w:rPr>
          <w:rFonts w:ascii="Times New Roman" w:cs="Times New Roman" w:eastAsia="Times New Roman" w:hAnsi="Times New Roman"/>
          <w:sz w:val="14"/>
          <w:szCs w:val="14"/>
          <w:color w:val="auto"/>
        </w:rPr>
        <w:t>. Each party hereto may execute this Amendment No. 1 by electronic means and recognizes and accepts the use of electronic signatures and records by any other party hereto in connection with the execution and storage hereof.</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WITNESS WHEREOF, the parties have executed this Amendment No. 1 to Warrant to Purchase Stock 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Gregory L. Verdine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Gregory L. Verdine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-101600</wp:posOffset>
            </wp:positionV>
            <wp:extent cx="256349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56349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 President, Treasurer and Secretary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SVB FINANCIAL GROUP</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Ryan Henry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Ryan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-101600</wp:posOffset>
            </wp:positionV>
            <wp:extent cx="256349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6349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 Senior 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592455</wp:posOffset>
            </wp:positionV>
            <wp:extent cx="7188200"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342" w:name="page343"/>
    <w:bookmarkEnd w:id="342"/>
    <w:p>
      <w:pPr>
        <w:ind w:left="10600"/>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1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4"/>
          <w:szCs w:val="14"/>
          <w:b w:val="1"/>
          <w:bCs w:val="1"/>
          <w:color w:val="auto"/>
        </w:rPr>
        <w:t>CERTAIN CONFIDENTIAL INFORMATION CONTAINED IN THIS DOCUMENT, MARKED BY [***], HAS BEEN OMITTED BECAUSE IT IS NOT MATERIAL AND IS THE TYPE THAT THE REGISTRANT TREATS AS PRIVATE OR CONFIDENTIAL.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INSTRUMENT AND ANY SECURITIES ISSUABLE PURSUANT HERETO HAVE NOT BEEN REGISTERED UNDER THE SECURITIES ACT OF 1933, AS AMENDED (THE</w:t>
      </w:r>
    </w:p>
    <w:p>
      <w:pPr>
        <w:spacing w:after="0" w:line="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OR UNDER THE SECURITIES LAWS OF CERTAIN STATES. THESE SECURITIES MAY NOT BE OFFERED, SOLD OR OTHERWISE TRANSFERRED, PLEDGED OR HYPOTHECATED EXCEPT AS PERMITTED IN THIS SAFE AND UNDER THE ACT AND APPLICABLE STATE SECURITIES LAWS PURSUANT TO AN EFFECTIVE REGISTRATION STATEMENT OR AN EXEMPTION THEREFROM.</w:t>
      </w:r>
    </w:p>
    <w:p>
      <w:pPr>
        <w:spacing w:after="0" w:line="30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9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SAFE</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(Simple Agreement for Future Equity)</w:t>
      </w:r>
    </w:p>
    <w:p>
      <w:pPr>
        <w:spacing w:after="0" w:line="159" w:lineRule="exact"/>
        <w:rPr>
          <w:sz w:val="20"/>
          <w:szCs w:val="20"/>
          <w:color w:val="auto"/>
        </w:rPr>
      </w:pPr>
    </w:p>
    <w:p>
      <w:pPr>
        <w:ind w:right="260" w:firstLine="511"/>
        <w:spacing w:after="0" w:line="286" w:lineRule="auto"/>
        <w:rPr>
          <w:sz w:val="20"/>
          <w:szCs w:val="20"/>
          <w:color w:val="auto"/>
        </w:rPr>
      </w:pPr>
      <w:r>
        <w:rPr>
          <w:rFonts w:ascii="Times New Roman" w:cs="Times New Roman" w:eastAsia="Times New Roman" w:hAnsi="Times New Roman"/>
          <w:sz w:val="14"/>
          <w:szCs w:val="14"/>
          <w:color w:val="auto"/>
        </w:rPr>
        <w:t>THIS CERTIFIES THAT in exchange for the payment by Explore Investments LLC (the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of $50,000,000.00 (the “</w:t>
      </w:r>
      <w:r>
        <w:rPr>
          <w:rFonts w:ascii="Times New Roman" w:cs="Times New Roman" w:eastAsia="Times New Roman" w:hAnsi="Times New Roman"/>
          <w:sz w:val="14"/>
          <w:szCs w:val="14"/>
          <w:b w:val="1"/>
          <w:bCs w:val="1"/>
          <w:color w:val="auto"/>
        </w:rPr>
        <w:t>Purchase Amount</w:t>
      </w:r>
      <w:r>
        <w:rPr>
          <w:rFonts w:ascii="Times New Roman" w:cs="Times New Roman" w:eastAsia="Times New Roman" w:hAnsi="Times New Roman"/>
          <w:sz w:val="14"/>
          <w:szCs w:val="14"/>
          <w:color w:val="auto"/>
        </w:rPr>
        <w:t>”) on or about March 27</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2026, Parabilis Medicines,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issues to the Investor the right to certain shares of the Company’s Capital Stock, subject to the terms described below.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b w:val="1"/>
          <w:bCs w:val="1"/>
          <w:color w:val="auto"/>
        </w:rPr>
        <w:t>Section 2</w:t>
      </w:r>
      <w:r>
        <w:rPr>
          <w:rFonts w:ascii="Times New Roman" w:cs="Times New Roman" w:eastAsia="Times New Roman" w:hAnsi="Times New Roman"/>
          <w:sz w:val="14"/>
          <w:szCs w:val="14"/>
          <w:color w:val="auto"/>
        </w:rPr>
        <w:t xml:space="preserve"> for certain defined terms.</w:t>
      </w:r>
    </w:p>
    <w:p>
      <w:pPr>
        <w:spacing w:after="0" w:line="175" w:lineRule="exact"/>
        <w:rPr>
          <w:sz w:val="20"/>
          <w:szCs w:val="20"/>
          <w:color w:val="auto"/>
        </w:rPr>
      </w:pPr>
    </w:p>
    <w:p>
      <w:pPr>
        <w:ind w:left="660" w:hanging="145"/>
        <w:spacing w:after="0"/>
        <w:tabs>
          <w:tab w:leader="none" w:pos="660"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Events</w:t>
      </w:r>
    </w:p>
    <w:p>
      <w:pPr>
        <w:spacing w:after="0" w:line="175" w:lineRule="exact"/>
        <w:rPr>
          <w:sz w:val="20"/>
          <w:szCs w:val="20"/>
          <w:color w:val="auto"/>
        </w:rPr>
      </w:pPr>
    </w:p>
    <w:p>
      <w:pPr>
        <w:ind w:right="180" w:firstLine="1155"/>
        <w:spacing w:after="0" w:line="286" w:lineRule="auto"/>
        <w:tabs>
          <w:tab w:leader="none" w:pos="1341"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Equity Financing</w:t>
      </w:r>
      <w:r>
        <w:rPr>
          <w:rFonts w:ascii="Times New Roman" w:cs="Times New Roman" w:eastAsia="Times New Roman" w:hAnsi="Times New Roman"/>
          <w:sz w:val="14"/>
          <w:szCs w:val="14"/>
          <w:color w:val="auto"/>
        </w:rPr>
        <w:t>. If there is an Equity Financing before the termination of this Safe, on the initial closing of such Equity Financing, this Safe will automatically convert into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number of shares of Safe Preferred Stock equal to the Purchase Amount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the Equity Financing Discount Price.</w:t>
      </w:r>
    </w:p>
    <w:p>
      <w:pPr>
        <w:spacing w:after="0" w:line="123" w:lineRule="exact"/>
        <w:rPr>
          <w:sz w:val="20"/>
          <w:szCs w:val="20"/>
          <w:color w:val="auto"/>
        </w:rPr>
      </w:pPr>
    </w:p>
    <w:p>
      <w:pPr>
        <w:ind w:right="100" w:firstLine="1151"/>
        <w:spacing w:after="0" w:line="261" w:lineRule="auto"/>
        <w:rPr>
          <w:sz w:val="20"/>
          <w:szCs w:val="20"/>
          <w:color w:val="auto"/>
        </w:rPr>
      </w:pPr>
      <w:r>
        <w:rPr>
          <w:rFonts w:ascii="Times New Roman" w:cs="Times New Roman" w:eastAsia="Times New Roman" w:hAnsi="Times New Roman"/>
          <w:sz w:val="14"/>
          <w:szCs w:val="14"/>
          <w:color w:val="auto"/>
        </w:rPr>
        <w:t xml:space="preserve">In connection with the automatic conversion of this Safe into shares of Safe Preferred Stock, the Investor will execute and deliver to the Company all of the transaction documents related to the Equity Financing;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documents (i) are the same documents to be entered into with the purchasers of Standard Preferred Stock, with appropriate variations for the Safe Preferred Stock if applicable and (ii) have customary exceptions to any drag-along applicable to the Investor, including (without limitation) limited representations, warranties, liability and indemnification obligations for the Investor.</w:t>
      </w:r>
    </w:p>
    <w:p>
      <w:pPr>
        <w:spacing w:after="0" w:line="141" w:lineRule="exact"/>
        <w:rPr>
          <w:sz w:val="20"/>
          <w:szCs w:val="20"/>
          <w:color w:val="auto"/>
        </w:rPr>
      </w:pPr>
    </w:p>
    <w:p>
      <w:pPr>
        <w:ind w:right="480" w:firstLine="1151"/>
        <w:spacing w:after="0" w:line="283" w:lineRule="auto"/>
        <w:rPr>
          <w:sz w:val="20"/>
          <w:szCs w:val="20"/>
          <w:color w:val="auto"/>
        </w:rPr>
      </w:pPr>
      <w:r>
        <w:rPr>
          <w:rFonts w:ascii="Times New Roman" w:cs="Times New Roman" w:eastAsia="Times New Roman" w:hAnsi="Times New Roman"/>
          <w:sz w:val="14"/>
          <w:szCs w:val="14"/>
          <w:color w:val="auto"/>
        </w:rPr>
        <w:t>Notwithstanding anything else to the contrary contained herein, the Company may elect (in its sole and absolute discretion) to issue Standard Preferred Stock in lieu of Safe Preferred Stock upon any conversion hereof.</w:t>
      </w:r>
    </w:p>
    <w:p>
      <w:pPr>
        <w:spacing w:after="0" w:line="123" w:lineRule="exact"/>
        <w:rPr>
          <w:sz w:val="20"/>
          <w:szCs w:val="20"/>
          <w:color w:val="auto"/>
        </w:rPr>
      </w:pPr>
    </w:p>
    <w:p>
      <w:pPr>
        <w:ind w:firstLine="1155"/>
        <w:spacing w:after="0" w:line="286" w:lineRule="auto"/>
        <w:tabs>
          <w:tab w:leader="none" w:pos="1349"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Initial Public Offering</w:t>
      </w:r>
      <w:r>
        <w:rPr>
          <w:rFonts w:ascii="Times New Roman" w:cs="Times New Roman" w:eastAsia="Times New Roman" w:hAnsi="Times New Roman"/>
          <w:sz w:val="14"/>
          <w:szCs w:val="14"/>
          <w:color w:val="auto"/>
        </w:rPr>
        <w:t>. If there is an Initial Public Offering before the termination of this Safe, then immediately prior to the closing of the Initial Public Offering, this Safe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automatically be cancelled and converted into that number of shares of Common Stock obtained by dividing (i) the Purchase Amount by (ii) the IPO Discount Price.</w:t>
      </w:r>
    </w:p>
    <w:p>
      <w:pPr>
        <w:spacing w:after="0" w:line="120" w:lineRule="exact"/>
        <w:rPr>
          <w:rFonts w:ascii="Times New Roman" w:cs="Times New Roman" w:eastAsia="Times New Roman" w:hAnsi="Times New Roman"/>
          <w:sz w:val="14"/>
          <w:szCs w:val="14"/>
          <w:color w:val="auto"/>
        </w:rPr>
      </w:pPr>
    </w:p>
    <w:p>
      <w:pPr>
        <w:ind w:right="20" w:firstLine="1155"/>
        <w:spacing w:after="0" w:line="268" w:lineRule="auto"/>
        <w:tabs>
          <w:tab w:leader="none" w:pos="1341"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Direct Listing</w:t>
      </w:r>
      <w:r>
        <w:rPr>
          <w:rFonts w:ascii="Times New Roman" w:cs="Times New Roman" w:eastAsia="Times New Roman" w:hAnsi="Times New Roman"/>
          <w:sz w:val="14"/>
          <w:szCs w:val="14"/>
          <w:color w:val="auto"/>
        </w:rPr>
        <w:t>. If the Company registers its Common Stock via Direct Listing before the termination of this Safe, then immediately prior to the effectiveness of the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filed in connection with the Direct Listing, this Safe will automatically be cancelled and converted into that number of shares of Common Stock obtained by dividing (i) the Purchase Amount by (ii) the Direct Listing Discount Price.</w:t>
      </w:r>
    </w:p>
    <w:p>
      <w:pPr>
        <w:spacing w:after="0" w:line="135" w:lineRule="exact"/>
        <w:rPr>
          <w:sz w:val="20"/>
          <w:szCs w:val="20"/>
          <w:color w:val="auto"/>
        </w:rPr>
      </w:pPr>
    </w:p>
    <w:p>
      <w:pPr>
        <w:jc w:val="both"/>
        <w:ind w:right="20" w:firstLine="1151"/>
        <w:spacing w:after="0" w:line="261" w:lineRule="auto"/>
        <w:rPr>
          <w:sz w:val="20"/>
          <w:szCs w:val="20"/>
          <w:color w:val="auto"/>
        </w:rPr>
      </w:pPr>
      <w:r>
        <w:rPr>
          <w:rFonts w:ascii="Times New Roman" w:cs="Times New Roman" w:eastAsia="Times New Roman" w:hAnsi="Times New Roman"/>
          <w:sz w:val="14"/>
          <w:szCs w:val="14"/>
          <w:color w:val="auto"/>
        </w:rPr>
        <w:t>In connection with the automatic conversion of this Safe into Common Stock in connection with an Initial Public Offering or Direct Listing, the Investor (i) will execute and deliver to the Company all of the transaction documents related to the Initial Public Offering or Direct Listing as are reasonably requested by the Company, including a customary “lock-up” agreement and (ii) agrees to be bound by the provisions of Section 2.11 of that certain Sixth Amended and Restated Investors’ Rights Agreement, dated January 6, 2026, by and among the Company and the other parties thereto (as amended, restated and/or modified) as if he, she or it were a “Holder” as defined therein.</w:t>
      </w:r>
    </w:p>
    <w:p>
      <w:pPr>
        <w:spacing w:after="0" w:line="139" w:lineRule="exact"/>
        <w:rPr>
          <w:sz w:val="20"/>
          <w:szCs w:val="20"/>
          <w:color w:val="auto"/>
        </w:rPr>
      </w:pPr>
    </w:p>
    <w:p>
      <w:pPr>
        <w:jc w:val="both"/>
        <w:ind w:right="140" w:firstLine="1155"/>
        <w:spacing w:after="0" w:line="262" w:lineRule="auto"/>
        <w:tabs>
          <w:tab w:leader="none" w:pos="1349"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Liquidation Event</w:t>
      </w:r>
      <w:r>
        <w:rPr>
          <w:rFonts w:ascii="Times New Roman" w:cs="Times New Roman" w:eastAsia="Times New Roman" w:hAnsi="Times New Roman"/>
          <w:sz w:val="14"/>
          <w:szCs w:val="14"/>
          <w:color w:val="auto"/>
        </w:rPr>
        <w:t>. If there is a Liquidation Event before the termination of this Safe, the Investor will automatically be entitled (subject to the liquidation priority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Section 1(f) below) to receive a portion of Proceeds, due and payable to the Investor immediately prior to, or concurrent with, the consummation of such Liquidation Event, equal to the greater of (i) the Purchase Amount or (ii) the amount payable on the number of shares of Common Stock equal to the Purchase Amount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the Liquidity Price (the “</w:t>
      </w:r>
      <w:r>
        <w:rPr>
          <w:rFonts w:ascii="Times New Roman" w:cs="Times New Roman" w:eastAsia="Times New Roman" w:hAnsi="Times New Roman"/>
          <w:sz w:val="14"/>
          <w:szCs w:val="14"/>
          <w:b w:val="1"/>
          <w:bCs w:val="1"/>
          <w:color w:val="auto"/>
        </w:rPr>
        <w:t>Conversion Amount</w:t>
      </w:r>
      <w:r>
        <w:rPr>
          <w:rFonts w:ascii="Times New Roman" w:cs="Times New Roman" w:eastAsia="Times New Roman" w:hAnsi="Times New Roman"/>
          <w:sz w:val="14"/>
          <w:szCs w:val="14"/>
          <w:color w:val="auto"/>
        </w:rPr>
        <w:t>”). The amounts received pursuant to rights and obligations as are generally applicable to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4"/>
          <w:szCs w:val="14"/>
          <w:color w:val="auto"/>
        </w:rPr>
        <w:t>the Common Stock in such Liquidation Event, including without limitation, the (i) form of consideration, (ii) conditions to payment, (iii) contributions to escrows, holdbacks or similar arrangements,</w:t>
      </w:r>
    </w:p>
    <w:p>
      <w:pPr>
        <w:spacing w:after="0" w:line="22" w:lineRule="exact"/>
        <w:rPr>
          <w:sz w:val="20"/>
          <w:szCs w:val="20"/>
          <w:color w:val="auto"/>
        </w:rPr>
      </w:pPr>
    </w:p>
    <w:p>
      <w:pPr>
        <w:jc w:val="both"/>
        <w:ind w:right="80" w:firstLine="4"/>
        <w:spacing w:after="0" w:line="254" w:lineRule="auto"/>
        <w:tabs>
          <w:tab w:leader="none" w:pos="237"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indemnification obligations, (v) restrictions on consideration received in such Liquidation Event and (vi) conditions to receiving deferred or conditional payments. If any holder of Common Stock in such Liquidation Event is given a choice as to the form and amount of Proceeds to be received in such Liquidation Event, the Investor will be given the same choice,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Investor may not choose to receive a form of consideration that the Investor would be ineligible to receive as a result of the Investor’s failure to satisfy any requirement or limitation generally applicable to the Company’s securityholders, or under any applicable laws.</w:t>
      </w:r>
    </w:p>
    <w:p>
      <w:pPr>
        <w:spacing w:after="0" w:line="145" w:lineRule="exact"/>
        <w:rPr>
          <w:sz w:val="20"/>
          <w:szCs w:val="20"/>
          <w:color w:val="auto"/>
        </w:rPr>
      </w:pPr>
    </w:p>
    <w:p>
      <w:pPr>
        <w:ind w:firstLine="1151"/>
        <w:spacing w:after="0" w:line="261" w:lineRule="auto"/>
        <w:rPr>
          <w:sz w:val="20"/>
          <w:szCs w:val="20"/>
          <w:color w:val="auto"/>
        </w:rPr>
      </w:pPr>
      <w:r>
        <w:rPr>
          <w:rFonts w:ascii="Times New Roman" w:cs="Times New Roman" w:eastAsia="Times New Roman" w:hAnsi="Times New Roman"/>
          <w:sz w:val="14"/>
          <w:szCs w:val="14"/>
          <w:color w:val="auto"/>
        </w:rPr>
        <w:t>Notwithstanding the foregoing, in connection with a Liquidation Event intended to qualify as a tax-free reorganization, the Company may reduce the cash portion of Proceeds payable to the Investor by the amount determined by its board of directors in good faith for such Liquidation Event to qualify as a tax-free reorganization for U.S. federal income tax purposes, provided that such reduction (A) does not reduce the total Proceeds payable to such Investor and (B) is applied in the same manner and on a pro rata basis to all securityholders who have equal priority to the Investor under Section 1(f).</w:t>
      </w:r>
    </w:p>
    <w:p>
      <w:pPr>
        <w:spacing w:after="0" w:line="139" w:lineRule="exact"/>
        <w:rPr>
          <w:sz w:val="20"/>
          <w:szCs w:val="20"/>
          <w:color w:val="auto"/>
        </w:rPr>
      </w:pPr>
    </w:p>
    <w:p>
      <w:pPr>
        <w:ind w:right="180" w:firstLine="1155"/>
        <w:spacing w:after="0" w:line="286" w:lineRule="auto"/>
        <w:tabs>
          <w:tab w:leader="none" w:pos="1341"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Dissolution Event</w:t>
      </w:r>
      <w:r>
        <w:rPr>
          <w:rFonts w:ascii="Times New Roman" w:cs="Times New Roman" w:eastAsia="Times New Roman" w:hAnsi="Times New Roman"/>
          <w:sz w:val="14"/>
          <w:szCs w:val="14"/>
          <w:color w:val="auto"/>
        </w:rPr>
        <w:t>. If there is a Dissolution Event before the termination of this Safe, the Investor will automatically be entitled (subject to the liquidation priority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1(f) below) to receive a portion of Proceeds equal to the Purchase Amount, due and payable to the Investor immediately prior to the consummation of the Dissolution Event.</w:t>
      </w:r>
    </w:p>
    <w:p>
      <w:pPr>
        <w:spacing w:after="0" w:line="120" w:lineRule="exact"/>
        <w:rPr>
          <w:rFonts w:ascii="Times New Roman" w:cs="Times New Roman" w:eastAsia="Times New Roman" w:hAnsi="Times New Roman"/>
          <w:sz w:val="14"/>
          <w:szCs w:val="14"/>
          <w:color w:val="auto"/>
        </w:rPr>
      </w:pPr>
    </w:p>
    <w:p>
      <w:pPr>
        <w:ind w:right="80" w:firstLine="1155"/>
        <w:spacing w:after="0" w:line="286" w:lineRule="auto"/>
        <w:tabs>
          <w:tab w:leader="none" w:pos="1325"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Liquidation Priority</w:t>
      </w:r>
      <w:r>
        <w:rPr>
          <w:rFonts w:ascii="Times New Roman" w:cs="Times New Roman" w:eastAsia="Times New Roman" w:hAnsi="Times New Roman"/>
          <w:sz w:val="14"/>
          <w:szCs w:val="14"/>
          <w:color w:val="auto"/>
        </w:rPr>
        <w:t>. In a Liquidation Event or Dissolution Event, this Safe is intended to operate like senior non-participating Preferred Stock. The Investor’s right to receive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Purchase Amount is:</w:t>
      </w:r>
    </w:p>
    <w:p>
      <w:pPr>
        <w:spacing w:after="0" w:line="122" w:lineRule="exact"/>
        <w:rPr>
          <w:rFonts w:ascii="Times New Roman" w:cs="Times New Roman" w:eastAsia="Times New Roman" w:hAnsi="Times New Roman"/>
          <w:sz w:val="14"/>
          <w:szCs w:val="14"/>
          <w:color w:val="auto"/>
        </w:rPr>
      </w:pPr>
    </w:p>
    <w:p>
      <w:pPr>
        <w:ind w:right="360" w:firstLine="1666"/>
        <w:spacing w:after="0" w:line="283" w:lineRule="auto"/>
        <w:tabs>
          <w:tab w:leader="none" w:pos="1829"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payment of outstanding indebtedness and creditor claims, including contractual claims for payment and convertible promissory notes (to the extent such convertible promissory notes are not actually or notionally converted into Capital Stock);</w:t>
      </w:r>
    </w:p>
    <w:p>
      <w:pPr>
        <w:spacing w:after="0" w:line="124" w:lineRule="exact"/>
        <w:rPr>
          <w:rFonts w:ascii="Times New Roman" w:cs="Times New Roman" w:eastAsia="Times New Roman" w:hAnsi="Times New Roman"/>
          <w:sz w:val="14"/>
          <w:szCs w:val="14"/>
          <w:color w:val="auto"/>
        </w:rPr>
      </w:pPr>
    </w:p>
    <w:p>
      <w:pPr>
        <w:ind w:right="260" w:firstLine="1666"/>
        <w:spacing w:after="0" w:line="283" w:lineRule="auto"/>
        <w:tabs>
          <w:tab w:leader="none" w:pos="1868"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 with payments for the Series F Stock, and if the applicable Proceeds are insufficient to permit full payments to the Investor with respect to this Safe and the Series F Stock, the applicable Proceeds will be distributed pro rata to the Investor and the Series F Stock in proportion to the full payments that would otherwise be due; and</w:t>
      </w:r>
    </w:p>
    <w:p>
      <w:pPr>
        <w:spacing w:after="0" w:line="124" w:lineRule="exact"/>
        <w:rPr>
          <w:rFonts w:ascii="Times New Roman" w:cs="Times New Roman" w:eastAsia="Times New Roman" w:hAnsi="Times New Roman"/>
          <w:sz w:val="14"/>
          <w:szCs w:val="14"/>
          <w:color w:val="auto"/>
        </w:rPr>
      </w:pPr>
    </w:p>
    <w:p>
      <w:pPr>
        <w:ind w:left="1920" w:hanging="254"/>
        <w:spacing w:after="0"/>
        <w:tabs>
          <w:tab w:leader="none" w:pos="192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payments for the Company’s Preferred Stock (other than the Series F Stock) and Common Stock.</w:t>
      </w:r>
    </w:p>
    <w:p>
      <w:pPr>
        <w:spacing w:after="0" w:line="175" w:lineRule="exact"/>
        <w:rPr>
          <w:sz w:val="20"/>
          <w:szCs w:val="20"/>
          <w:color w:val="auto"/>
        </w:rPr>
      </w:pPr>
    </w:p>
    <w:p>
      <w:pPr>
        <w:ind w:right="40" w:firstLine="1151"/>
        <w:spacing w:after="0" w:line="267" w:lineRule="auto"/>
        <w:rPr>
          <w:sz w:val="20"/>
          <w:szCs w:val="20"/>
          <w:color w:val="auto"/>
        </w:rPr>
      </w:pPr>
      <w:r>
        <w:rPr>
          <w:rFonts w:ascii="Times New Roman" w:cs="Times New Roman" w:eastAsia="Times New Roman" w:hAnsi="Times New Roman"/>
          <w:sz w:val="14"/>
          <w:szCs w:val="14"/>
          <w:color w:val="auto"/>
        </w:rPr>
        <w:t>The Investor’s right to receive its Conversion Amount is (A) on par with payments for Common Stock and other Safes and/or Preferred Stock who are also receiving Conversion Amounts or Proceeds on a similar as-converted to Common Stock basis, and (B) junior to payments described in clauses (i) and (ii) above (in the latter case, to the extent such payments are liquidation preferences of the Series F Stock).</w:t>
      </w:r>
    </w:p>
    <w:p>
      <w:pPr>
        <w:spacing w:after="0" w:line="134" w:lineRule="exact"/>
        <w:rPr>
          <w:sz w:val="20"/>
          <w:szCs w:val="20"/>
          <w:color w:val="auto"/>
        </w:rPr>
      </w:pPr>
    </w:p>
    <w:p>
      <w:pPr>
        <w:ind w:right="140" w:firstLine="1155"/>
        <w:spacing w:after="0" w:line="268" w:lineRule="auto"/>
        <w:tabs>
          <w:tab w:leader="none" w:pos="1325"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Termination</w:t>
      </w:r>
      <w:r>
        <w:rPr>
          <w:rFonts w:ascii="Times New Roman" w:cs="Times New Roman" w:eastAsia="Times New Roman" w:hAnsi="Times New Roman"/>
          <w:sz w:val="14"/>
          <w:szCs w:val="14"/>
          <w:color w:val="auto"/>
        </w:rPr>
        <w:t>. This Safe will automatically terminate (without relieving the Company of any obligations arising from a prior breach of or non-compliance with this Safe)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immediately following the earliest to occur of: (i) the issuance of Capital Stock to the Investor pursuant to the automatic conversion of this Safe under Section 1(a), Section 1(b)or Section 1(c); or (ii) the payment, or setting aside for payment, of amounts due the Investor pursuant to Section 1(d) or Section 1(e).</w:t>
      </w:r>
    </w:p>
    <w:p>
      <w:pPr>
        <w:spacing w:after="0" w:line="133"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Definitions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Stock</w:t>
      </w:r>
      <w:r>
        <w:rPr>
          <w:rFonts w:ascii="Times New Roman" w:cs="Times New Roman" w:eastAsia="Times New Roman" w:hAnsi="Times New Roman"/>
          <w:sz w:val="14"/>
          <w:szCs w:val="14"/>
          <w:color w:val="auto"/>
        </w:rPr>
        <w:t>” means the capital stock of the Company, including, without limitation,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the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 means the Company’s Sixth Amended and Restated Certificate of Incorporation, as may be further amended, restated and/or modified.</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means the Company’s common stock with the rights set out in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44" w:name="page345"/>
    <w:bookmarkEnd w:id="344"/>
    <w:p>
      <w:pPr>
        <w:ind w:right="60" w:firstLine="1158"/>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Direct Listing</w:t>
      </w:r>
      <w:r>
        <w:rPr>
          <w:rFonts w:ascii="Times New Roman" w:cs="Times New Roman" w:eastAsia="Times New Roman" w:hAnsi="Times New Roman"/>
          <w:sz w:val="14"/>
          <w:szCs w:val="14"/>
          <w:color w:val="auto"/>
        </w:rPr>
        <w:t>” means the Company’s initial listing of its Common Stock (other than shares of Common Stock not eligible for resale under Rule 144 under the Securities Act) on a national securities exchange by means of an effective registration statement on Form S-1 filed by the Company with the U.S. Securities and Exchange Commission that registers shares of existing capital stock of the Company for resale, as approved by the Company’s board of directors, which does not involve any underwriting services.</w:t>
      </w:r>
    </w:p>
    <w:p>
      <w:pPr>
        <w:spacing w:after="0" w:line="133" w:lineRule="exact"/>
        <w:rPr>
          <w:sz w:val="20"/>
          <w:szCs w:val="20"/>
          <w:color w:val="auto"/>
        </w:rPr>
      </w:pPr>
    </w:p>
    <w:p>
      <w:pPr>
        <w:ind w:firstLine="115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Direct Listing Discount Price</w:t>
      </w:r>
      <w:r>
        <w:rPr>
          <w:rFonts w:ascii="Times New Roman" w:cs="Times New Roman" w:eastAsia="Times New Roman" w:hAnsi="Times New Roman"/>
          <w:sz w:val="14"/>
          <w:szCs w:val="14"/>
          <w:color w:val="auto"/>
        </w:rPr>
        <w:t>” means the reference price per share of Common Stock announced or published by the national securities exchange upon which the shares of Common Stock are to be listed in connection with the Direct Listing (the “</w:t>
      </w:r>
      <w:r>
        <w:rPr>
          <w:rFonts w:ascii="Times New Roman" w:cs="Times New Roman" w:eastAsia="Times New Roman" w:hAnsi="Times New Roman"/>
          <w:sz w:val="14"/>
          <w:szCs w:val="14"/>
          <w:b w:val="1"/>
          <w:bCs w:val="1"/>
          <w:color w:val="auto"/>
        </w:rPr>
        <w:t>Direct Listing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Discount Rate (such product, the “</w:t>
      </w:r>
      <w:r>
        <w:rPr>
          <w:rFonts w:ascii="Times New Roman" w:cs="Times New Roman" w:eastAsia="Times New Roman" w:hAnsi="Times New Roman"/>
          <w:sz w:val="14"/>
          <w:szCs w:val="14"/>
          <w:b w:val="1"/>
          <w:bCs w:val="1"/>
          <w:color w:val="auto"/>
        </w:rPr>
        <w:t>Initial Direct Listing Discount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if (i) the Direct Listing Price is greater than or equal to the Series F Price and (ii) the Initial Direct Listing Discount Price is equal to or less than the Series F Price, the Direct Listing Discount Price shall equal the Series F Price;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the Direct Listing Price is less than the Series F Price, the Direct Listing Discount Price shall equal the Direct Listing Price.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Discount Rate</w:t>
      </w:r>
      <w:r>
        <w:rPr>
          <w:rFonts w:ascii="Times New Roman" w:cs="Times New Roman" w:eastAsia="Times New Roman" w:hAnsi="Times New Roman"/>
          <w:sz w:val="14"/>
          <w:szCs w:val="14"/>
          <w:color w:val="auto"/>
        </w:rPr>
        <w:t>” means 90%.</w:t>
      </w:r>
    </w:p>
    <w:p>
      <w:pPr>
        <w:spacing w:after="0" w:line="175" w:lineRule="exact"/>
        <w:rPr>
          <w:sz w:val="20"/>
          <w:szCs w:val="20"/>
          <w:color w:val="auto"/>
        </w:rPr>
      </w:pPr>
    </w:p>
    <w:p>
      <w:pPr>
        <w:ind w:right="12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Dissolution Event</w:t>
      </w:r>
      <w:r>
        <w:rPr>
          <w:rFonts w:ascii="Times New Roman" w:cs="Times New Roman" w:eastAsia="Times New Roman" w:hAnsi="Times New Roman"/>
          <w:sz w:val="14"/>
          <w:szCs w:val="14"/>
          <w:color w:val="auto"/>
        </w:rPr>
        <w:t>” means (i) a voluntary termination of operations, (ii) a general assignment for the benefit of the Company’s creditors or (iii) any other liquidation, dissolution or winding up of the Company (</w:t>
      </w:r>
      <w:r>
        <w:rPr>
          <w:rFonts w:ascii="Times New Roman" w:cs="Times New Roman" w:eastAsia="Times New Roman" w:hAnsi="Times New Roman"/>
          <w:sz w:val="14"/>
          <w:szCs w:val="14"/>
          <w:b w:val="1"/>
          <w:bCs w:val="1"/>
          <w:u w:val="single" w:color="auto"/>
          <w:color w:val="auto"/>
        </w:rPr>
        <w:t>excluding</w:t>
      </w:r>
      <w:r>
        <w:rPr>
          <w:rFonts w:ascii="Times New Roman" w:cs="Times New Roman" w:eastAsia="Times New Roman" w:hAnsi="Times New Roman"/>
          <w:sz w:val="14"/>
          <w:szCs w:val="14"/>
          <w:color w:val="auto"/>
        </w:rPr>
        <w:t xml:space="preserve"> a Liquidation Event), whether voluntary or involuntary.</w:t>
      </w:r>
    </w:p>
    <w:p>
      <w:pPr>
        <w:spacing w:after="0" w:line="121" w:lineRule="exact"/>
        <w:rPr>
          <w:sz w:val="20"/>
          <w:szCs w:val="20"/>
          <w:color w:val="auto"/>
        </w:rPr>
      </w:pPr>
    </w:p>
    <w:p>
      <w:pPr>
        <w:ind w:right="6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Amount</w:t>
      </w:r>
      <w:r>
        <w:rPr>
          <w:rFonts w:ascii="Times New Roman" w:cs="Times New Roman" w:eastAsia="Times New Roman" w:hAnsi="Times New Roman"/>
          <w:sz w:val="14"/>
          <w:szCs w:val="14"/>
          <w:color w:val="auto"/>
        </w:rPr>
        <w:t xml:space="preserve">” means, with respect to any date on which the Company pays a dividend on its outstanding Common Stock, the amount of such dividend that is paid per share of Common Stock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(x) the Purchase Amount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(y) the Liquidity Price (treating the dividend date as a Liquidation Event solely for purposes of calculating such Liquidity Price).</w:t>
      </w:r>
    </w:p>
    <w:p>
      <w:pPr>
        <w:spacing w:after="0" w:line="121" w:lineRule="exact"/>
        <w:rPr>
          <w:sz w:val="20"/>
          <w:szCs w:val="20"/>
          <w:color w:val="auto"/>
        </w:rPr>
      </w:pPr>
    </w:p>
    <w:p>
      <w:pPr>
        <w:ind w:right="10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Financing</w:t>
      </w:r>
      <w:r>
        <w:rPr>
          <w:rFonts w:ascii="Times New Roman" w:cs="Times New Roman" w:eastAsia="Times New Roman" w:hAnsi="Times New Roman"/>
          <w:sz w:val="14"/>
          <w:szCs w:val="14"/>
          <w:color w:val="auto"/>
        </w:rPr>
        <w:t>” means a bona fide transaction or series of transactions with the principal purpose of raising capital, pursuant to which the Company issues and sells Preferred Stock at a fixed valuation, including but not limited to, a pre-money or post-money valuation, other than an Initial Public Offering or in connection with a Direct Listing.</w:t>
      </w:r>
    </w:p>
    <w:p>
      <w:pPr>
        <w:spacing w:after="0" w:line="121" w:lineRule="exact"/>
        <w:rPr>
          <w:sz w:val="20"/>
          <w:szCs w:val="20"/>
          <w:color w:val="auto"/>
        </w:rPr>
      </w:pPr>
    </w:p>
    <w:p>
      <w:pPr>
        <w:ind w:right="40" w:firstLine="115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Financing Discount Price</w:t>
      </w:r>
      <w:r>
        <w:rPr>
          <w:rFonts w:ascii="Times New Roman" w:cs="Times New Roman" w:eastAsia="Times New Roman" w:hAnsi="Times New Roman"/>
          <w:sz w:val="14"/>
          <w:szCs w:val="14"/>
          <w:color w:val="auto"/>
        </w:rPr>
        <w:t>” means the lowest price per share of the Standard Preferred Stock sold for cash in the Equity Financing (for the avoidance of doubt, excluding any Standard Preferred Stock issued upon the conversion of this Safe) (the “</w:t>
      </w:r>
      <w:r>
        <w:rPr>
          <w:rFonts w:ascii="Times New Roman" w:cs="Times New Roman" w:eastAsia="Times New Roman" w:hAnsi="Times New Roman"/>
          <w:sz w:val="14"/>
          <w:szCs w:val="14"/>
          <w:b w:val="1"/>
          <w:bCs w:val="1"/>
          <w:color w:val="auto"/>
        </w:rPr>
        <w:t>Equity Financing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Discount Rate (such product, the “</w:t>
      </w:r>
      <w:r>
        <w:rPr>
          <w:rFonts w:ascii="Times New Roman" w:cs="Times New Roman" w:eastAsia="Times New Roman" w:hAnsi="Times New Roman"/>
          <w:sz w:val="14"/>
          <w:szCs w:val="14"/>
          <w:b w:val="1"/>
          <w:bCs w:val="1"/>
          <w:color w:val="auto"/>
        </w:rPr>
        <w:t>Initial Equity Financing Discount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if (i) the Equity Financing Price is greater than or equal to the Series F Price and (ii) the Initial Equity Financing Discount Price is equal to or less than the Series F Price, the Equity Financing Discount Price shall equal the Series F Price;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the Equity Financing Price is less than the Series F Price, the Equity Financing Discount Price shall equal the Equity Financing Price.</w:t>
      </w:r>
    </w:p>
    <w:p>
      <w:pPr>
        <w:spacing w:after="0" w:line="141" w:lineRule="exact"/>
        <w:rPr>
          <w:sz w:val="20"/>
          <w:szCs w:val="20"/>
          <w:color w:val="auto"/>
        </w:rPr>
      </w:pPr>
    </w:p>
    <w:p>
      <w:pPr>
        <w:ind w:right="8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Public Offering</w:t>
      </w:r>
      <w:r>
        <w:rPr>
          <w:rFonts w:ascii="Times New Roman" w:cs="Times New Roman" w:eastAsia="Times New Roman" w:hAnsi="Times New Roman"/>
          <w:sz w:val="14"/>
          <w:szCs w:val="14"/>
          <w:color w:val="auto"/>
        </w:rPr>
        <w:t>” means the closing of the Company’s first sale of its Common Stock to the public in a firm commitment underwritten initial public offering pursuant to a registration statement under the Securities Act.</w:t>
      </w:r>
    </w:p>
    <w:p>
      <w:pPr>
        <w:spacing w:after="0" w:line="121" w:lineRule="exact"/>
        <w:rPr>
          <w:sz w:val="20"/>
          <w:szCs w:val="20"/>
          <w:color w:val="auto"/>
        </w:rPr>
      </w:pPr>
    </w:p>
    <w:p>
      <w:pPr>
        <w:ind w:right="20" w:firstLine="115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Discount Price</w:t>
      </w:r>
      <w:r>
        <w:rPr>
          <w:rFonts w:ascii="Times New Roman" w:cs="Times New Roman" w:eastAsia="Times New Roman" w:hAnsi="Times New Roman"/>
          <w:sz w:val="14"/>
          <w:szCs w:val="14"/>
          <w:color w:val="auto"/>
        </w:rPr>
        <w:t>” means the per share offering price to the public of the Common Stock set forth on the cover of the final prospectus for the Initial Public Offering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Discount Rate (such product, the “</w:t>
      </w:r>
      <w:r>
        <w:rPr>
          <w:rFonts w:ascii="Times New Roman" w:cs="Times New Roman" w:eastAsia="Times New Roman" w:hAnsi="Times New Roman"/>
          <w:sz w:val="14"/>
          <w:szCs w:val="14"/>
          <w:b w:val="1"/>
          <w:bCs w:val="1"/>
          <w:color w:val="auto"/>
        </w:rPr>
        <w:t>Initial IPO Discount Price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(i) the IPO Price is greater than or equal to the Series F Price and (ii) the Initial IPO Discount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Price is equal to or less than the Series F Price, the IPO Discount Price shall equal the Series F Price;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the IPO Price is less than the Series F Price, the IPO Discount Price shall equal the IPO Price.</w:t>
      </w:r>
    </w:p>
    <w:p>
      <w:pPr>
        <w:spacing w:after="0" w:line="138" w:lineRule="exact"/>
        <w:rPr>
          <w:sz w:val="20"/>
          <w:szCs w:val="20"/>
          <w:color w:val="auto"/>
        </w:rPr>
      </w:pPr>
    </w:p>
    <w:p>
      <w:pPr>
        <w:ind w:firstLine="115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Liquidation Event</w:t>
      </w:r>
      <w:r>
        <w:rPr>
          <w:rFonts w:ascii="Times New Roman" w:cs="Times New Roman" w:eastAsia="Times New Roman" w:hAnsi="Times New Roman"/>
          <w:sz w:val="14"/>
          <w:szCs w:val="14"/>
          <w:color w:val="auto"/>
        </w:rPr>
        <w:t>” means (i) a transaction or series of related transactions in which any “person” or “group” (within the meaning of Section 13(d) and 14(d) of the Securities Exchange Act of 1934, as amended), becomes the “beneficial owner” (as defined in Rule 13d-3 under the Securities Exchange Act of 1934, as amended), directly or indirectly, of more than 50% of the outstanding voting securities of the Company having the right to vote for the election of members of the Company’s board of directors, (ii) any reorganization, merger or consolidation of the Company,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at least a majority of the total voting power represented by the outstanding voting securities of the Company or such other surviving or resulting entity or (iii) a sale, lease or other disposition of all or substantially all of the assets of the Company.</w:t>
      </w:r>
    </w:p>
    <w:p>
      <w:pPr>
        <w:spacing w:after="0" w:line="143" w:lineRule="exact"/>
        <w:rPr>
          <w:sz w:val="20"/>
          <w:szCs w:val="20"/>
          <w:color w:val="auto"/>
        </w:rPr>
      </w:pPr>
    </w:p>
    <w:p>
      <w:pPr>
        <w:ind w:right="16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Liquidity Price</w:t>
      </w:r>
      <w:r>
        <w:rPr>
          <w:rFonts w:ascii="Times New Roman" w:cs="Times New Roman" w:eastAsia="Times New Roman" w:hAnsi="Times New Roman"/>
          <w:sz w:val="14"/>
          <w:szCs w:val="14"/>
          <w:color w:val="auto"/>
        </w:rPr>
        <w:t xml:space="preserve">” means the price per share equal to the fair market value of the Common Stock at the time of the Liquidation Event, as determined by reference to the purchase price payable in connection with such Liquidation Event,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Discount Rate.</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means the Company’s preferred stock with the rights set out in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345" w:name="page346"/>
    <w:bookmarkEnd w:id="345"/>
    <w:p>
      <w:pPr>
        <w:ind w:right="2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14"/>
          <w:szCs w:val="14"/>
          <w:color w:val="auto"/>
        </w:rPr>
        <w:t>” means cash and other assets (including without limitation stock consideration) that are proceeds from the Liquidation Event or the Dissolution Event, as applicable, and legally available for distribution.</w:t>
      </w:r>
    </w:p>
    <w:p>
      <w:pPr>
        <w:spacing w:after="0" w:line="121" w:lineRule="exact"/>
        <w:rPr>
          <w:sz w:val="20"/>
          <w:szCs w:val="20"/>
          <w:color w:val="auto"/>
        </w:rPr>
      </w:pPr>
    </w:p>
    <w:p>
      <w:pPr>
        <w:ind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Safe</w:t>
      </w:r>
      <w:r>
        <w:rPr>
          <w:rFonts w:ascii="Times New Roman" w:cs="Times New Roman" w:eastAsia="Times New Roman" w:hAnsi="Times New Roman"/>
          <w:sz w:val="14"/>
          <w:szCs w:val="14"/>
          <w:color w:val="auto"/>
        </w:rPr>
        <w:t>” means an instrument containing a future right to shares of Capital Stock, similar in form and content to this instrument, purchased by investors for the purpose of funding the Company’s business operations. References to “this Safe” mean this specific instrument.</w:t>
      </w:r>
    </w:p>
    <w:p>
      <w:pPr>
        <w:spacing w:after="0" w:line="121" w:lineRule="exact"/>
        <w:rPr>
          <w:sz w:val="20"/>
          <w:szCs w:val="20"/>
          <w:color w:val="auto"/>
        </w:rPr>
      </w:pPr>
    </w:p>
    <w:p>
      <w:pPr>
        <w:ind w:right="160" w:firstLine="115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Safe Preferred Stock</w:t>
      </w:r>
      <w:r>
        <w:rPr>
          <w:rFonts w:ascii="Times New Roman" w:cs="Times New Roman" w:eastAsia="Times New Roman" w:hAnsi="Times New Roman"/>
          <w:sz w:val="14"/>
          <w:szCs w:val="14"/>
          <w:color w:val="auto"/>
        </w:rPr>
        <w:t>” means the shares of the series of Preferred Stock issued to the Investor in an Equity Financing, having the identical rights, privileges, preferences, seniority, liquidation multiple and restrictions as the shares of Standard Preferred Stock, except that any price-based preferences (such as the per share liquidation amount, initial conversion price and per share dividend amount) will be based on the Equity Financing Discount Price.</w:t>
      </w:r>
    </w:p>
    <w:p>
      <w:pPr>
        <w:spacing w:after="0" w:line="133" w:lineRule="exact"/>
        <w:rPr>
          <w:sz w:val="20"/>
          <w:szCs w:val="20"/>
          <w:color w:val="auto"/>
        </w:rPr>
      </w:pPr>
    </w:p>
    <w:p>
      <w:pPr>
        <w:ind w:right="38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F Price</w:t>
      </w:r>
      <w:r>
        <w:rPr>
          <w:rFonts w:ascii="Times New Roman" w:cs="Times New Roman" w:eastAsia="Times New Roman" w:hAnsi="Times New Roman"/>
          <w:sz w:val="14"/>
          <w:szCs w:val="14"/>
          <w:color w:val="auto"/>
        </w:rPr>
        <w:t>” means $6.1644 per share, subject to appropriate adjustment in the event of any stock dividend, stock split, combination or other similar recapitalization with respect to the Series F Stock.</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F Stock</w:t>
      </w:r>
      <w:r>
        <w:rPr>
          <w:rFonts w:ascii="Times New Roman" w:cs="Times New Roman" w:eastAsia="Times New Roman" w:hAnsi="Times New Roman"/>
          <w:sz w:val="14"/>
          <w:szCs w:val="14"/>
          <w:color w:val="auto"/>
        </w:rPr>
        <w:t>” means the Series F Preferred Stock, par value $0.0001 per share, of the Company.</w:t>
      </w:r>
    </w:p>
    <w:p>
      <w:pPr>
        <w:spacing w:after="0" w:line="175" w:lineRule="exact"/>
        <w:rPr>
          <w:sz w:val="20"/>
          <w:szCs w:val="20"/>
          <w:color w:val="auto"/>
        </w:rPr>
      </w:pPr>
    </w:p>
    <w:p>
      <w:pPr>
        <w:ind w:right="120" w:firstLine="115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Standard Preferred Stock</w:t>
      </w:r>
      <w:r>
        <w:rPr>
          <w:rFonts w:ascii="Times New Roman" w:cs="Times New Roman" w:eastAsia="Times New Roman" w:hAnsi="Times New Roman"/>
          <w:sz w:val="14"/>
          <w:szCs w:val="14"/>
          <w:color w:val="auto"/>
        </w:rPr>
        <w:t>” means the shares of a series of Preferred Stock issued to the investors investing new money in the Company in connection with the initial closing of the Equity Financing.</w:t>
      </w:r>
    </w:p>
    <w:p>
      <w:pPr>
        <w:spacing w:after="0" w:line="121" w:lineRule="exact"/>
        <w:rPr>
          <w:sz w:val="20"/>
          <w:szCs w:val="20"/>
          <w:color w:val="auto"/>
        </w:rPr>
      </w:pPr>
    </w:p>
    <w:p>
      <w:pPr>
        <w:ind w:left="660" w:hanging="145"/>
        <w:spacing w:after="0"/>
        <w:tabs>
          <w:tab w:leader="none" w:pos="660" w:val="left"/>
        </w:tabs>
        <w:numPr>
          <w:ilvl w:val="0"/>
          <w:numId w:val="2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Company Representations</w:t>
      </w:r>
    </w:p>
    <w:p>
      <w:pPr>
        <w:spacing w:after="0" w:line="177" w:lineRule="exact"/>
        <w:rPr>
          <w:rFonts w:ascii="Times New Roman" w:cs="Times New Roman" w:eastAsia="Times New Roman" w:hAnsi="Times New Roman"/>
          <w:sz w:val="14"/>
          <w:szCs w:val="14"/>
          <w:b w:val="1"/>
          <w:bCs w:val="1"/>
          <w:color w:val="auto"/>
        </w:rPr>
      </w:pPr>
    </w:p>
    <w:p>
      <w:pPr>
        <w:ind w:right="180" w:firstLine="1155"/>
        <w:spacing w:after="0" w:line="283" w:lineRule="auto"/>
        <w:tabs>
          <w:tab w:leader="none" w:pos="1341"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corporation duly organized, validly existing and in good standing under the laws of its state of incorporation, and has the power and authority to own, lease and operate its properties and carry on its business as now conducted.</w:t>
      </w:r>
    </w:p>
    <w:p>
      <w:pPr>
        <w:spacing w:after="0" w:line="124" w:lineRule="exact"/>
        <w:rPr>
          <w:rFonts w:ascii="Times New Roman" w:cs="Times New Roman" w:eastAsia="Times New Roman" w:hAnsi="Times New Roman"/>
          <w:sz w:val="14"/>
          <w:szCs w:val="14"/>
          <w:color w:val="auto"/>
        </w:rPr>
      </w:pPr>
    </w:p>
    <w:p>
      <w:pPr>
        <w:jc w:val="both"/>
        <w:ind w:right="60" w:firstLine="1155"/>
        <w:spacing w:after="0" w:line="257" w:lineRule="auto"/>
        <w:tabs>
          <w:tab w:leader="none" w:pos="1349"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the Company of this Safe is within the power of the Company and has been duly authorized by all necessary actions on the part of the Company (subject to Section 3(d)). This Safe constitutes a legal, valid and binding obligation of the Company, enforceable against the Company in accordance with its terms, except as limited by bankruptcy, insolvency or other laws of general application relating to or affecting the enforcement of creditors’ rights generally and general principles of equity. To its knowledge, the Company is not in violation of (i) its current certificate of incorporation or bylaws, (ii) any material statute, rule or regulation applicable to the Company or (iii) any material debt or contract to which the Company is a party or by which it is bound, where, in each case, such violation or default, individually, or together with all such violations or defaults, could reasonably be expected to have a material adverse effect on the Company.</w:t>
      </w:r>
    </w:p>
    <w:p>
      <w:pPr>
        <w:spacing w:after="0" w:line="143" w:lineRule="exact"/>
        <w:rPr>
          <w:rFonts w:ascii="Times New Roman" w:cs="Times New Roman" w:eastAsia="Times New Roman" w:hAnsi="Times New Roman"/>
          <w:sz w:val="14"/>
          <w:szCs w:val="14"/>
          <w:color w:val="auto"/>
        </w:rPr>
      </w:pPr>
    </w:p>
    <w:p>
      <w:pPr>
        <w:ind w:right="80" w:firstLine="1155"/>
        <w:spacing w:after="0" w:line="267" w:lineRule="auto"/>
        <w:tabs>
          <w:tab w:leader="none" w:pos="1341"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consummation of the transactions contemplated by this Safe do not and will not: (i) violate any material judgment, statute, rule or regulation applicable to the Company; (ii) result in the acceleration of any material debt or contract to which the Company is a party or by which it is bound; or (iii) result in the creation or imposition of any lien on any property, asset or revenue of the Company or the suspension, forfeiture, or nonrenewal of any material permit, license or authorization applicable to the Company, its business or operations.</w:t>
      </w:r>
    </w:p>
    <w:p>
      <w:pPr>
        <w:spacing w:after="0" w:line="135" w:lineRule="exact"/>
        <w:rPr>
          <w:rFonts w:ascii="Times New Roman" w:cs="Times New Roman" w:eastAsia="Times New Roman" w:hAnsi="Times New Roman"/>
          <w:sz w:val="14"/>
          <w:szCs w:val="14"/>
          <w:color w:val="auto"/>
        </w:rPr>
      </w:pPr>
    </w:p>
    <w:p>
      <w:pPr>
        <w:ind w:right="20" w:firstLine="1155"/>
        <w:spacing w:after="0" w:line="283" w:lineRule="auto"/>
        <w:tabs>
          <w:tab w:leader="none" w:pos="1349"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consents or approvals are required in connection with the performance of this Safe, other than: (i) the Company’s corporate and stockholder approvals; (ii) any qualifications or filings under applicable securities laws; and (iii) necessary corporate approvals for the authorization of Capital Stock issuable pursuant to Section 1.</w:t>
      </w:r>
    </w:p>
    <w:p>
      <w:pPr>
        <w:spacing w:after="0" w:line="124" w:lineRule="exact"/>
        <w:rPr>
          <w:rFonts w:ascii="Times New Roman" w:cs="Times New Roman" w:eastAsia="Times New Roman" w:hAnsi="Times New Roman"/>
          <w:sz w:val="14"/>
          <w:szCs w:val="14"/>
          <w:color w:val="auto"/>
        </w:rPr>
      </w:pPr>
    </w:p>
    <w:p>
      <w:pPr>
        <w:ind w:right="160" w:firstLine="1155"/>
        <w:spacing w:after="0" w:line="267" w:lineRule="auto"/>
        <w:tabs>
          <w:tab w:leader="none" w:pos="1341"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knowledge, the Company owns or possesses (or can obtain on commercially reasonable terms) sufficient legal rights to all patents, trademarks, service marks, trade names, copyrights, trade secrets, licenses, information, processes and other intellectual property rights necessary for its business as now conducted and as currently proposed to be conducted, without any conflict with, or infringement of the rights of, others.</w:t>
      </w:r>
    </w:p>
    <w:p>
      <w:pPr>
        <w:spacing w:after="0" w:line="133"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2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Investor Representations</w:t>
      </w:r>
    </w:p>
    <w:p>
      <w:pPr>
        <w:spacing w:after="0" w:line="177" w:lineRule="exact"/>
        <w:rPr>
          <w:rFonts w:ascii="Times New Roman" w:cs="Times New Roman" w:eastAsia="Times New Roman" w:hAnsi="Times New Roman"/>
          <w:sz w:val="14"/>
          <w:szCs w:val="14"/>
          <w:b w:val="1"/>
          <w:bCs w:val="1"/>
          <w:color w:val="auto"/>
        </w:rPr>
      </w:pPr>
    </w:p>
    <w:p>
      <w:pPr>
        <w:ind w:firstLine="1155"/>
        <w:spacing w:after="0" w:line="267" w:lineRule="auto"/>
        <w:tabs>
          <w:tab w:leader="none" w:pos="1341"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has full legal capacity, power and authority to execute and deliver this Safe and to perform its obligations hereunder. This Safe constitutes a valid and binding obligation of the Investor, enforceable in accordance with its terms, except as limited by bankruptcy, insolvency or other laws of general application relating to or affecting the enforcement of creditors’ rights generally and general principles of equity.</w:t>
      </w:r>
    </w:p>
    <w:p>
      <w:pPr>
        <w:spacing w:after="0" w:line="135" w:lineRule="exact"/>
        <w:rPr>
          <w:rFonts w:ascii="Times New Roman" w:cs="Times New Roman" w:eastAsia="Times New Roman" w:hAnsi="Times New Roman"/>
          <w:sz w:val="14"/>
          <w:szCs w:val="14"/>
          <w:color w:val="auto"/>
        </w:rPr>
      </w:pPr>
    </w:p>
    <w:p>
      <w:pPr>
        <w:ind w:right="120" w:firstLine="1155"/>
        <w:spacing w:after="0" w:line="267" w:lineRule="auto"/>
        <w:tabs>
          <w:tab w:leader="none" w:pos="1349"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is an accredited investor as such term is defined in Rule 501 of Regulation D under the Securities Act, and acknowledges and agrees that if not an accredited investor at the time of an Equity Financing, the Company may void this Safe and return the Purchase Amount. The Investor has been advised that this Safe and the underlying securities have not been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346" w:name="page347"/>
    <w:bookmarkEnd w:id="346"/>
    <w:p>
      <w:pPr>
        <w:spacing w:after="0" w:line="258" w:lineRule="auto"/>
        <w:rPr>
          <w:sz w:val="20"/>
          <w:szCs w:val="20"/>
          <w:color w:val="auto"/>
        </w:rPr>
      </w:pPr>
      <w:r>
        <w:rPr>
          <w:rFonts w:ascii="Times New Roman" w:cs="Times New Roman" w:eastAsia="Times New Roman" w:hAnsi="Times New Roman"/>
          <w:sz w:val="14"/>
          <w:szCs w:val="14"/>
          <w:color w:val="auto"/>
        </w:rPr>
        <w:t>under the Securities Act, or any other applicable securities laws and, therefore, cannot be resold unless they are registered under the Securities Act and applicable securities laws or unless an exemption from such registration requirements is available. The Investor is purchasing this Safe and the securities to be acquired by the Investor hereunder for its own account for investment, not as a nominee or agent, and not with a view to, or for resale in connection with, the distribution thereof, and the Investor has no present intention of selling, granting any participation in, or otherwise distributing the same. The Investor has such knowledge and experience in financial and business matters that the Investor is capable of evaluating the merits and risks of such investment, is able to incur a complete loss of such investment without impairing the Investor’s financial condition and is able to bear the economic risk of such investment for an indefinite period of time.</w:t>
      </w:r>
    </w:p>
    <w:p>
      <w:pPr>
        <w:spacing w:after="0" w:line="142" w:lineRule="exact"/>
        <w:rPr>
          <w:sz w:val="20"/>
          <w:szCs w:val="20"/>
          <w:color w:val="auto"/>
        </w:rPr>
      </w:pPr>
    </w:p>
    <w:p>
      <w:pPr>
        <w:ind w:left="660" w:hanging="145"/>
        <w:spacing w:after="0"/>
        <w:tabs>
          <w:tab w:leader="none" w:pos="660" w:val="left"/>
        </w:tabs>
        <w:numPr>
          <w:ilvl w:val="0"/>
          <w:numId w:val="2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Miscellaneous</w:t>
      </w:r>
    </w:p>
    <w:p>
      <w:pPr>
        <w:spacing w:after="0" w:line="177" w:lineRule="exact"/>
        <w:rPr>
          <w:rFonts w:ascii="Times New Roman" w:cs="Times New Roman" w:eastAsia="Times New Roman" w:hAnsi="Times New Roman"/>
          <w:sz w:val="14"/>
          <w:szCs w:val="14"/>
          <w:b w:val="1"/>
          <w:bCs w:val="1"/>
          <w:color w:val="auto"/>
        </w:rPr>
      </w:pPr>
    </w:p>
    <w:p>
      <w:pPr>
        <w:ind w:left="1340" w:hanging="185"/>
        <w:spacing w:after="0"/>
        <w:tabs>
          <w:tab w:leader="none" w:pos="1340"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of this Safe may be amended, waived or modified only by written consent of the Company and the Investor.</w:t>
      </w:r>
    </w:p>
    <w:p>
      <w:pPr>
        <w:spacing w:after="0" w:line="175" w:lineRule="exact"/>
        <w:rPr>
          <w:rFonts w:ascii="Times New Roman" w:cs="Times New Roman" w:eastAsia="Times New Roman" w:hAnsi="Times New Roman"/>
          <w:sz w:val="14"/>
          <w:szCs w:val="14"/>
          <w:color w:val="auto"/>
        </w:rPr>
      </w:pPr>
    </w:p>
    <w:p>
      <w:pPr>
        <w:ind w:right="160" w:firstLine="1155"/>
        <w:spacing w:after="0" w:line="267" w:lineRule="auto"/>
        <w:tabs>
          <w:tab w:leader="none" w:pos="1349"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required or permitted by this Safe will be deemed sufficient when delivered personally or by overnight courier to the relevant address listed on the signature page, immediately when sent by email to the relevant email address listed on the signature page, or 48 hours after being deposited in the U.S. mail as certified or registered mail with postage prepaid, addressed to the party to be notified at such party’s address listed on the signature page, as subsequently modified by written notice.</w:t>
      </w:r>
    </w:p>
    <w:p>
      <w:pPr>
        <w:spacing w:after="0" w:line="135" w:lineRule="exact"/>
        <w:rPr>
          <w:rFonts w:ascii="Times New Roman" w:cs="Times New Roman" w:eastAsia="Times New Roman" w:hAnsi="Times New Roman"/>
          <w:sz w:val="14"/>
          <w:szCs w:val="14"/>
          <w:color w:val="auto"/>
        </w:rPr>
      </w:pPr>
    </w:p>
    <w:p>
      <w:pPr>
        <w:ind w:right="140" w:firstLine="1155"/>
        <w:spacing w:after="0" w:line="261" w:lineRule="auto"/>
        <w:tabs>
          <w:tab w:leader="none" w:pos="1341"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is not entitled, as a holder of this Safe, to vote or be deemed a holder of Capital Stock for any purpose other than tax purposes, nor will anything in this Safe be construed to confer on the Investor, as such, any rights of a Company stockholder or rights to vote for the election of directors or on any matter submitted to Company stockholders, or to give or withhold consent to any corporate action or to receive notice of meetings, until shares have been issued on the terms described in Section 1. However, if the Company pays a dividend on outstanding shares of Common Stock (that is not payable in shares of Common Stock) while this Safe is outstanding, the Company will pay the Dividend Amount to the Investor at the same time.</w:t>
      </w:r>
    </w:p>
    <w:p>
      <w:pPr>
        <w:spacing w:after="0" w:line="140" w:lineRule="exact"/>
        <w:rPr>
          <w:rFonts w:ascii="Times New Roman" w:cs="Times New Roman" w:eastAsia="Times New Roman" w:hAnsi="Times New Roman"/>
          <w:sz w:val="14"/>
          <w:szCs w:val="14"/>
          <w:color w:val="auto"/>
        </w:rPr>
      </w:pPr>
    </w:p>
    <w:p>
      <w:pPr>
        <w:ind w:right="120" w:firstLine="1155"/>
        <w:spacing w:after="0" w:line="258" w:lineRule="auto"/>
        <w:tabs>
          <w:tab w:leader="none" w:pos="1349"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this Safe nor the rights in this Safe are transferable or assignable, by operation of law or otherwise, by either party without the prior written consent of the other;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this Safe and/or its rights may be assigned without the Company’s consent by the Investor (i) to the Investor’s estate, heirs, executors, administrators, guardians and/or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successors in the event of Investor’s death or disability, or (ii) to any other entity who directly or indirectly, controls, is controlled by or is under common control with the Investor, including, without limitation, any general partner, managing member, officer or director of the Investor, or any venture capital fund now or hereafter existing which is controlled by one or more general partners or managing members of, or shares the same management company with, the Investor.</w:t>
      </w:r>
    </w:p>
    <w:p>
      <w:pPr>
        <w:spacing w:after="0" w:line="143" w:lineRule="exact"/>
        <w:rPr>
          <w:rFonts w:ascii="Times New Roman" w:cs="Times New Roman" w:eastAsia="Times New Roman" w:hAnsi="Times New Roman"/>
          <w:sz w:val="14"/>
          <w:szCs w:val="14"/>
          <w:color w:val="auto"/>
        </w:rPr>
      </w:pPr>
    </w:p>
    <w:p>
      <w:pPr>
        <w:ind w:right="60" w:firstLine="1155"/>
        <w:spacing w:after="0" w:line="267" w:lineRule="auto"/>
        <w:tabs>
          <w:tab w:leader="none" w:pos="1341"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one or more of the provisions of this Safe is for any reason held to be invalid, illegal or unenforceable, in whole or in part or in any respect, or in the event that any one or more of the provisions of this Safe operate or would prospectively operate to invalidate this Safe, then and in any such event, such provision(s) only will be deemed null and void and will not affect any other provision of this Safe and the remaining provisions of this Safe will remain operative and in full force and effect and will not be affected, prejudiced, or disturbed thereby.</w:t>
      </w:r>
    </w:p>
    <w:p>
      <w:pPr>
        <w:spacing w:after="0" w:line="135" w:lineRule="exact"/>
        <w:rPr>
          <w:rFonts w:ascii="Times New Roman" w:cs="Times New Roman" w:eastAsia="Times New Roman" w:hAnsi="Times New Roman"/>
          <w:sz w:val="14"/>
          <w:szCs w:val="14"/>
          <w:color w:val="auto"/>
        </w:rPr>
      </w:pPr>
    </w:p>
    <w:p>
      <w:pPr>
        <w:ind w:left="1320" w:hanging="165"/>
        <w:spacing w:after="0"/>
        <w:tabs>
          <w:tab w:leader="none" w:pos="1320"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and obligations hereunder will be governed by the laws of the State of Delaware, without regard to the conflicts of law provisions of such jurisdiction.</w:t>
      </w:r>
    </w:p>
    <w:p>
      <w:pPr>
        <w:spacing w:after="0" w:line="175" w:lineRule="exact"/>
        <w:rPr>
          <w:rFonts w:ascii="Times New Roman" w:cs="Times New Roman" w:eastAsia="Times New Roman" w:hAnsi="Times New Roman"/>
          <w:sz w:val="14"/>
          <w:szCs w:val="14"/>
          <w:color w:val="auto"/>
        </w:rPr>
      </w:pPr>
    </w:p>
    <w:p>
      <w:pPr>
        <w:jc w:val="both"/>
        <w:ind w:right="20" w:firstLine="1155"/>
        <w:spacing w:after="0" w:line="267" w:lineRule="auto"/>
        <w:tabs>
          <w:tab w:leader="none" w:pos="1349"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acknowledge and agree that for United States federal and state income tax purposes this Safe is, and at all times has been, intended to be characterized as stock, and more particularly as common stock for purposes of Sections 304, 305, 306, 354, 368, 1036 and 1202 of the Internal Revenue Code of 1986, as amended. Accordingly, the parties agree to treat this Safe consistent with the foregoing intent for all United States federal and state income tax purposes (including, without limitation, on their respective tax returns or other informational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4"/>
          <w:szCs w:val="14"/>
          <w:color w:val="auto"/>
        </w:rPr>
        <w:t>IN WITNESS WHEREOF, the undersigned have caused this Safe to be duly executed and delivered.</w:t>
      </w:r>
    </w:p>
    <w:p>
      <w:pPr>
        <w:spacing w:after="0" w:line="3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7" w:lineRule="exact"/>
        <w:rPr>
          <w:sz w:val="20"/>
          <w:szCs w:val="20"/>
          <w:color w:val="auto"/>
        </w:rPr>
      </w:pPr>
    </w:p>
    <w:p>
      <w:pPr>
        <w:ind w:left="626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/s/Mathai Mammen</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Mathai Mammen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-101600</wp:posOffset>
            </wp:positionV>
            <wp:extent cx="2483485"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483485"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3"/>
          <w:szCs w:val="13"/>
          <w:color w:val="auto"/>
        </w:rPr>
        <w:t>Title: President &amp; Chief Executive Officer</w:t>
      </w:r>
    </w:p>
    <w:p>
      <w:pPr>
        <w:spacing w:after="0" w:line="17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Email: mmammen@parabilismed.com</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Address:</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30 Acorn Park Drive</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1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EXPLORE INVESTMENTS LLC</w:t>
      </w:r>
    </w:p>
    <w:p>
      <w:pPr>
        <w:spacing w:after="0" w:line="177" w:lineRule="exact"/>
        <w:rPr>
          <w:sz w:val="20"/>
          <w:szCs w:val="20"/>
          <w:color w:val="auto"/>
        </w:rPr>
      </w:pPr>
    </w:p>
    <w:p>
      <w:pPr>
        <w:ind w:left="626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/s/Paul Dauber</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Paul Dauber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-101600</wp:posOffset>
            </wp:positionV>
            <wp:extent cx="248348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483485"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4"/>
          <w:szCs w:val="14"/>
          <w:color w:val="auto"/>
        </w:rPr>
        <w:t>Title: Manager</w:t>
      </w:r>
    </w:p>
    <w:p>
      <w:pPr>
        <w:spacing w:after="0" w:line="1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Email:</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Address:</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9429 Harding Ave, Box 295</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Surfside, FL 33154</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i w:val="1"/>
          <w:iCs w:val="1"/>
          <w:color w:val="auto"/>
        </w:rPr>
        <w:t>[Signature Page to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496570</wp:posOffset>
            </wp:positionV>
            <wp:extent cx="7188200"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639"/>
          </w:cols>
          <w:pgMar w:left="820" w:top="986" w:right="1440" w:bottom="1440" w:gutter="0" w:footer="0" w:header="0"/>
        </w:sectPr>
      </w:pPr>
    </w:p>
    <w:bookmarkStart w:id="348" w:name="page349"/>
    <w:bookmarkEnd w:id="348"/>
    <w:p>
      <w:pPr>
        <w:ind w:left="1052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2016 EMPLOYEE, DIRECTOR AND CONSULTANT EQUITY INCENTIVE PLAN</w:t>
      </w:r>
    </w:p>
    <w:p>
      <w:pPr>
        <w:spacing w:after="0" w:line="93" w:lineRule="exact"/>
        <w:rPr>
          <w:sz w:val="20"/>
          <w:szCs w:val="20"/>
          <w:color w:val="auto"/>
        </w:rPr>
      </w:pPr>
    </w:p>
    <w:p>
      <w:pPr>
        <w:ind w:left="660" w:hanging="145"/>
        <w:spacing w:after="0"/>
        <w:tabs>
          <w:tab w:leader="none" w:pos="66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p>
    <w:p>
      <w:pPr>
        <w:spacing w:after="0" w:line="175"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Unless otherwise specified or unless the context otherwise requires, the following terms, as used in this Parabilis Medicines, Inc. 2016 Employee, Director and Consultant Equity Incentive Plan, have the following meanings: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Administrator</w:t>
      </w:r>
      <w:r>
        <w:rPr>
          <w:rFonts w:ascii="Times New Roman" w:cs="Times New Roman" w:eastAsia="Times New Roman" w:hAnsi="Times New Roman"/>
          <w:sz w:val="14"/>
          <w:szCs w:val="14"/>
          <w:color w:val="auto"/>
        </w:rPr>
        <w:t xml:space="preserve"> means the Board of Directors, unless it has delegated power to act on its behalf to the Committee, in which case the Administrator means the Committee.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xml:space="preserve"> means a corporation which, for purposes of Section 424 of the Code, is a parent or subsidiary of the Company, direct or indirect.</w:t>
      </w:r>
    </w:p>
    <w:p>
      <w:pPr>
        <w:spacing w:after="0" w:line="175" w:lineRule="exact"/>
        <w:rPr>
          <w:sz w:val="20"/>
          <w:szCs w:val="20"/>
          <w:color w:val="auto"/>
        </w:rPr>
      </w:pPr>
    </w:p>
    <w:p>
      <w:pPr>
        <w:ind w:left="1160" w:right="300"/>
        <w:spacing w:after="0" w:line="283" w:lineRule="auto"/>
        <w:rPr>
          <w:sz w:val="20"/>
          <w:szCs w:val="20"/>
          <w:color w:val="auto"/>
        </w:rPr>
      </w:pP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xml:space="preserve"> means an agreement between the Company and a Participant delivered pursuant to the Plan and pertaining to a Stock Right, in such form as the Administrator shall approve.</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xml:space="preserve"> means the Board of Directors of the Company.</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California Participant</w:t>
      </w:r>
      <w:r>
        <w:rPr>
          <w:rFonts w:ascii="Times New Roman" w:cs="Times New Roman" w:eastAsia="Times New Roman" w:hAnsi="Times New Roman"/>
          <w:sz w:val="14"/>
          <w:szCs w:val="14"/>
          <w:color w:val="auto"/>
        </w:rPr>
        <w:t xml:space="preserve"> means a Participant who resides in the State of California.</w:t>
      </w:r>
    </w:p>
    <w:p>
      <w:pPr>
        <w:spacing w:after="0" w:line="175" w:lineRule="exact"/>
        <w:rPr>
          <w:sz w:val="20"/>
          <w:szCs w:val="20"/>
          <w:color w:val="auto"/>
        </w:rPr>
      </w:pPr>
    </w:p>
    <w:p>
      <w:pPr>
        <w:ind w:left="1160" w:right="240"/>
        <w:spacing w:after="0" w:line="283" w:lineRule="auto"/>
        <w:rPr>
          <w:sz w:val="20"/>
          <w:szCs w:val="20"/>
          <w:color w:val="auto"/>
        </w:rPr>
      </w:pP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xml:space="preserve"> means, with respect to a Participant (a) dishonesty with respect to the Company or any Affiliate, (b) insubordination, substantial malfeasance or non-feasance of duty, (c) unauthorized disclosure of confidential information.</w:t>
      </w:r>
    </w:p>
    <w:p>
      <w:pPr>
        <w:spacing w:after="0" w:line="125" w:lineRule="exact"/>
        <w:rPr>
          <w:sz w:val="20"/>
          <w:szCs w:val="20"/>
          <w:color w:val="auto"/>
        </w:rPr>
      </w:pPr>
    </w:p>
    <w:p>
      <w:pPr>
        <w:ind w:left="1160" w:hanging="5"/>
        <w:spacing w:after="0" w:line="287" w:lineRule="auto"/>
        <w:tabs>
          <w:tab w:leader="none" w:pos="1358"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xml:space="preserve"> means the United States Internal Revenue Code of 1986, as amended including any successor statute, regulation and guidance thereto.</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xml:space="preserve"> means the committee of the Board of Directors to which the Board of Directors has delegated power to act under or pursuant to the provisions of the Plan.</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means shares of the Company’s common stock, $0.0001 par value per share.</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means Parabilis Medicines, Inc., a Delaware corporation.</w:t>
      </w:r>
    </w:p>
    <w:p>
      <w:pPr>
        <w:spacing w:after="0" w:line="91" w:lineRule="exact"/>
        <w:rPr>
          <w:sz w:val="20"/>
          <w:szCs w:val="20"/>
          <w:color w:val="auto"/>
        </w:rPr>
      </w:pPr>
    </w:p>
    <w:p>
      <w:pPr>
        <w:ind w:left="1160" w:right="300"/>
        <w:spacing w:after="0" w:line="267" w:lineRule="auto"/>
        <w:rPr>
          <w:sz w:val="20"/>
          <w:szCs w:val="20"/>
          <w:color w:val="auto"/>
        </w:rPr>
      </w:pPr>
      <w:r>
        <w:rPr>
          <w:rFonts w:ascii="Times New Roman" w:cs="Times New Roman" w:eastAsia="Times New Roman" w:hAnsi="Times New Roman"/>
          <w:sz w:val="14"/>
          <w:szCs w:val="14"/>
          <w:u w:val="single" w:color="auto"/>
          <w:color w:val="auto"/>
        </w:rPr>
        <w:t>Consultant</w:t>
      </w:r>
      <w:r>
        <w:rPr>
          <w:rFonts w:ascii="Times New Roman" w:cs="Times New Roman" w:eastAsia="Times New Roman" w:hAnsi="Times New Roman"/>
          <w:sz w:val="14"/>
          <w:szCs w:val="14"/>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Disabled</w:t>
      </w:r>
      <w:r>
        <w:rPr>
          <w:rFonts w:ascii="Times New Roman" w:cs="Times New Roman" w:eastAsia="Times New Roman" w:hAnsi="Times New Roman"/>
          <w:sz w:val="14"/>
          <w:szCs w:val="14"/>
          <w:color w:val="auto"/>
        </w:rPr>
        <w:t xml:space="preserve"> means permanent and total disability as defined in Section 22(e)(3) of the Code.</w:t>
      </w:r>
    </w:p>
    <w:p>
      <w:pPr>
        <w:spacing w:after="0" w:line="91" w:lineRule="exact"/>
        <w:rPr>
          <w:sz w:val="20"/>
          <w:szCs w:val="20"/>
          <w:color w:val="auto"/>
        </w:rPr>
      </w:pPr>
    </w:p>
    <w:p>
      <w:pPr>
        <w:ind w:left="1160" w:right="60"/>
        <w:spacing w:after="0" w:line="283" w:lineRule="auto"/>
        <w:rPr>
          <w:sz w:val="20"/>
          <w:szCs w:val="20"/>
          <w:color w:val="auto"/>
        </w:rPr>
      </w:pP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xml:space="preserve"> means the Securities Exchange Act of 1934, as amended.</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xml:space="preserve"> of a Share of Common Stock means:</w:t>
      </w:r>
    </w:p>
    <w:p>
      <w:pPr>
        <w:spacing w:after="0" w:line="91" w:lineRule="exact"/>
        <w:rPr>
          <w:sz w:val="20"/>
          <w:szCs w:val="20"/>
          <w:color w:val="auto"/>
        </w:rPr>
      </w:pPr>
    </w:p>
    <w:p>
      <w:pPr>
        <w:ind w:left="1160" w:right="40" w:firstLine="506"/>
        <w:spacing w:after="0" w:line="267" w:lineRule="auto"/>
        <w:tabs>
          <w:tab w:leader="none" w:pos="187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456565</wp:posOffset>
            </wp:positionV>
            <wp:extent cx="7188200"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796" w:right="339" w:bottom="1440" w:gutter="0" w:footer="0" w:header="0"/>
        </w:sectPr>
      </w:pPr>
    </w:p>
    <w:bookmarkStart w:id="349" w:name="page350"/>
    <w:bookmarkEnd w:id="349"/>
    <w:p>
      <w:pPr>
        <w:ind w:left="1140" w:right="60" w:firstLine="518"/>
        <w:spacing w:after="0" w:line="261" w:lineRule="auto"/>
        <w:tabs>
          <w:tab w:leader="none" w:pos="185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6" w:lineRule="exact"/>
        <w:rPr>
          <w:rFonts w:ascii="Times New Roman" w:cs="Times New Roman" w:eastAsia="Times New Roman" w:hAnsi="Times New Roman"/>
          <w:sz w:val="14"/>
          <w:szCs w:val="14"/>
          <w:color w:val="auto"/>
        </w:rPr>
      </w:pPr>
    </w:p>
    <w:p>
      <w:pPr>
        <w:ind w:left="1860" w:hanging="202"/>
        <w:spacing w:after="0"/>
        <w:tabs>
          <w:tab w:leader="none" w:pos="186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is neither listed on a national securities exchange nor traded in the over-the-counter market, such value as the Administrator, in good faith, shall</w:t>
      </w:r>
    </w:p>
    <w:p>
      <w:pPr>
        <w:spacing w:after="0" w:line="21"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ISO</w:t>
      </w:r>
      <w:r>
        <w:rPr>
          <w:rFonts w:ascii="Times New Roman" w:cs="Times New Roman" w:eastAsia="Times New Roman" w:hAnsi="Times New Roman"/>
          <w:sz w:val="14"/>
          <w:szCs w:val="14"/>
          <w:color w:val="auto"/>
        </w:rPr>
        <w:t xml:space="preserve"> means an option intended to qualify as an incentive stock option under Section 422 of the Code.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Non-Qualified Option</w:t>
      </w:r>
      <w:r>
        <w:rPr>
          <w:rFonts w:ascii="Times New Roman" w:cs="Times New Roman" w:eastAsia="Times New Roman" w:hAnsi="Times New Roman"/>
          <w:sz w:val="14"/>
          <w:szCs w:val="14"/>
          <w:color w:val="auto"/>
        </w:rPr>
        <w:t xml:space="preserve"> means an option which is not intended to qualify as an ISO.</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xml:space="preserve"> means an ISO or Non-Qualified Option granted under the Plan.</w:t>
      </w:r>
    </w:p>
    <w:p>
      <w:pPr>
        <w:spacing w:after="0" w:line="81" w:lineRule="exact"/>
        <w:rPr>
          <w:sz w:val="20"/>
          <w:szCs w:val="20"/>
          <w:color w:val="auto"/>
        </w:rPr>
      </w:pPr>
    </w:p>
    <w:p>
      <w:pPr>
        <w:ind w:left="1160" w:right="60"/>
        <w:spacing w:after="0" w:line="283" w:lineRule="auto"/>
        <w:rPr>
          <w:sz w:val="20"/>
          <w:szCs w:val="20"/>
          <w:color w:val="auto"/>
        </w:rPr>
      </w:pP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xml:space="preserve"> means this Parabilis Medicines, Inc. 2016 Employee, Director and Consultant Equity Incentive Plan.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xml:space="preserve"> means the Securities Act of 1933, as amended.</w:t>
      </w:r>
    </w:p>
    <w:p>
      <w:pPr>
        <w:spacing w:after="0" w:line="91" w:lineRule="exact"/>
        <w:rPr>
          <w:sz w:val="20"/>
          <w:szCs w:val="20"/>
          <w:color w:val="auto"/>
        </w:rPr>
      </w:pPr>
    </w:p>
    <w:p>
      <w:pPr>
        <w:ind w:left="1160"/>
        <w:spacing w:after="0" w:line="267" w:lineRule="auto"/>
        <w:rPr>
          <w:sz w:val="20"/>
          <w:szCs w:val="20"/>
          <w:color w:val="auto"/>
        </w:rPr>
      </w:pP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Stock-Based Award</w:t>
      </w:r>
      <w:r>
        <w:rPr>
          <w:rFonts w:ascii="Times New Roman" w:cs="Times New Roman" w:eastAsia="Times New Roman" w:hAnsi="Times New Roman"/>
          <w:sz w:val="14"/>
          <w:szCs w:val="14"/>
          <w:color w:val="auto"/>
        </w:rPr>
        <w:t xml:space="preserve"> means a grant by the Company under the Plan of an equity award or an equity based award which is not an Option or a Stock Grant.</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Stock Grant</w:t>
      </w:r>
      <w:r>
        <w:rPr>
          <w:rFonts w:ascii="Times New Roman" w:cs="Times New Roman" w:eastAsia="Times New Roman" w:hAnsi="Times New Roman"/>
          <w:sz w:val="14"/>
          <w:szCs w:val="14"/>
          <w:color w:val="auto"/>
        </w:rPr>
        <w:t xml:space="preserve"> means a grant by the Company of Shares under the Plan.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auto"/>
        </w:rPr>
        <w:t>Stock Right</w:t>
      </w:r>
      <w:r>
        <w:rPr>
          <w:rFonts w:ascii="Times New Roman" w:cs="Times New Roman" w:eastAsia="Times New Roman" w:hAnsi="Times New Roman"/>
          <w:sz w:val="14"/>
          <w:szCs w:val="14"/>
          <w:color w:val="auto"/>
        </w:rPr>
        <w:t xml:space="preserve"> means a right to Shares or the value of Shares of the Company granted pursuant to the Plan — an ISO, a Non-Qualified Option, a Stock Grant or a Stock-Based Award.</w:t>
      </w:r>
    </w:p>
    <w:p>
      <w:pPr>
        <w:spacing w:after="0" w:line="91" w:lineRule="exact"/>
        <w:rPr>
          <w:sz w:val="20"/>
          <w:szCs w:val="20"/>
          <w:color w:val="auto"/>
        </w:rPr>
      </w:pPr>
    </w:p>
    <w:p>
      <w:pPr>
        <w:ind w:left="1160" w:right="100"/>
        <w:spacing w:after="0" w:line="283" w:lineRule="auto"/>
        <w:rPr>
          <w:sz w:val="20"/>
          <w:szCs w:val="20"/>
          <w:color w:val="auto"/>
        </w:rPr>
      </w:pPr>
      <w:r>
        <w:rPr>
          <w:rFonts w:ascii="Times New Roman" w:cs="Times New Roman" w:eastAsia="Times New Roman" w:hAnsi="Times New Roman"/>
          <w:sz w:val="14"/>
          <w:szCs w:val="14"/>
          <w:u w:val="single" w:color="auto"/>
          <w:color w:val="auto"/>
        </w:rPr>
        <w:t>Survivor</w:t>
      </w:r>
      <w:r>
        <w:rPr>
          <w:rFonts w:ascii="Times New Roman" w:cs="Times New Roman" w:eastAsia="Times New Roman" w:hAnsi="Times New Roman"/>
          <w:sz w:val="14"/>
          <w:szCs w:val="14"/>
          <w:color w:val="auto"/>
        </w:rPr>
        <w:t xml:space="preserve"> means a deceased Participant’s legal representatives and/or any person or persons who acquired the Participant’s rights to a Stock Right by will or by the laws of descent and distribution.</w:t>
      </w:r>
    </w:p>
    <w:p>
      <w:pPr>
        <w:spacing w:after="0" w:line="41" w:lineRule="exact"/>
        <w:rPr>
          <w:sz w:val="20"/>
          <w:szCs w:val="20"/>
          <w:color w:val="auto"/>
        </w:rPr>
      </w:pPr>
    </w:p>
    <w:p>
      <w:pPr>
        <w:ind w:left="660" w:hanging="145"/>
        <w:spacing w:after="0"/>
        <w:tabs>
          <w:tab w:leader="none" w:pos="66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PURPOSES OF THE PLAN.</w:t>
      </w:r>
    </w:p>
    <w:p>
      <w:pPr>
        <w:spacing w:after="0" w:line="91" w:lineRule="exact"/>
        <w:rPr>
          <w:sz w:val="20"/>
          <w:szCs w:val="20"/>
          <w:color w:val="auto"/>
        </w:rPr>
      </w:pPr>
    </w:p>
    <w:p>
      <w:pPr>
        <w:jc w:val="both"/>
        <w:ind w:right="140" w:firstLine="511"/>
        <w:spacing w:after="0" w:line="267" w:lineRule="auto"/>
        <w:rPr>
          <w:sz w:val="20"/>
          <w:szCs w:val="20"/>
          <w:color w:val="auto"/>
        </w:rPr>
      </w:pPr>
      <w:r>
        <w:rPr>
          <w:rFonts w:ascii="Times New Roman" w:cs="Times New Roman" w:eastAsia="Times New Roman" w:hAnsi="Times New Roman"/>
          <w:sz w:val="14"/>
          <w:szCs w:val="14"/>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51" w:lineRule="exact"/>
        <w:rPr>
          <w:sz w:val="20"/>
          <w:szCs w:val="20"/>
          <w:color w:val="auto"/>
        </w:rPr>
      </w:pPr>
    </w:p>
    <w:p>
      <w:pPr>
        <w:ind w:left="660" w:hanging="145"/>
        <w:spacing w:after="0"/>
        <w:tabs>
          <w:tab w:leader="none" w:pos="66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SUBJECT TO THE PLAN.</w:t>
      </w:r>
    </w:p>
    <w:p>
      <w:pPr>
        <w:spacing w:after="0" w:line="91" w:lineRule="exact"/>
        <w:rPr>
          <w:sz w:val="20"/>
          <w:szCs w:val="20"/>
          <w:color w:val="auto"/>
        </w:rPr>
      </w:pPr>
    </w:p>
    <w:p>
      <w:pPr>
        <w:ind w:right="140" w:firstLine="515"/>
        <w:spacing w:after="0" w:line="267" w:lineRule="auto"/>
        <w:tabs>
          <w:tab w:leader="none" w:pos="702"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which may be issued from time to time pursuant to this Plan shall be five hundred eighty-three thousand two hundred forty-six (583,236),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40" w:lineRule="exact"/>
        <w:rPr>
          <w:rFonts w:ascii="Times New Roman" w:cs="Times New Roman" w:eastAsia="Times New Roman" w:hAnsi="Times New Roman"/>
          <w:sz w:val="14"/>
          <w:szCs w:val="14"/>
          <w:color w:val="auto"/>
        </w:rPr>
      </w:pPr>
    </w:p>
    <w:p>
      <w:pPr>
        <w:ind w:firstLine="515"/>
        <w:spacing w:after="0" w:line="257" w:lineRule="auto"/>
        <w:tabs>
          <w:tab w:leader="none" w:pos="71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02" w:right="339" w:bottom="1440" w:gutter="0" w:footer="0" w:header="0"/>
        </w:sectPr>
      </w:pPr>
    </w:p>
    <w:bookmarkStart w:id="350" w:name="page351"/>
    <w:bookmarkEnd w:id="350"/>
    <w:p>
      <w:pPr>
        <w:ind w:left="660" w:hanging="145"/>
        <w:spacing w:after="0"/>
        <w:tabs>
          <w:tab w:leader="none" w:pos="66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OF THE PLAN.</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Administrator of the Plan will be the Board of Directors, except to the extent the Board of Directors delegates its authority to the Committee, in which case the Committee shall be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Administrator. Subject to the provisions of the Plan, the Administrator is authorized to:</w:t>
      </w:r>
    </w:p>
    <w:p>
      <w:pPr>
        <w:spacing w:after="0" w:line="77" w:lineRule="exact"/>
        <w:rPr>
          <w:sz w:val="20"/>
          <w:szCs w:val="20"/>
          <w:color w:val="auto"/>
        </w:rPr>
      </w:pPr>
    </w:p>
    <w:p>
      <w:pPr>
        <w:ind w:left="700" w:hanging="185"/>
        <w:spacing w:after="0"/>
        <w:tabs>
          <w:tab w:leader="none" w:pos="7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Interpret the provisions of the Plan and all Stock Rights and to make all rules and determinations which it deems necessary or advisable for the administration of the Plan;</w:t>
      </w:r>
    </w:p>
    <w:p>
      <w:pPr>
        <w:spacing w:after="0" w:line="91"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which Employees, directors and Consultants shall be granted Stock Rights;</w:t>
      </w:r>
    </w:p>
    <w:p>
      <w:pPr>
        <w:spacing w:after="0" w:line="91" w:lineRule="exact"/>
        <w:rPr>
          <w:rFonts w:ascii="Times New Roman" w:cs="Times New Roman" w:eastAsia="Times New Roman" w:hAnsi="Times New Roman"/>
          <w:sz w:val="14"/>
          <w:szCs w:val="14"/>
          <w:color w:val="auto"/>
        </w:rPr>
      </w:pPr>
    </w:p>
    <w:p>
      <w:pPr>
        <w:ind w:left="700" w:hanging="185"/>
        <w:spacing w:after="0"/>
        <w:tabs>
          <w:tab w:leader="none" w:pos="7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number of Shares for which a Stock Right or Stock Rights shall be granted;</w:t>
      </w:r>
    </w:p>
    <w:p>
      <w:pPr>
        <w:spacing w:after="0" w:line="91"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terms and conditions upon which a Stock Right or Stock Rights may be granted;</w:t>
      </w:r>
    </w:p>
    <w:p>
      <w:pPr>
        <w:spacing w:after="0" w:line="91" w:lineRule="exact"/>
        <w:rPr>
          <w:rFonts w:ascii="Times New Roman" w:cs="Times New Roman" w:eastAsia="Times New Roman" w:hAnsi="Times New Roman"/>
          <w:sz w:val="14"/>
          <w:szCs w:val="14"/>
          <w:color w:val="auto"/>
        </w:rPr>
      </w:pPr>
    </w:p>
    <w:p>
      <w:pPr>
        <w:ind w:right="180" w:firstLine="515"/>
        <w:spacing w:after="0" w:line="258" w:lineRule="auto"/>
        <w:tabs>
          <w:tab w:leader="none" w:pos="702"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any term or condition of any outstanding Stock Right, including, without limitation, to reduce or increase the exercise price or purchase price,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w:t>
      </w:r>
    </w:p>
    <w:p>
      <w:pPr>
        <w:spacing w:after="0" w:line="59" w:lineRule="exact"/>
        <w:rPr>
          <w:rFonts w:ascii="Times New Roman" w:cs="Times New Roman" w:eastAsia="Times New Roman" w:hAnsi="Times New Roman"/>
          <w:sz w:val="14"/>
          <w:szCs w:val="14"/>
          <w:color w:val="auto"/>
        </w:rPr>
      </w:pPr>
    </w:p>
    <w:p>
      <w:pPr>
        <w:jc w:val="both"/>
        <w:ind w:right="100" w:firstLine="515"/>
        <w:spacing w:after="0" w:line="267" w:lineRule="auto"/>
        <w:tabs>
          <w:tab w:leader="none" w:pos="686"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 out for a payment in cash or Shares, a Stock Right previously granted and/or cancel any such Stock Right and grant in substitution therefor other Stock Rights, covering the same or a different number of Shares and having an exercise price or purchase price per share which may be lower or higher than the exercise price or purchase price of the cancelled Stock Right, based on such terms and conditions as the Administrator shall establish and the Participant shall accept; and</w:t>
      </w:r>
    </w:p>
    <w:p>
      <w:pPr>
        <w:spacing w:after="0" w:line="40" w:lineRule="exact"/>
        <w:rPr>
          <w:rFonts w:ascii="Times New Roman" w:cs="Times New Roman" w:eastAsia="Times New Roman" w:hAnsi="Times New Roman"/>
          <w:sz w:val="14"/>
          <w:szCs w:val="14"/>
          <w:color w:val="auto"/>
        </w:rPr>
      </w:pPr>
    </w:p>
    <w:p>
      <w:pPr>
        <w:jc w:val="both"/>
        <w:ind w:right="100" w:firstLine="515"/>
        <w:spacing w:after="0" w:line="267" w:lineRule="auto"/>
        <w:tabs>
          <w:tab w:leader="none" w:pos="71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41" w:lineRule="exact"/>
        <w:rPr>
          <w:sz w:val="20"/>
          <w:szCs w:val="20"/>
          <w:color w:val="auto"/>
        </w:rPr>
      </w:pPr>
    </w:p>
    <w:p>
      <w:pPr>
        <w:jc w:val="both"/>
        <w:ind w:right="80" w:firstLine="511"/>
        <w:spacing w:after="0" w:line="283" w:lineRule="auto"/>
        <w:rPr>
          <w:sz w:val="20"/>
          <w:szCs w:val="20"/>
          <w:color w:val="auto"/>
        </w:rPr>
      </w:pPr>
      <w:r>
        <w:rPr>
          <w:rFonts w:ascii="Times New Roman" w:cs="Times New Roman" w:eastAsia="Times New Roman" w:hAnsi="Times New Roman"/>
          <w:sz w:val="14"/>
          <w:szCs w:val="14"/>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w:t>
      </w:r>
    </w:p>
    <w:p>
      <w:pPr>
        <w:spacing w:after="0" w:line="41" w:lineRule="exact"/>
        <w:rPr>
          <w:sz w:val="20"/>
          <w:szCs w:val="20"/>
          <w:color w:val="auto"/>
        </w:rPr>
      </w:pPr>
    </w:p>
    <w:p>
      <w:pPr>
        <w:ind w:left="660" w:hanging="145"/>
        <w:spacing w:after="0"/>
        <w:tabs>
          <w:tab w:leader="none" w:pos="6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 FOR PARTICIPATION.</w:t>
      </w:r>
    </w:p>
    <w:p>
      <w:pPr>
        <w:spacing w:after="0" w:line="91"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4"/>
          <w:szCs w:val="14"/>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59" w:lineRule="exact"/>
        <w:rPr>
          <w:sz w:val="20"/>
          <w:szCs w:val="20"/>
          <w:color w:val="auto"/>
        </w:rPr>
      </w:pPr>
    </w:p>
    <w:p>
      <w:pPr>
        <w:ind w:left="660" w:hanging="145"/>
        <w:spacing w:after="0"/>
        <w:tabs>
          <w:tab w:leader="none" w:pos="66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 OF OPTIONS.</w:t>
      </w:r>
    </w:p>
    <w:p>
      <w:pPr>
        <w:spacing w:after="0" w:line="91"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4"/>
          <w:szCs w:val="14"/>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1" w:name="page352"/>
    <w:bookmarkEnd w:id="351"/>
    <w:p>
      <w:pPr>
        <w:ind w:right="220" w:firstLine="515"/>
        <w:spacing w:after="0" w:line="283" w:lineRule="auto"/>
        <w:tabs>
          <w:tab w:leader="none" w:pos="70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Non-Qualified Options</w:t>
      </w:r>
      <w:r>
        <w:rPr>
          <w:rFonts w:ascii="Times New Roman" w:cs="Times New Roman" w:eastAsia="Times New Roman" w:hAnsi="Times New Roman"/>
          <w:sz w:val="14"/>
          <w:szCs w:val="14"/>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40" w:lineRule="exact"/>
        <w:rPr>
          <w:rFonts w:ascii="Times New Roman" w:cs="Times New Roman" w:eastAsia="Times New Roman" w:hAnsi="Times New Roman"/>
          <w:sz w:val="14"/>
          <w:szCs w:val="14"/>
          <w:color w:val="auto"/>
        </w:rPr>
      </w:pPr>
    </w:p>
    <w:p>
      <w:pPr>
        <w:ind w:left="1660" w:right="100" w:hanging="513"/>
        <w:spacing w:after="0" w:line="261" w:lineRule="auto"/>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to whom Section 409A of the Code does not apply.</w:t>
      </w:r>
    </w:p>
    <w:p>
      <w:pPr>
        <w:spacing w:after="0" w:line="56"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Each Option Agreement shall state the number of Shares to which it pertains.</w:t>
      </w:r>
    </w:p>
    <w:p>
      <w:pPr>
        <w:spacing w:after="0" w:line="91" w:lineRule="exact"/>
        <w:rPr>
          <w:rFonts w:ascii="Times New Roman" w:cs="Times New Roman" w:eastAsia="Times New Roman" w:hAnsi="Times New Roman"/>
          <w:sz w:val="14"/>
          <w:szCs w:val="14"/>
          <w:color w:val="auto"/>
        </w:rPr>
      </w:pPr>
    </w:p>
    <w:p>
      <w:pPr>
        <w:ind w:left="1660" w:hanging="513"/>
        <w:spacing w:after="0" w:line="261" w:lineRule="auto"/>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Periods</w:t>
      </w:r>
      <w:r>
        <w:rPr>
          <w:rFonts w:ascii="Times New Roman" w:cs="Times New Roman" w:eastAsia="Times New Roman" w:hAnsi="Times New Roman"/>
          <w:sz w:val="14"/>
          <w:szCs w:val="14"/>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 For California Participants, the exercise period of the Option set forth in the Option Agreement shall not be more than 120 months from the date of grant.</w:t>
      </w:r>
    </w:p>
    <w:p>
      <w:pPr>
        <w:spacing w:after="0" w:line="56" w:lineRule="exact"/>
        <w:rPr>
          <w:rFonts w:ascii="Times New Roman" w:cs="Times New Roman" w:eastAsia="Times New Roman" w:hAnsi="Times New Roman"/>
          <w:sz w:val="14"/>
          <w:szCs w:val="14"/>
          <w:color w:val="auto"/>
        </w:rPr>
      </w:pPr>
    </w:p>
    <w:p>
      <w:pPr>
        <w:ind w:left="1660" w:right="180" w:hanging="513"/>
        <w:spacing w:after="0" w:line="283" w:lineRule="auto"/>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Conditions</w:t>
      </w:r>
      <w:r>
        <w:rPr>
          <w:rFonts w:ascii="Times New Roman" w:cs="Times New Roman" w:eastAsia="Times New Roman" w:hAnsi="Times New Roman"/>
          <w:sz w:val="14"/>
          <w:szCs w:val="14"/>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40" w:lineRule="exact"/>
        <w:rPr>
          <w:rFonts w:ascii="Times New Roman" w:cs="Times New Roman" w:eastAsia="Times New Roman" w:hAnsi="Times New Roman"/>
          <w:sz w:val="14"/>
          <w:szCs w:val="14"/>
          <w:color w:val="auto"/>
        </w:rPr>
      </w:pPr>
    </w:p>
    <w:p>
      <w:pPr>
        <w:ind w:left="2300" w:hanging="507"/>
        <w:spacing w:after="0"/>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Participant’s or the Participant’s Survivors’ right to sell or transfer the Shares may be restricted; and</w:t>
      </w:r>
    </w:p>
    <w:p>
      <w:pPr>
        <w:spacing w:after="0" w:line="91" w:lineRule="exact"/>
        <w:rPr>
          <w:rFonts w:ascii="Times New Roman" w:cs="Times New Roman" w:eastAsia="Times New Roman" w:hAnsi="Times New Roman"/>
          <w:sz w:val="14"/>
          <w:szCs w:val="14"/>
          <w:color w:val="auto"/>
        </w:rPr>
      </w:pPr>
    </w:p>
    <w:p>
      <w:pPr>
        <w:ind w:left="2300" w:right="380" w:hanging="507"/>
        <w:spacing w:after="0" w:line="283" w:lineRule="auto"/>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or the Participant’s Survivors may be required to execute letters of investment intent and must also acknowledge that the Shares will bear legends noting any applicable restrictions.</w:t>
      </w:r>
    </w:p>
    <w:p>
      <w:pPr>
        <w:spacing w:after="0" w:line="40"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Option</w:t>
      </w:r>
      <w:r>
        <w:rPr>
          <w:rFonts w:ascii="Times New Roman" w:cs="Times New Roman" w:eastAsia="Times New Roman" w:hAnsi="Times New Roman"/>
          <w:sz w:val="14"/>
          <w:szCs w:val="14"/>
          <w:color w:val="auto"/>
        </w:rPr>
        <w:t>: Each Option shall terminate not more than ten years from the date of the grant or at such earlier time as the Option Agreement may provide.</w:t>
      </w:r>
    </w:p>
    <w:p>
      <w:pPr>
        <w:spacing w:after="0" w:line="91" w:lineRule="exact"/>
        <w:rPr>
          <w:rFonts w:ascii="Times New Roman" w:cs="Times New Roman" w:eastAsia="Times New Roman" w:hAnsi="Times New Roman"/>
          <w:sz w:val="14"/>
          <w:szCs w:val="14"/>
          <w:color w:val="auto"/>
        </w:rPr>
      </w:pPr>
    </w:p>
    <w:p>
      <w:pPr>
        <w:ind w:firstLine="515"/>
        <w:spacing w:after="0" w:line="267" w:lineRule="auto"/>
        <w:tabs>
          <w:tab w:leader="none" w:pos="71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ISOs</w:t>
      </w:r>
      <w:r>
        <w:rPr>
          <w:rFonts w:ascii="Times New Roman" w:cs="Times New Roman" w:eastAsia="Times New Roman" w:hAnsi="Times New Roman"/>
          <w:sz w:val="14"/>
          <w:szCs w:val="14"/>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24" w:lineRule="exact"/>
        <w:rPr>
          <w:rFonts w:ascii="Times New Roman" w:cs="Times New Roman" w:eastAsia="Times New Roman" w:hAnsi="Times New Roman"/>
          <w:sz w:val="14"/>
          <w:szCs w:val="14"/>
          <w:color w:val="auto"/>
        </w:rPr>
      </w:pPr>
    </w:p>
    <w:p>
      <w:pPr>
        <w:ind w:left="1660" w:right="440" w:hanging="513"/>
        <w:spacing w:after="0" w:line="283" w:lineRule="auto"/>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Minimum standards</w:t>
      </w:r>
      <w:r>
        <w:rPr>
          <w:rFonts w:ascii="Times New Roman" w:cs="Times New Roman" w:eastAsia="Times New Roman" w:hAnsi="Times New Roman"/>
          <w:sz w:val="14"/>
          <w:szCs w:val="14"/>
          <w:color w:val="auto"/>
        </w:rPr>
        <w:t>: The ISO shall meet the minimum standards required of Non-Qualified Options, as described in Paragraph 6(a) above, except clause (i) and (v) thereunder.</w:t>
      </w:r>
    </w:p>
    <w:p>
      <w:pPr>
        <w:spacing w:after="0" w:line="40"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Immediately before the ISO is granted, if the Participant owns, directly or by reason of the applicable attribution rules in Section 424(d) of the Code:</w:t>
      </w:r>
    </w:p>
    <w:p>
      <w:pPr>
        <w:spacing w:after="0" w:line="91" w:lineRule="exact"/>
        <w:rPr>
          <w:rFonts w:ascii="Times New Roman" w:cs="Times New Roman" w:eastAsia="Times New Roman" w:hAnsi="Times New Roman"/>
          <w:sz w:val="14"/>
          <w:szCs w:val="14"/>
          <w:color w:val="auto"/>
        </w:rPr>
      </w:pPr>
    </w:p>
    <w:p>
      <w:pPr>
        <w:ind w:left="2300" w:hanging="507"/>
        <w:spacing w:after="0" w:line="283" w:lineRule="auto"/>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u w:val="single" w:color="auto"/>
          <w:color w:val="auto"/>
        </w:rPr>
        <w:t>or less</w:t>
      </w:r>
      <w:r>
        <w:rPr>
          <w:rFonts w:ascii="Times New Roman" w:cs="Times New Roman" w:eastAsia="Times New Roman" w:hAnsi="Times New Roman"/>
          <w:sz w:val="14"/>
          <w:szCs w:val="14"/>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40" w:lineRule="exact"/>
        <w:rPr>
          <w:rFonts w:ascii="Times New Roman" w:cs="Times New Roman" w:eastAsia="Times New Roman" w:hAnsi="Times New Roman"/>
          <w:sz w:val="14"/>
          <w:szCs w:val="14"/>
          <w:color w:val="auto"/>
        </w:rPr>
      </w:pPr>
    </w:p>
    <w:p>
      <w:pPr>
        <w:ind w:left="2300" w:right="80" w:hanging="507"/>
        <w:spacing w:after="0" w:line="283" w:lineRule="auto"/>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40"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Option</w:t>
      </w:r>
      <w:r>
        <w:rPr>
          <w:rFonts w:ascii="Times New Roman" w:cs="Times New Roman" w:eastAsia="Times New Roman" w:hAnsi="Times New Roman"/>
          <w:sz w:val="14"/>
          <w:szCs w:val="14"/>
          <w:color w:val="auto"/>
        </w:rPr>
        <w:t>: For Participants who own:</w:t>
      </w:r>
    </w:p>
    <w:p>
      <w:pPr>
        <w:spacing w:after="0" w:line="91" w:lineRule="exact"/>
        <w:rPr>
          <w:rFonts w:ascii="Times New Roman" w:cs="Times New Roman" w:eastAsia="Times New Roman" w:hAnsi="Times New Roman"/>
          <w:sz w:val="14"/>
          <w:szCs w:val="14"/>
          <w:color w:val="auto"/>
        </w:rPr>
      </w:pPr>
    </w:p>
    <w:p>
      <w:pPr>
        <w:ind w:left="2300" w:hanging="507"/>
        <w:spacing w:after="0" w:line="283" w:lineRule="auto"/>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u w:val="single" w:color="auto"/>
          <w:color w:val="auto"/>
        </w:rPr>
        <w:t>or less</w:t>
      </w:r>
      <w:r>
        <w:rPr>
          <w:rFonts w:ascii="Times New Roman" w:cs="Times New Roman" w:eastAsia="Times New Roman" w:hAnsi="Times New Roman"/>
          <w:sz w:val="14"/>
          <w:szCs w:val="14"/>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40" w:lineRule="exact"/>
        <w:rPr>
          <w:rFonts w:ascii="Times New Roman" w:cs="Times New Roman" w:eastAsia="Times New Roman" w:hAnsi="Times New Roman"/>
          <w:sz w:val="14"/>
          <w:szCs w:val="14"/>
          <w:color w:val="auto"/>
        </w:rPr>
      </w:pPr>
    </w:p>
    <w:p>
      <w:pPr>
        <w:ind w:left="2300" w:right="240" w:hanging="507"/>
        <w:spacing w:after="0" w:line="283" w:lineRule="auto"/>
        <w:tabs>
          <w:tab w:leader="none" w:pos="2300" w:val="left"/>
        </w:tabs>
        <w:numPr>
          <w:ilvl w:val="2"/>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40" w:lineRule="exact"/>
        <w:rPr>
          <w:rFonts w:ascii="Times New Roman" w:cs="Times New Roman" w:eastAsia="Times New Roman" w:hAnsi="Times New Roman"/>
          <w:sz w:val="14"/>
          <w:szCs w:val="14"/>
          <w:color w:val="auto"/>
        </w:rPr>
      </w:pPr>
    </w:p>
    <w:p>
      <w:pPr>
        <w:ind w:left="1660" w:right="80" w:hanging="513"/>
        <w:spacing w:after="0" w:line="267" w:lineRule="auto"/>
        <w:tabs>
          <w:tab w:leader="none" w:pos="16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Yearly Exercise</w:t>
      </w:r>
      <w:r>
        <w:rPr>
          <w:rFonts w:ascii="Times New Roman" w:cs="Times New Roman" w:eastAsia="Times New Roman" w:hAnsi="Times New Roman"/>
          <w:sz w:val="14"/>
          <w:szCs w:val="14"/>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52" w:name="page353"/>
    <w:bookmarkEnd w:id="352"/>
    <w:p>
      <w:pPr>
        <w:ind w:left="660" w:hanging="145"/>
        <w:spacing w:after="0"/>
        <w:tabs>
          <w:tab w:leader="none" w:pos="66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 OF STOCK GRANTS.</w:t>
      </w:r>
    </w:p>
    <w:p>
      <w:pPr>
        <w:spacing w:after="0" w:line="175" w:lineRule="exact"/>
        <w:rPr>
          <w:sz w:val="20"/>
          <w:szCs w:val="20"/>
          <w:color w:val="auto"/>
        </w:rPr>
      </w:pPr>
    </w:p>
    <w:p>
      <w:pPr>
        <w:ind w:right="340" w:firstLine="511"/>
        <w:spacing w:after="0" w:line="261" w:lineRule="auto"/>
        <w:rPr>
          <w:sz w:val="20"/>
          <w:szCs w:val="20"/>
          <w:color w:val="auto"/>
        </w:rPr>
      </w:pPr>
      <w:r>
        <w:rPr>
          <w:rFonts w:ascii="Times New Roman" w:cs="Times New Roman" w:eastAsia="Times New Roman" w:hAnsi="Times New Roman"/>
          <w:sz w:val="14"/>
          <w:szCs w:val="14"/>
          <w:color w:val="auto"/>
        </w:rPr>
        <w:t>Each Stock Grant to a Participant shall state the principal terms in an Agreement duly executed by the Company and, to the extent required by law or requested by the Company, by the Participant. For California Participants, each Stock Grant shall be issued within ten (10) years from the earlier of the date the Plan is adopted or approved by the Company’s shareholders. The Agreement shall be in a form approved by the Administrator and shall contain terms and conditions which the Administrator determines to be appropriate and in the best interest of the Company, subject to the following minimum standards:</w:t>
      </w:r>
    </w:p>
    <w:p>
      <w:pPr>
        <w:spacing w:after="0" w:line="46" w:lineRule="exact"/>
        <w:rPr>
          <w:sz w:val="20"/>
          <w:szCs w:val="20"/>
          <w:color w:val="auto"/>
        </w:rPr>
      </w:pPr>
    </w:p>
    <w:p>
      <w:pPr>
        <w:ind w:right="60" w:firstLine="515"/>
        <w:spacing w:after="0" w:line="283" w:lineRule="auto"/>
        <w:tabs>
          <w:tab w:leader="none" w:pos="702"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40"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Agreement shall state the number of Shares to which the Stock Grant pertains; and</w:t>
      </w:r>
    </w:p>
    <w:p>
      <w:pPr>
        <w:spacing w:after="0" w:line="91" w:lineRule="exact"/>
        <w:rPr>
          <w:rFonts w:ascii="Times New Roman" w:cs="Times New Roman" w:eastAsia="Times New Roman" w:hAnsi="Times New Roman"/>
          <w:sz w:val="14"/>
          <w:szCs w:val="14"/>
          <w:color w:val="auto"/>
        </w:rPr>
      </w:pPr>
    </w:p>
    <w:p>
      <w:pPr>
        <w:ind w:right="240" w:firstLine="515"/>
        <w:spacing w:after="0" w:line="283" w:lineRule="auto"/>
        <w:tabs>
          <w:tab w:leader="none" w:pos="702"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41" w:lineRule="exact"/>
        <w:rPr>
          <w:sz w:val="20"/>
          <w:szCs w:val="20"/>
          <w:color w:val="auto"/>
        </w:rPr>
      </w:pPr>
    </w:p>
    <w:p>
      <w:pPr>
        <w:ind w:left="660" w:hanging="145"/>
        <w:spacing w:after="0"/>
        <w:tabs>
          <w:tab w:leader="none" w:pos="66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 OF OTHER STOCK-BASED AWARDS.</w:t>
      </w:r>
    </w:p>
    <w:p>
      <w:pPr>
        <w:spacing w:after="0" w:line="91" w:lineRule="exact"/>
        <w:rPr>
          <w:sz w:val="20"/>
          <w:szCs w:val="20"/>
          <w:color w:val="auto"/>
        </w:rPr>
      </w:pPr>
    </w:p>
    <w:p>
      <w:pPr>
        <w:ind w:right="60" w:firstLine="511"/>
        <w:spacing w:after="0" w:line="261" w:lineRule="auto"/>
        <w:rPr>
          <w:sz w:val="20"/>
          <w:szCs w:val="20"/>
          <w:color w:val="auto"/>
        </w:rPr>
      </w:pPr>
      <w:r>
        <w:rPr>
          <w:rFonts w:ascii="Times New Roman" w:cs="Times New Roman" w:eastAsia="Times New Roman" w:hAnsi="Times New Roman"/>
          <w:sz w:val="14"/>
          <w:szCs w:val="14"/>
          <w:color w:val="auto"/>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intends that the Plan and any Stock-Based Awards granted hereunder be exempt from the application of Section 409A of the Code or meet the requirements of paragraphs (2),</w:t>
      </w:r>
    </w:p>
    <w:p>
      <w:pPr>
        <w:spacing w:after="0" w:line="22" w:lineRule="exact"/>
        <w:rPr>
          <w:sz w:val="20"/>
          <w:szCs w:val="20"/>
          <w:color w:val="auto"/>
        </w:rPr>
      </w:pPr>
    </w:p>
    <w:p>
      <w:pPr>
        <w:jc w:val="both"/>
        <w:ind w:right="60" w:firstLine="4"/>
        <w:spacing w:after="0" w:line="256" w:lineRule="auto"/>
        <w:tabs>
          <w:tab w:leader="none" w:pos="198"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(4) of subsection (a) of Section 409A of the Code, to the extent applicable, and be operated in accordance with Section 409A so that any compensation deferred under any Stock- Based Award (and applicable investment earnings) shall not be included in income under Section 409A of the Code. Any ambiguities in the Plan shall be construed to effect the intent as described in this Paragraph 8.</w:t>
      </w:r>
    </w:p>
    <w:p>
      <w:pPr>
        <w:spacing w:after="0" w:line="58"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OPTIONS AND ISSUE OF SHARES.</w:t>
      </w:r>
    </w:p>
    <w:p>
      <w:pPr>
        <w:spacing w:after="0" w:line="91" w:lineRule="exact"/>
        <w:rPr>
          <w:sz w:val="20"/>
          <w:szCs w:val="20"/>
          <w:color w:val="auto"/>
        </w:rPr>
      </w:pPr>
    </w:p>
    <w:p>
      <w:pPr>
        <w:ind w:right="40" w:firstLine="511"/>
        <w:spacing w:after="0" w:line="252" w:lineRule="auto"/>
        <w:rPr>
          <w:sz w:val="20"/>
          <w:szCs w:val="20"/>
          <w:color w:val="auto"/>
        </w:rPr>
      </w:pPr>
      <w:r>
        <w:rPr>
          <w:rFonts w:ascii="Times New Roman" w:cs="Times New Roman" w:eastAsia="Times New Roman" w:hAnsi="Times New Roman"/>
          <w:sz w:val="14"/>
          <w:szCs w:val="14"/>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(e) at the discretion of the Administrator, in accordance with a cashless exercise program established with a securities brokerage firm, and approved by the Administrator, or (f) at the discretion of the Administrator, by any combination of (a), (b), (c), (d) and (e) above or</w:t>
      </w:r>
    </w:p>
    <w:p>
      <w:pPr>
        <w:spacing w:after="0" w:line="5" w:lineRule="exact"/>
        <w:rPr>
          <w:sz w:val="20"/>
          <w:szCs w:val="20"/>
          <w:color w:val="auto"/>
        </w:rPr>
      </w:pPr>
    </w:p>
    <w:p>
      <w:pPr>
        <w:ind w:right="120" w:firstLine="4"/>
        <w:spacing w:after="0" w:line="261" w:lineRule="auto"/>
        <w:tabs>
          <w:tab w:leader="none" w:pos="198"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40"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02" w:right="359" w:bottom="1440" w:gutter="0" w:footer="0" w:header="0"/>
        </w:sectPr>
      </w:pPr>
    </w:p>
    <w:bookmarkStart w:id="353" w:name="page354"/>
    <w:bookmarkEnd w:id="353"/>
    <w:p>
      <w:pPr>
        <w:ind w:left="720" w:hanging="205"/>
        <w:spacing w:after="0"/>
        <w:tabs>
          <w:tab w:leader="none" w:pos="72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IN CONNECTION WITH THE ISSUANCE OF STOCK GRANTS AND STOCK-BASED AWARDS AND ISSUE OF SHARES.</w:t>
      </w:r>
    </w:p>
    <w:p>
      <w:pPr>
        <w:spacing w:after="0" w:line="91"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(d) at the discretion of the Administrator, by any combination of (a), (b) and (c) above; or (e) at the discretion of the Administrator, by payment of such other lawful consideration as the Administrator may determine.</w:t>
      </w:r>
    </w:p>
    <w:p>
      <w:pPr>
        <w:spacing w:after="0" w:line="143"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46" w:lineRule="exact"/>
        <w:rPr>
          <w:sz w:val="20"/>
          <w:szCs w:val="20"/>
          <w:color w:val="auto"/>
        </w:rPr>
      </w:pPr>
    </w:p>
    <w:p>
      <w:pPr>
        <w:ind w:left="720" w:hanging="205"/>
        <w:spacing w:after="0"/>
        <w:tabs>
          <w:tab w:leader="none" w:pos="7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A SHAREHOLDER.</w:t>
      </w:r>
    </w:p>
    <w:p>
      <w:pPr>
        <w:spacing w:after="0" w:line="91" w:lineRule="exact"/>
        <w:rPr>
          <w:sz w:val="20"/>
          <w:szCs w:val="20"/>
          <w:color w:val="auto"/>
        </w:rPr>
      </w:pPr>
    </w:p>
    <w:p>
      <w:pPr>
        <w:ind w:right="20" w:firstLine="511"/>
        <w:spacing w:after="0" w:line="267" w:lineRule="auto"/>
        <w:rPr>
          <w:sz w:val="20"/>
          <w:szCs w:val="20"/>
          <w:color w:val="auto"/>
        </w:rPr>
      </w:pPr>
      <w:r>
        <w:rPr>
          <w:rFonts w:ascii="Times New Roman" w:cs="Times New Roman" w:eastAsia="Times New Roman" w:hAnsi="Times New Roman"/>
          <w:sz w:val="14"/>
          <w:szCs w:val="14"/>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51" w:lineRule="exact"/>
        <w:rPr>
          <w:sz w:val="20"/>
          <w:szCs w:val="20"/>
          <w:color w:val="auto"/>
        </w:rPr>
      </w:pPr>
    </w:p>
    <w:p>
      <w:pPr>
        <w:ind w:left="720" w:hanging="205"/>
        <w:spacing w:after="0"/>
        <w:tabs>
          <w:tab w:leader="none" w:pos="72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ASSIGNABILITY AND TRANSFERABILITY OF STOCK RIGHTS.</w:t>
      </w:r>
    </w:p>
    <w:p>
      <w:pPr>
        <w:spacing w:after="0" w:line="9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For California Participants, Stock Rights shall not be transferable by the Participant other than by will or by the laws of descent and distribution, to a revocable trust, or as permitted by Rule 701 of the Securities Act.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61" w:lineRule="exact"/>
        <w:rPr>
          <w:sz w:val="20"/>
          <w:szCs w:val="20"/>
          <w:color w:val="auto"/>
        </w:rPr>
      </w:pPr>
    </w:p>
    <w:p>
      <w:pPr>
        <w:ind w:left="720" w:hanging="205"/>
        <w:spacing w:after="0"/>
        <w:tabs>
          <w:tab w:leader="none" w:pos="7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OPTIONS OF TERMINATION OF SERVICE OTHER THAN FOR CAUSE OR DEATH OR DISABILITY.</w:t>
      </w:r>
    </w:p>
    <w:p>
      <w:pPr>
        <w:spacing w:after="0" w:line="91"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125" w:lineRule="exact"/>
        <w:rPr>
          <w:sz w:val="20"/>
          <w:szCs w:val="20"/>
          <w:color w:val="auto"/>
        </w:rPr>
      </w:pPr>
    </w:p>
    <w:p>
      <w:pPr>
        <w:ind w:firstLine="515"/>
        <w:spacing w:after="0" w:line="267" w:lineRule="auto"/>
        <w:tabs>
          <w:tab w:leader="none" w:pos="70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51" w:lineRule="exact"/>
        <w:rPr>
          <w:rFonts w:ascii="Times New Roman" w:cs="Times New Roman" w:eastAsia="Times New Roman" w:hAnsi="Times New Roman"/>
          <w:sz w:val="14"/>
          <w:szCs w:val="14"/>
          <w:color w:val="auto"/>
        </w:rPr>
      </w:pPr>
    </w:p>
    <w:p>
      <w:pPr>
        <w:ind w:right="440" w:firstLine="515"/>
        <w:spacing w:after="0" w:line="283" w:lineRule="auto"/>
        <w:tabs>
          <w:tab w:leader="none" w:pos="71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Subparagraph (c) below, or Paragraph 15 or 16, in no event may an Option intended to be an ISO, be exercised later than three months after the Participant’s termination of employment. For Options granted to California Participants, an Option must be exercisable for at least thirty (30) days from the date of a Participant’s termination of employment.</w:t>
      </w:r>
    </w:p>
    <w:p>
      <w:pPr>
        <w:spacing w:after="0" w:line="30" w:lineRule="exact"/>
        <w:rPr>
          <w:rFonts w:ascii="Times New Roman" w:cs="Times New Roman" w:eastAsia="Times New Roman" w:hAnsi="Times New Roman"/>
          <w:sz w:val="14"/>
          <w:szCs w:val="14"/>
          <w:color w:val="auto"/>
        </w:rPr>
      </w:pPr>
    </w:p>
    <w:p>
      <w:pPr>
        <w:ind w:firstLine="515"/>
        <w:spacing w:after="0" w:line="261" w:lineRule="auto"/>
        <w:tabs>
          <w:tab w:leader="none" w:pos="70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4" w:name="page355"/>
    <w:bookmarkEnd w:id="354"/>
    <w:p>
      <w:pPr>
        <w:ind w:right="200" w:firstLine="515"/>
        <w:spacing w:after="0" w:line="267" w:lineRule="auto"/>
        <w:tabs>
          <w:tab w:leader="none" w:pos="71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51" w:lineRule="exact"/>
        <w:rPr>
          <w:rFonts w:ascii="Times New Roman" w:cs="Times New Roman" w:eastAsia="Times New Roman" w:hAnsi="Times New Roman"/>
          <w:sz w:val="14"/>
          <w:szCs w:val="14"/>
          <w:color w:val="auto"/>
        </w:rPr>
      </w:pPr>
    </w:p>
    <w:p>
      <w:pPr>
        <w:ind w:right="80" w:firstLine="515"/>
        <w:spacing w:after="0" w:line="258" w:lineRule="auto"/>
        <w:tabs>
          <w:tab w:leader="none" w:pos="702"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Times New Roman" w:cs="Times New Roman" w:eastAsia="Times New Roman" w:hAnsi="Times New Roman"/>
          <w:sz w:val="7"/>
          <w:szCs w:val="7"/>
          <w:color w:val="auto"/>
        </w:rPr>
        <w:t>st</w:t>
      </w:r>
      <w:r>
        <w:rPr>
          <w:rFonts w:ascii="Times New Roman" w:cs="Times New Roman" w:eastAsia="Times New Roman" w:hAnsi="Times New Roman"/>
          <w:sz w:val="14"/>
          <w:szCs w:val="14"/>
          <w:color w:val="auto"/>
        </w:rPr>
        <w:t xml:space="preserve"> day following such leave of absence.</w:t>
      </w:r>
    </w:p>
    <w:p>
      <w:pPr>
        <w:spacing w:after="0" w:line="59" w:lineRule="exact"/>
        <w:rPr>
          <w:rFonts w:ascii="Times New Roman" w:cs="Times New Roman" w:eastAsia="Times New Roman" w:hAnsi="Times New Roman"/>
          <w:sz w:val="14"/>
          <w:szCs w:val="14"/>
          <w:color w:val="auto"/>
        </w:rPr>
      </w:pPr>
    </w:p>
    <w:p>
      <w:pPr>
        <w:ind w:right="120" w:firstLine="515"/>
        <w:spacing w:after="0" w:line="283" w:lineRule="auto"/>
        <w:tabs>
          <w:tab w:leader="none" w:pos="686"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41" w:lineRule="exact"/>
        <w:rPr>
          <w:sz w:val="20"/>
          <w:szCs w:val="20"/>
          <w:color w:val="auto"/>
        </w:rPr>
      </w:pPr>
    </w:p>
    <w:p>
      <w:pPr>
        <w:ind w:left="720" w:hanging="205"/>
        <w:spacing w:after="0"/>
        <w:tabs>
          <w:tab w:leader="none" w:pos="7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OPTIONS OF TERMINATION OF SERVICE FOR CAUSE.</w:t>
      </w:r>
    </w:p>
    <w:p>
      <w:pPr>
        <w:spacing w:after="0" w:line="91" w:lineRule="exact"/>
        <w:rPr>
          <w:sz w:val="20"/>
          <w:szCs w:val="20"/>
          <w:color w:val="auto"/>
        </w:rPr>
      </w:pPr>
    </w:p>
    <w:p>
      <w:pPr>
        <w:ind w:right="20" w:firstLine="511"/>
        <w:spacing w:after="0" w:line="283" w:lineRule="auto"/>
        <w:rPr>
          <w:sz w:val="20"/>
          <w:szCs w:val="20"/>
          <w:color w:val="auto"/>
        </w:rPr>
      </w:pPr>
      <w:r>
        <w:rPr>
          <w:rFonts w:ascii="Times New Roman" w:cs="Times New Roman" w:eastAsia="Times New Roman" w:hAnsi="Times New Roman"/>
          <w:sz w:val="14"/>
          <w:szCs w:val="14"/>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41" w:lineRule="exact"/>
        <w:rPr>
          <w:sz w:val="20"/>
          <w:szCs w:val="20"/>
          <w:color w:val="auto"/>
        </w:rPr>
      </w:pPr>
    </w:p>
    <w:p>
      <w:pPr>
        <w:ind w:left="700" w:hanging="185"/>
        <w:spacing w:after="0"/>
        <w:tabs>
          <w:tab w:leader="none" w:pos="7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and unexercised Options as of the time the Participant is notified his or her service is terminated for Cause will immediately be forfeited.</w:t>
      </w:r>
    </w:p>
    <w:p>
      <w:pPr>
        <w:spacing w:after="0" w:line="91" w:lineRule="exact"/>
        <w:rPr>
          <w:rFonts w:ascii="Times New Roman" w:cs="Times New Roman" w:eastAsia="Times New Roman" w:hAnsi="Times New Roman"/>
          <w:sz w:val="14"/>
          <w:szCs w:val="14"/>
          <w:color w:val="auto"/>
        </w:rPr>
      </w:pPr>
    </w:p>
    <w:p>
      <w:pPr>
        <w:ind w:right="80" w:firstLine="515"/>
        <w:spacing w:after="0" w:line="267" w:lineRule="auto"/>
        <w:tabs>
          <w:tab w:leader="none" w:pos="71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41" w:lineRule="exact"/>
        <w:rPr>
          <w:sz w:val="20"/>
          <w:szCs w:val="20"/>
          <w:color w:val="auto"/>
        </w:rPr>
      </w:pPr>
    </w:p>
    <w:p>
      <w:pPr>
        <w:ind w:left="720" w:hanging="205"/>
        <w:spacing w:after="0"/>
        <w:tabs>
          <w:tab w:leader="none" w:pos="72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OPTIONS OF TERMINATION OF SERVICE FOR DISABILITY.</w:t>
      </w:r>
    </w:p>
    <w:p>
      <w:pPr>
        <w:spacing w:after="0" w:line="91" w:lineRule="exact"/>
        <w:rPr>
          <w:sz w:val="20"/>
          <w:szCs w:val="20"/>
          <w:color w:val="auto"/>
        </w:rPr>
      </w:pPr>
    </w:p>
    <w:p>
      <w:pPr>
        <w:ind w:right="400" w:firstLine="515"/>
        <w:spacing w:after="0" w:line="283" w:lineRule="auto"/>
        <w:tabs>
          <w:tab w:leader="none" w:pos="702"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a Participant’s Option Agreement a Participant who ceases to be an Employee, director or Consultant of the Company or of an Affiliate by reason of Disability may exercise any Option granted to such Participant:</w:t>
      </w:r>
    </w:p>
    <w:p>
      <w:pPr>
        <w:spacing w:after="0" w:line="40"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Option has become exercisable but has not been exercised on the date of the Participant’s termination of service due to Disability; and</w:t>
      </w:r>
    </w:p>
    <w:p>
      <w:pPr>
        <w:spacing w:after="0" w:line="91" w:lineRule="exact"/>
        <w:rPr>
          <w:rFonts w:ascii="Times New Roman" w:cs="Times New Roman" w:eastAsia="Times New Roman" w:hAnsi="Times New Roman"/>
          <w:sz w:val="14"/>
          <w:szCs w:val="14"/>
          <w:color w:val="auto"/>
        </w:rPr>
      </w:pPr>
    </w:p>
    <w:p>
      <w:pPr>
        <w:jc w:val="both"/>
        <w:ind w:left="1660" w:hanging="513"/>
        <w:spacing w:after="0" w:line="267" w:lineRule="auto"/>
        <w:tabs>
          <w:tab w:leader="none" w:pos="1660"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51" w:lineRule="exact"/>
        <w:rPr>
          <w:rFonts w:ascii="Times New Roman" w:cs="Times New Roman" w:eastAsia="Times New Roman" w:hAnsi="Times New Roman"/>
          <w:sz w:val="14"/>
          <w:szCs w:val="14"/>
          <w:color w:val="auto"/>
        </w:rPr>
      </w:pPr>
    </w:p>
    <w:p>
      <w:pPr>
        <w:jc w:val="both"/>
        <w:ind w:right="100" w:firstLine="515"/>
        <w:spacing w:after="0" w:line="261" w:lineRule="auto"/>
        <w:tabs>
          <w:tab w:leader="none" w:pos="71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 For Options granted to California Participants, a Participant may exercise such rights for at least six (6) months from the date of termination of service due to Disability.</w:t>
      </w:r>
    </w:p>
    <w:p>
      <w:pPr>
        <w:spacing w:after="0" w:line="56" w:lineRule="exact"/>
        <w:rPr>
          <w:rFonts w:ascii="Times New Roman" w:cs="Times New Roman" w:eastAsia="Times New Roman" w:hAnsi="Times New Roman"/>
          <w:sz w:val="14"/>
          <w:szCs w:val="14"/>
          <w:color w:val="auto"/>
        </w:rPr>
      </w:pPr>
    </w:p>
    <w:p>
      <w:pPr>
        <w:jc w:val="both"/>
        <w:ind w:right="240" w:firstLine="515"/>
        <w:spacing w:after="0" w:line="267" w:lineRule="auto"/>
        <w:tabs>
          <w:tab w:leader="none" w:pos="702"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51" w:lineRule="exact"/>
        <w:rPr>
          <w:sz w:val="20"/>
          <w:szCs w:val="20"/>
          <w:color w:val="auto"/>
        </w:rPr>
      </w:pPr>
    </w:p>
    <w:p>
      <w:pPr>
        <w:ind w:left="720" w:hanging="205"/>
        <w:spacing w:after="0"/>
        <w:tabs>
          <w:tab w:leader="none" w:pos="72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OPTIONS OF DEATH WHILE AN EMPLOYEE, DIRECTOR OR CONSULTANT.</w:t>
      </w:r>
    </w:p>
    <w:p>
      <w:pPr>
        <w:spacing w:after="0" w:line="91" w:lineRule="exact"/>
        <w:rPr>
          <w:sz w:val="20"/>
          <w:szCs w:val="20"/>
          <w:color w:val="auto"/>
        </w:rPr>
      </w:pPr>
    </w:p>
    <w:p>
      <w:pPr>
        <w:ind w:right="80" w:firstLine="515"/>
        <w:spacing w:after="0" w:line="283" w:lineRule="auto"/>
        <w:tabs>
          <w:tab w:leader="none" w:pos="702"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a Participant’s Option Agreement in the event of the death of a Participant while the Participant is an Employee, director or Consultant of the Company or of an Affiliate, such Option may be exercised by the Participant’s Survivors:</w:t>
      </w:r>
    </w:p>
    <w:p>
      <w:pPr>
        <w:spacing w:after="0" w:line="40" w:lineRule="exact"/>
        <w:rPr>
          <w:rFonts w:ascii="Times New Roman" w:cs="Times New Roman" w:eastAsia="Times New Roman" w:hAnsi="Times New Roman"/>
          <w:sz w:val="14"/>
          <w:szCs w:val="14"/>
          <w:color w:val="auto"/>
        </w:rPr>
      </w:pPr>
    </w:p>
    <w:p>
      <w:pPr>
        <w:ind w:left="1660" w:hanging="513"/>
        <w:spacing w:after="0"/>
        <w:tabs>
          <w:tab w:leader="none" w:pos="1660"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Option has become exercisable but has not been exercised on the date of death;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02" w:right="339" w:bottom="1440" w:gutter="0" w:footer="0" w:header="0"/>
        </w:sectPr>
      </w:pPr>
    </w:p>
    <w:bookmarkStart w:id="355" w:name="page356"/>
    <w:bookmarkEnd w:id="355"/>
    <w:p>
      <w:pPr>
        <w:ind w:left="1660" w:right="180" w:hanging="513"/>
        <w:spacing w:after="0" w:line="267" w:lineRule="auto"/>
        <w:tabs>
          <w:tab w:leader="none" w:pos="1660"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51"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Participant’s Survivors wish to exercise the Option, they must take all necessary steps to exercise the Option within one year after the date of death of such Participant,</w:t>
      </w:r>
    </w:p>
    <w:p>
      <w:pPr>
        <w:spacing w:after="0" w:line="21" w:lineRule="exact"/>
        <w:rPr>
          <w:rFonts w:ascii="Times New Roman" w:cs="Times New Roman" w:eastAsia="Times New Roman" w:hAnsi="Times New Roman"/>
          <w:sz w:val="14"/>
          <w:szCs w:val="14"/>
          <w:color w:val="auto"/>
        </w:rPr>
      </w:pPr>
    </w:p>
    <w:p>
      <w:pPr>
        <w:ind w:right="16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that the decedent might have been able to exercise the Option as to some or all of the Shares on a later date if he or she had not died and had continued to be an Employee, director or Consultant or, if earlier, within the originally prescribed term of the Option. For Options granted to California Participants, the Participant’s Survivors must be allowed to take all necessary steps to exercise the Option for at least six (6) months from the date of death of such Participant.</w:t>
      </w:r>
    </w:p>
    <w:p>
      <w:pPr>
        <w:spacing w:after="0" w:line="59" w:lineRule="exact"/>
        <w:rPr>
          <w:sz w:val="20"/>
          <w:szCs w:val="20"/>
          <w:color w:val="auto"/>
        </w:rPr>
      </w:pPr>
    </w:p>
    <w:p>
      <w:pPr>
        <w:ind w:left="720" w:hanging="205"/>
        <w:spacing w:after="0"/>
        <w:tabs>
          <w:tab w:leader="none" w:pos="7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 OF SERVICE ON STOCK GRANTS AND STOCK-BASED AWARDS.</w:t>
      </w:r>
    </w:p>
    <w:p>
      <w:pPr>
        <w:spacing w:after="0" w:line="91" w:lineRule="exact"/>
        <w:rPr>
          <w:sz w:val="20"/>
          <w:szCs w:val="20"/>
          <w:color w:val="auto"/>
        </w:rPr>
      </w:pPr>
    </w:p>
    <w:p>
      <w:pPr>
        <w:ind w:right="20" w:firstLine="511"/>
        <w:spacing w:after="0" w:line="283" w:lineRule="auto"/>
        <w:rPr>
          <w:sz w:val="20"/>
          <w:szCs w:val="20"/>
          <w:color w:val="auto"/>
        </w:rPr>
      </w:pPr>
      <w:r>
        <w:rPr>
          <w:rFonts w:ascii="Times New Roman" w:cs="Times New Roman" w:eastAsia="Times New Roman" w:hAnsi="Times New Roman"/>
          <w:sz w:val="14"/>
          <w:szCs w:val="14"/>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41" w:lineRule="exact"/>
        <w:rPr>
          <w:sz w:val="20"/>
          <w:szCs w:val="20"/>
          <w:color w:val="auto"/>
        </w:rPr>
      </w:pPr>
    </w:p>
    <w:p>
      <w:pPr>
        <w:ind w:right="180" w:firstLine="511"/>
        <w:spacing w:after="0" w:line="261" w:lineRule="auto"/>
        <w:rPr>
          <w:sz w:val="20"/>
          <w:szCs w:val="20"/>
          <w:color w:val="auto"/>
        </w:rPr>
      </w:pPr>
      <w:r>
        <w:rPr>
          <w:rFonts w:ascii="Times New Roman" w:cs="Times New Roman" w:eastAsia="Times New Roman" w:hAnsi="Times New Roman"/>
          <w:sz w:val="14"/>
          <w:szCs w:val="14"/>
          <w:color w:val="auto"/>
        </w:rPr>
        <w:t>For purposes of this Paragraph 17 and Paragraph 18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57" w:lineRule="exact"/>
        <w:rPr>
          <w:sz w:val="20"/>
          <w:szCs w:val="20"/>
          <w:color w:val="auto"/>
        </w:rPr>
      </w:pPr>
    </w:p>
    <w:p>
      <w:pPr>
        <w:ind w:right="200" w:firstLine="511"/>
        <w:spacing w:after="0" w:line="283" w:lineRule="auto"/>
        <w:rPr>
          <w:sz w:val="20"/>
          <w:szCs w:val="20"/>
          <w:color w:val="auto"/>
        </w:rPr>
      </w:pPr>
      <w:r>
        <w:rPr>
          <w:rFonts w:ascii="Times New Roman" w:cs="Times New Roman" w:eastAsia="Times New Roman" w:hAnsi="Times New Roman"/>
          <w:sz w:val="14"/>
          <w:szCs w:val="14"/>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41" w:lineRule="exact"/>
        <w:rPr>
          <w:sz w:val="20"/>
          <w:szCs w:val="20"/>
          <w:color w:val="auto"/>
        </w:rPr>
      </w:pPr>
    </w:p>
    <w:p>
      <w:pPr>
        <w:ind w:left="720" w:hanging="205"/>
        <w:spacing w:after="0"/>
        <w:tabs>
          <w:tab w:leader="none" w:pos="7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STOCK GRANTS OF TERMINATION OF SERVICE OTHER THAN FOR CAUSE OR DEATH OR DISABILITY.</w:t>
      </w:r>
    </w:p>
    <w:p>
      <w:pPr>
        <w:spacing w:after="0" w:line="91"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41" w:lineRule="exact"/>
        <w:rPr>
          <w:sz w:val="20"/>
          <w:szCs w:val="20"/>
          <w:color w:val="auto"/>
        </w:rPr>
      </w:pPr>
    </w:p>
    <w:p>
      <w:pPr>
        <w:ind w:left="720" w:hanging="205"/>
        <w:spacing w:after="0"/>
        <w:tabs>
          <w:tab w:leader="none" w:pos="7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STOCK GRANTS OF TERMINATION OF SERVICE FOR CAUSE.</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Except as otherwise provided in a Participant’s Stock Grant Agreement, the following rules apply if the Participant’s service (whether as an Employee, director or Consultant)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or an Affiliate is terminated for Cause:</w:t>
      </w:r>
    </w:p>
    <w:p>
      <w:pPr>
        <w:spacing w:after="0" w:line="77" w:lineRule="exact"/>
        <w:rPr>
          <w:sz w:val="20"/>
          <w:szCs w:val="20"/>
          <w:color w:val="auto"/>
        </w:rPr>
      </w:pPr>
    </w:p>
    <w:p>
      <w:pPr>
        <w:ind w:right="140" w:firstLine="515"/>
        <w:spacing w:after="0" w:line="283" w:lineRule="auto"/>
        <w:tabs>
          <w:tab w:leader="none" w:pos="702"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subject to any Stock Grant that remain subject to forfeiture provisions or as to which the Company shall have a repurchase right shall be immediately forfeited to the Company as of the time the Participant is notified his or her service is terminated for Cause.</w:t>
      </w:r>
    </w:p>
    <w:p>
      <w:pPr>
        <w:spacing w:after="0" w:line="40" w:lineRule="exact"/>
        <w:rPr>
          <w:rFonts w:ascii="Times New Roman" w:cs="Times New Roman" w:eastAsia="Times New Roman" w:hAnsi="Times New Roman"/>
          <w:sz w:val="14"/>
          <w:szCs w:val="14"/>
          <w:color w:val="auto"/>
        </w:rPr>
      </w:pPr>
    </w:p>
    <w:p>
      <w:pPr>
        <w:ind w:right="100" w:firstLine="515"/>
        <w:spacing w:after="0" w:line="261" w:lineRule="auto"/>
        <w:tabs>
          <w:tab w:leader="none" w:pos="71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7" w:lineRule="exact"/>
        <w:rPr>
          <w:sz w:val="20"/>
          <w:szCs w:val="20"/>
          <w:color w:val="auto"/>
        </w:rPr>
      </w:pPr>
    </w:p>
    <w:p>
      <w:pPr>
        <w:ind w:left="720" w:hanging="205"/>
        <w:spacing w:after="0"/>
        <w:tabs>
          <w:tab w:leader="none" w:pos="72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STOCK GRANTS OF TERMINATION OF SERVICE FOR DISABILITY.</w:t>
      </w:r>
    </w:p>
    <w:p>
      <w:pPr>
        <w:spacing w:after="0" w:line="91"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57" w:lineRule="exact"/>
        <w:rPr>
          <w:sz w:val="20"/>
          <w:szCs w:val="20"/>
          <w:color w:val="auto"/>
        </w:rPr>
      </w:pPr>
    </w:p>
    <w:p>
      <w:pPr>
        <w:ind w:right="260" w:firstLine="511"/>
        <w:spacing w:after="0" w:line="267" w:lineRule="auto"/>
        <w:rPr>
          <w:sz w:val="20"/>
          <w:szCs w:val="20"/>
          <w:color w:val="auto"/>
        </w:rPr>
      </w:pPr>
      <w:r>
        <w:rPr>
          <w:rFonts w:ascii="Times New Roman" w:cs="Times New Roman" w:eastAsia="Times New Roman" w:hAnsi="Times New Roman"/>
          <w:sz w:val="14"/>
          <w:szCs w:val="14"/>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6" w:name="page357"/>
    <w:bookmarkEnd w:id="356"/>
    <w:p>
      <w:pPr>
        <w:ind w:left="720" w:hanging="205"/>
        <w:spacing w:after="0"/>
        <w:tabs>
          <w:tab w:leader="none" w:pos="72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STOCK GRANTS OF DEATH WHILE AN EMPLOYEE, DIRECTOR OR CONSULTANT.</w:t>
      </w:r>
    </w:p>
    <w:p>
      <w:pPr>
        <w:spacing w:after="0" w:line="91"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4"/>
          <w:szCs w:val="14"/>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46" w:lineRule="exact"/>
        <w:rPr>
          <w:sz w:val="20"/>
          <w:szCs w:val="20"/>
          <w:color w:val="auto"/>
        </w:rPr>
      </w:pPr>
    </w:p>
    <w:p>
      <w:pPr>
        <w:ind w:left="720" w:hanging="205"/>
        <w:spacing w:after="0"/>
        <w:tabs>
          <w:tab w:leader="none" w:pos="72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FOR INVESTMENT.</w:t>
      </w:r>
    </w:p>
    <w:p>
      <w:pPr>
        <w:spacing w:after="0" w:line="175" w:lineRule="exact"/>
        <w:rPr>
          <w:sz w:val="20"/>
          <w:szCs w:val="20"/>
          <w:color w:val="auto"/>
        </w:rPr>
      </w:pPr>
    </w:p>
    <w:p>
      <w:pPr>
        <w:ind w:right="180" w:firstLine="511"/>
        <w:spacing w:after="0" w:line="283" w:lineRule="auto"/>
        <w:rPr>
          <w:sz w:val="20"/>
          <w:szCs w:val="20"/>
          <w:color w:val="auto"/>
        </w:rPr>
      </w:pPr>
      <w:r>
        <w:rPr>
          <w:rFonts w:ascii="Times New Roman" w:cs="Times New Roman" w:eastAsia="Times New Roman" w:hAnsi="Times New Roman"/>
          <w:sz w:val="14"/>
          <w:szCs w:val="14"/>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41" w:lineRule="exact"/>
        <w:rPr>
          <w:sz w:val="20"/>
          <w:szCs w:val="20"/>
          <w:color w:val="auto"/>
        </w:rPr>
      </w:pPr>
    </w:p>
    <w:p>
      <w:pPr>
        <w:ind w:right="40" w:firstLine="515"/>
        <w:spacing w:after="0" w:line="267" w:lineRule="auto"/>
        <w:tabs>
          <w:tab w:leader="none" w:pos="702"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51" w:lineRule="exact"/>
        <w:rPr>
          <w:sz w:val="20"/>
          <w:szCs w:val="20"/>
          <w:color w:val="auto"/>
        </w:rPr>
      </w:pPr>
    </w:p>
    <w:p>
      <w:pPr>
        <w:ind w:left="1160" w:right="20"/>
        <w:spacing w:after="0" w:line="267" w:lineRule="auto"/>
        <w:rPr>
          <w:sz w:val="20"/>
          <w:szCs w:val="20"/>
          <w:color w:val="auto"/>
        </w:rPr>
      </w:pPr>
      <w:r>
        <w:rPr>
          <w:rFonts w:ascii="Times New Roman" w:cs="Times New Roman" w:eastAsia="Times New Roman" w:hAnsi="Times New Roman"/>
          <w:sz w:val="14"/>
          <w:szCs w:val="14"/>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51" w:lineRule="exact"/>
        <w:rPr>
          <w:sz w:val="20"/>
          <w:szCs w:val="20"/>
          <w:color w:val="auto"/>
        </w:rPr>
      </w:pPr>
    </w:p>
    <w:p>
      <w:pPr>
        <w:ind w:left="720" w:hanging="205"/>
        <w:spacing w:after="0"/>
        <w:tabs>
          <w:tab w:leader="none" w:pos="72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discretion of the Administrator, the Company shall have received an opinion of its counsel that the Shares may be issued in compliance with the Securities Act without registration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thereunder.</w:t>
      </w:r>
    </w:p>
    <w:p>
      <w:pPr>
        <w:spacing w:after="0" w:line="77" w:lineRule="exact"/>
        <w:rPr>
          <w:sz w:val="20"/>
          <w:szCs w:val="20"/>
          <w:color w:val="auto"/>
        </w:rPr>
      </w:pPr>
    </w:p>
    <w:p>
      <w:pPr>
        <w:ind w:left="720" w:hanging="205"/>
        <w:spacing w:after="0"/>
        <w:tabs>
          <w:tab w:leader="none" w:pos="72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DISSOLUTION OR LIQUIDATION OF THE COMPANY.</w:t>
      </w:r>
    </w:p>
    <w:p>
      <w:pPr>
        <w:spacing w:after="0" w:line="175" w:lineRule="exact"/>
        <w:rPr>
          <w:sz w:val="20"/>
          <w:szCs w:val="20"/>
          <w:color w:val="auto"/>
        </w:rPr>
      </w:pPr>
    </w:p>
    <w:p>
      <w:pPr>
        <w:ind w:right="200" w:firstLine="511"/>
        <w:spacing w:after="0" w:line="258" w:lineRule="auto"/>
        <w:rPr>
          <w:sz w:val="20"/>
          <w:szCs w:val="20"/>
          <w:color w:val="auto"/>
        </w:rPr>
      </w:pPr>
      <w:r>
        <w:rPr>
          <w:rFonts w:ascii="Times New Roman" w:cs="Times New Roman" w:eastAsia="Times New Roman" w:hAnsi="Times New Roman"/>
          <w:sz w:val="14"/>
          <w:szCs w:val="14"/>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44" w:lineRule="exact"/>
        <w:rPr>
          <w:sz w:val="20"/>
          <w:szCs w:val="20"/>
          <w:color w:val="auto"/>
        </w:rPr>
      </w:pPr>
    </w:p>
    <w:p>
      <w:pPr>
        <w:ind w:left="720" w:hanging="205"/>
        <w:spacing w:after="0"/>
        <w:tabs>
          <w:tab w:leader="none" w:pos="72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p>
    <w:p>
      <w:pPr>
        <w:spacing w:after="0" w:line="175" w:lineRule="exact"/>
        <w:rPr>
          <w:sz w:val="20"/>
          <w:szCs w:val="20"/>
          <w:color w:val="auto"/>
        </w:rPr>
      </w:pPr>
    </w:p>
    <w:p>
      <w:pPr>
        <w:ind w:right="320" w:firstLine="511"/>
        <w:spacing w:after="0" w:line="283" w:lineRule="auto"/>
        <w:rPr>
          <w:sz w:val="20"/>
          <w:szCs w:val="20"/>
          <w:color w:val="auto"/>
        </w:rPr>
      </w:pPr>
      <w:r>
        <w:rPr>
          <w:rFonts w:ascii="Times New Roman" w:cs="Times New Roman" w:eastAsia="Times New Roman" w:hAnsi="Times New Roman"/>
          <w:sz w:val="14"/>
          <w:szCs w:val="14"/>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41" w:lineRule="exact"/>
        <w:rPr>
          <w:sz w:val="20"/>
          <w:szCs w:val="20"/>
          <w:color w:val="auto"/>
        </w:rPr>
      </w:pPr>
    </w:p>
    <w:p>
      <w:pPr>
        <w:ind w:right="40" w:firstLine="515"/>
        <w:spacing w:after="0" w:line="258" w:lineRule="auto"/>
        <w:tabs>
          <w:tab w:leader="none" w:pos="702"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Stock Splits</w:t>
      </w:r>
      <w:r>
        <w:rPr>
          <w:rFonts w:ascii="Times New Roman" w:cs="Times New Roman" w:eastAsia="Times New Roman" w:hAnsi="Times New Roman"/>
          <w:sz w:val="14"/>
          <w:szCs w:val="14"/>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 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shall also be proportionately adjusted upon the occurrence of such events.</w:t>
      </w:r>
    </w:p>
    <w:p>
      <w:pPr>
        <w:spacing w:after="0" w:line="59" w:lineRule="exact"/>
        <w:rPr>
          <w:rFonts w:ascii="Times New Roman" w:cs="Times New Roman" w:eastAsia="Times New Roman" w:hAnsi="Times New Roman"/>
          <w:sz w:val="14"/>
          <w:szCs w:val="14"/>
          <w:color w:val="auto"/>
        </w:rPr>
      </w:pPr>
    </w:p>
    <w:p>
      <w:pPr>
        <w:ind w:firstLine="515"/>
        <w:spacing w:after="0" w:line="256" w:lineRule="auto"/>
        <w:tabs>
          <w:tab w:leader="none" w:pos="710"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Transactions</w:t>
      </w:r>
      <w:r>
        <w:rPr>
          <w:rFonts w:ascii="Times New Roman" w:cs="Times New Roman" w:eastAsia="Times New Roman" w:hAnsi="Times New Roman"/>
          <w:sz w:val="14"/>
          <w:szCs w:val="14"/>
          <w:color w:val="auto"/>
        </w:rPr>
        <w:t>.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w:t>
      </w:r>
    </w:p>
    <w:p>
      <w:pPr>
        <w:ind w:right="180" w:firstLine="4"/>
        <w:spacing w:after="0" w:line="256" w:lineRule="auto"/>
        <w:tabs>
          <w:tab w:leader="none" w:pos="206"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7" w:name="page358"/>
    <w:bookmarkEnd w:id="357"/>
    <w:p>
      <w:pPr>
        <w:ind w:right="240"/>
        <w:spacing w:after="0" w:line="261" w:lineRule="auto"/>
        <w:rPr>
          <w:sz w:val="20"/>
          <w:szCs w:val="20"/>
          <w:color w:val="auto"/>
        </w:rPr>
      </w:pPr>
      <w:r>
        <w:rPr>
          <w:rFonts w:ascii="Times New Roman" w:cs="Times New Roman" w:eastAsia="Times New Roman" w:hAnsi="Times New Roman"/>
          <w:sz w:val="14"/>
          <w:szCs w:val="14"/>
          <w:color w:val="auto"/>
        </w:rPr>
        <w:t xml:space="preserve">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14"/>
          <w:szCs w:val="14"/>
          <w:u w:val="single" w:color="auto"/>
          <w:color w:val="auto"/>
        </w:rPr>
        <w:t>less the aggregate</w:t>
      </w:r>
      <w:r>
        <w:rPr>
          <w:rFonts w:ascii="Times New Roman" w:cs="Times New Roman" w:eastAsia="Times New Roman" w:hAnsi="Times New Roman"/>
          <w:sz w:val="14"/>
          <w:szCs w:val="14"/>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41"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43" w:lineRule="exact"/>
        <w:rPr>
          <w:sz w:val="20"/>
          <w:szCs w:val="20"/>
          <w:color w:val="auto"/>
        </w:rPr>
      </w:pPr>
    </w:p>
    <w:p>
      <w:pPr>
        <w:ind w:right="280" w:firstLine="511"/>
        <w:spacing w:after="0" w:line="283" w:lineRule="auto"/>
        <w:rPr>
          <w:sz w:val="20"/>
          <w:szCs w:val="20"/>
          <w:color w:val="auto"/>
        </w:rPr>
      </w:pPr>
      <w:r>
        <w:rPr>
          <w:rFonts w:ascii="Times New Roman" w:cs="Times New Roman" w:eastAsia="Times New Roman" w:hAnsi="Times New Roman"/>
          <w:sz w:val="14"/>
          <w:szCs w:val="14"/>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41" w:lineRule="exact"/>
        <w:rPr>
          <w:sz w:val="20"/>
          <w:szCs w:val="20"/>
          <w:color w:val="auto"/>
        </w:rPr>
      </w:pPr>
    </w:p>
    <w:p>
      <w:pPr>
        <w:ind w:right="20" w:firstLine="515"/>
        <w:spacing w:after="0" w:line="261" w:lineRule="auto"/>
        <w:tabs>
          <w:tab w:leader="none" w:pos="70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Recapitalization or Reorganization</w:t>
      </w:r>
      <w:r>
        <w:rPr>
          <w:rFonts w:ascii="Times New Roman" w:cs="Times New Roman" w:eastAsia="Times New Roman" w:hAnsi="Times New Roman"/>
          <w:sz w:val="14"/>
          <w:szCs w:val="14"/>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56" w:lineRule="exact"/>
        <w:rPr>
          <w:rFonts w:ascii="Times New Roman" w:cs="Times New Roman" w:eastAsia="Times New Roman" w:hAnsi="Times New Roman"/>
          <w:sz w:val="14"/>
          <w:szCs w:val="14"/>
          <w:color w:val="auto"/>
        </w:rPr>
      </w:pPr>
    </w:p>
    <w:p>
      <w:pPr>
        <w:ind w:firstLine="515"/>
        <w:spacing w:after="0" w:line="267" w:lineRule="auto"/>
        <w:tabs>
          <w:tab w:leader="none" w:pos="71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to Stock-Based Awards</w:t>
      </w:r>
      <w:r>
        <w:rPr>
          <w:rFonts w:ascii="Times New Roman" w:cs="Times New Roman" w:eastAsia="Times New Roman" w:hAnsi="Times New Roman"/>
          <w:sz w:val="14"/>
          <w:szCs w:val="14"/>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51" w:lineRule="exact"/>
        <w:rPr>
          <w:rFonts w:ascii="Times New Roman" w:cs="Times New Roman" w:eastAsia="Times New Roman" w:hAnsi="Times New Roman"/>
          <w:sz w:val="14"/>
          <w:szCs w:val="14"/>
          <w:color w:val="auto"/>
        </w:rPr>
      </w:pPr>
    </w:p>
    <w:p>
      <w:pPr>
        <w:ind w:right="80" w:firstLine="515"/>
        <w:spacing w:after="0" w:line="257" w:lineRule="auto"/>
        <w:tabs>
          <w:tab w:leader="none" w:pos="70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 of Options</w:t>
      </w:r>
      <w:r>
        <w:rPr>
          <w:rFonts w:ascii="Times New Roman" w:cs="Times New Roman" w:eastAsia="Times New Roman" w:hAnsi="Times New Roman"/>
          <w:sz w:val="14"/>
          <w:szCs w:val="14"/>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59" w:lineRule="exact"/>
        <w:rPr>
          <w:sz w:val="20"/>
          <w:szCs w:val="20"/>
          <w:color w:val="auto"/>
        </w:rPr>
      </w:pPr>
    </w:p>
    <w:p>
      <w:pPr>
        <w:ind w:left="720" w:hanging="205"/>
        <w:spacing w:after="0"/>
        <w:tabs>
          <w:tab w:leader="none" w:pos="72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ISSUANCES OF SECURITIES.</w:t>
      </w:r>
    </w:p>
    <w:p>
      <w:pPr>
        <w:spacing w:after="0" w:line="175" w:lineRule="exact"/>
        <w:rPr>
          <w:sz w:val="20"/>
          <w:szCs w:val="20"/>
          <w:color w:val="auto"/>
        </w:rPr>
      </w:pPr>
    </w:p>
    <w:p>
      <w:pPr>
        <w:jc w:val="both"/>
        <w:ind w:right="160" w:firstLine="511"/>
        <w:spacing w:after="0" w:line="267" w:lineRule="auto"/>
        <w:rPr>
          <w:sz w:val="20"/>
          <w:szCs w:val="20"/>
          <w:color w:val="auto"/>
        </w:rPr>
      </w:pPr>
      <w:r>
        <w:rPr>
          <w:rFonts w:ascii="Times New Roman" w:cs="Times New Roman" w:eastAsia="Times New Roman" w:hAnsi="Times New Roman"/>
          <w:sz w:val="14"/>
          <w:szCs w:val="14"/>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41" w:lineRule="exact"/>
        <w:rPr>
          <w:sz w:val="20"/>
          <w:szCs w:val="20"/>
          <w:color w:val="auto"/>
        </w:rPr>
      </w:pPr>
    </w:p>
    <w:p>
      <w:pPr>
        <w:ind w:left="720" w:hanging="205"/>
        <w:spacing w:after="0"/>
        <w:tabs>
          <w:tab w:leader="none" w:pos="7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fractional shares shall be issued under the Plan and the person exercising a Stock Right shall receive from the Company cash in lieu of such fractional shares equal to the Fair Market Value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77" w:lineRule="exact"/>
        <w:rPr>
          <w:sz w:val="20"/>
          <w:szCs w:val="20"/>
          <w:color w:val="auto"/>
        </w:rPr>
      </w:pPr>
    </w:p>
    <w:p>
      <w:pPr>
        <w:ind w:left="720" w:hanging="205"/>
        <w:spacing w:after="0"/>
        <w:tabs>
          <w:tab w:leader="none" w:pos="72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CONVERSION OF ISOs INTO NON-QUALIFIED OPTIONS; TERMINATION OF ISOs.</w:t>
      </w:r>
    </w:p>
    <w:p>
      <w:pPr>
        <w:spacing w:after="0" w:line="175"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58" w:name="page359"/>
    <w:bookmarkEnd w:id="358"/>
    <w:p>
      <w:pPr>
        <w:ind w:right="60"/>
        <w:spacing w:after="0" w:line="283" w:lineRule="auto"/>
        <w:rPr>
          <w:sz w:val="20"/>
          <w:szCs w:val="20"/>
          <w:color w:val="auto"/>
        </w:rPr>
      </w:pPr>
      <w:r>
        <w:rPr>
          <w:rFonts w:ascii="Times New Roman" w:cs="Times New Roman" w:eastAsia="Times New Roman" w:hAnsi="Times New Roman"/>
          <w:sz w:val="14"/>
          <w:szCs w:val="14"/>
          <w:color w:val="auto"/>
        </w:rPr>
        <w:t>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41" w:lineRule="exact"/>
        <w:rPr>
          <w:sz w:val="20"/>
          <w:szCs w:val="20"/>
          <w:color w:val="auto"/>
        </w:rPr>
      </w:pPr>
    </w:p>
    <w:p>
      <w:pPr>
        <w:ind w:left="720" w:hanging="205"/>
        <w:spacing w:after="0"/>
        <w:tabs>
          <w:tab w:leader="none" w:pos="72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p>
    <w:p>
      <w:pPr>
        <w:spacing w:after="0" w:line="175" w:lineRule="exact"/>
        <w:rPr>
          <w:sz w:val="20"/>
          <w:szCs w:val="20"/>
          <w:color w:val="auto"/>
        </w:rPr>
      </w:pPr>
    </w:p>
    <w:p>
      <w:pPr>
        <w:ind w:right="60" w:firstLine="511"/>
        <w:spacing w:after="0" w:line="255" w:lineRule="auto"/>
        <w:rPr>
          <w:sz w:val="20"/>
          <w:szCs w:val="20"/>
          <w:color w:val="auto"/>
        </w:rPr>
      </w:pPr>
      <w:r>
        <w:rPr>
          <w:rFonts w:ascii="Times New Roman" w:cs="Times New Roman" w:eastAsia="Times New Roman" w:hAnsi="Times New Roman"/>
          <w:sz w:val="14"/>
          <w:szCs w:val="14"/>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45" w:lineRule="exact"/>
        <w:rPr>
          <w:sz w:val="20"/>
          <w:szCs w:val="20"/>
          <w:color w:val="auto"/>
        </w:rPr>
      </w:pPr>
    </w:p>
    <w:p>
      <w:pPr>
        <w:ind w:left="720" w:hanging="205"/>
        <w:spacing w:after="0"/>
        <w:tabs>
          <w:tab w:leader="none" w:pos="72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COMPANY OF DISQUALIFYING DISPOSITION.</w:t>
      </w:r>
    </w:p>
    <w:p>
      <w:pPr>
        <w:spacing w:after="0" w:line="17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57" w:lineRule="exact"/>
        <w:rPr>
          <w:sz w:val="20"/>
          <w:szCs w:val="20"/>
          <w:color w:val="auto"/>
        </w:rPr>
      </w:pPr>
    </w:p>
    <w:p>
      <w:pPr>
        <w:ind w:left="720" w:hanging="205"/>
        <w:spacing w:after="0"/>
        <w:tabs>
          <w:tab w:leader="none" w:pos="72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THE PLAN.</w:t>
      </w:r>
    </w:p>
    <w:p>
      <w:pPr>
        <w:spacing w:after="0" w:line="175" w:lineRule="exact"/>
        <w:rPr>
          <w:sz w:val="20"/>
          <w:szCs w:val="20"/>
          <w:color w:val="auto"/>
        </w:rPr>
      </w:pPr>
    </w:p>
    <w:p>
      <w:pPr>
        <w:jc w:val="both"/>
        <w:ind w:right="20" w:firstLine="511"/>
        <w:spacing w:after="0" w:line="267" w:lineRule="auto"/>
        <w:rPr>
          <w:sz w:val="20"/>
          <w:szCs w:val="20"/>
          <w:color w:val="auto"/>
        </w:rPr>
      </w:pPr>
      <w:r>
        <w:rPr>
          <w:rFonts w:ascii="Times New Roman" w:cs="Times New Roman" w:eastAsia="Times New Roman" w:hAnsi="Times New Roman"/>
          <w:sz w:val="14"/>
          <w:szCs w:val="14"/>
          <w:color w:val="auto"/>
        </w:rPr>
        <w:t xml:space="preserve">The Plan will terminate on May 25, 2026, the date which is ten years from the </w:t>
      </w:r>
      <w:r>
        <w:rPr>
          <w:rFonts w:ascii="Times New Roman" w:cs="Times New Roman" w:eastAsia="Times New Roman" w:hAnsi="Times New Roman"/>
          <w:sz w:val="14"/>
          <w:szCs w:val="14"/>
          <w:u w:val="single" w:color="auto"/>
          <w:color w:val="auto"/>
        </w:rPr>
        <w:t>earlier</w:t>
      </w:r>
      <w:r>
        <w:rPr>
          <w:rFonts w:ascii="Times New Roman" w:cs="Times New Roman" w:eastAsia="Times New Roman" w:hAnsi="Times New Roman"/>
          <w:sz w:val="14"/>
          <w:szCs w:val="14"/>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51" w:lineRule="exact"/>
        <w:rPr>
          <w:sz w:val="20"/>
          <w:szCs w:val="20"/>
          <w:color w:val="auto"/>
        </w:rPr>
      </w:pPr>
    </w:p>
    <w:p>
      <w:pPr>
        <w:ind w:left="720" w:hanging="205"/>
        <w:spacing w:after="0"/>
        <w:tabs>
          <w:tab w:leader="none" w:pos="72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THE PLAN AND AGREEMENTS.</w:t>
      </w:r>
    </w:p>
    <w:p>
      <w:pPr>
        <w:spacing w:after="0" w:line="175"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59" w:lineRule="exact"/>
        <w:rPr>
          <w:sz w:val="20"/>
          <w:szCs w:val="20"/>
          <w:color w:val="auto"/>
        </w:rPr>
      </w:pPr>
    </w:p>
    <w:p>
      <w:pPr>
        <w:ind w:left="720" w:hanging="205"/>
        <w:spacing w:after="0"/>
        <w:tabs>
          <w:tab w:leader="none" w:pos="72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OR OTHER RELATIONSHIP.</w:t>
      </w:r>
    </w:p>
    <w:p>
      <w:pPr>
        <w:spacing w:after="0" w:line="175"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4"/>
          <w:szCs w:val="14"/>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51" w:lineRule="exact"/>
        <w:rPr>
          <w:sz w:val="20"/>
          <w:szCs w:val="20"/>
          <w:color w:val="auto"/>
        </w:rPr>
      </w:pPr>
    </w:p>
    <w:p>
      <w:pPr>
        <w:ind w:left="720" w:hanging="205"/>
        <w:spacing w:after="0"/>
        <w:tabs>
          <w:tab w:leader="none" w:pos="72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Plan shall be construed and enforced in accordance with the law of the State of Delaware.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59" w:name="page360"/>
    <w:bookmarkEnd w:id="359"/>
    <w:p>
      <w:pPr>
        <w:ind w:left="8940"/>
        <w:spacing w:after="0"/>
        <w:rPr>
          <w:sz w:val="20"/>
          <w:szCs w:val="20"/>
          <w:color w:val="auto"/>
        </w:rPr>
      </w:pPr>
      <w:r>
        <w:rPr>
          <w:rFonts w:ascii="Times New Roman" w:cs="Times New Roman" w:eastAsia="Times New Roman" w:hAnsi="Times New Roman"/>
          <w:sz w:val="14"/>
          <w:szCs w:val="14"/>
          <w:color w:val="auto"/>
        </w:rPr>
        <w:t>Option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13970</wp:posOffset>
            </wp:positionV>
            <wp:extent cx="108839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08839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Stock Option Grant Notice</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Stock Option Grant under the Company’s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2016 Employee, Director and Consultant Equity Incentive Plan</w:t>
      </w:r>
    </w:p>
    <w:p>
      <w:pPr>
        <w:spacing w:after="0" w:line="182" w:lineRule="exact"/>
        <w:rPr>
          <w:sz w:val="20"/>
          <w:szCs w:val="20"/>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Participant:</w:t>
      </w:r>
    </w:p>
    <w:p>
      <w:pPr>
        <w:spacing w:after="0" w:line="200" w:lineRule="exact"/>
        <w:rPr>
          <w:rFonts w:ascii="Times New Roman" w:cs="Times New Roman" w:eastAsia="Times New Roman" w:hAnsi="Times New Roman"/>
          <w:sz w:val="14"/>
          <w:szCs w:val="14"/>
          <w:color w:val="auto"/>
        </w:rPr>
      </w:pPr>
    </w:p>
    <w:p>
      <w:pPr>
        <w:spacing w:after="0" w:line="343" w:lineRule="exact"/>
        <w:rPr>
          <w:rFonts w:ascii="Times New Roman" w:cs="Times New Roman" w:eastAsia="Times New Roman" w:hAnsi="Times New Roman"/>
          <w:sz w:val="14"/>
          <w:szCs w:val="14"/>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Option Grant:</w:t>
      </w:r>
    </w:p>
    <w:p>
      <w:pPr>
        <w:spacing w:after="0" w:line="185" w:lineRule="exact"/>
        <w:rPr>
          <w:rFonts w:ascii="Times New Roman" w:cs="Times New Roman" w:eastAsia="Times New Roman" w:hAnsi="Times New Roman"/>
          <w:sz w:val="14"/>
          <w:szCs w:val="14"/>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 of Grant:</w:t>
      </w:r>
    </w:p>
    <w:p>
      <w:pPr>
        <w:spacing w:after="0" w:line="185" w:lineRule="exact"/>
        <w:rPr>
          <w:rFonts w:ascii="Times New Roman" w:cs="Times New Roman" w:eastAsia="Times New Roman" w:hAnsi="Times New Roman"/>
          <w:sz w:val="14"/>
          <w:szCs w:val="14"/>
          <w:color w:val="auto"/>
        </w:rPr>
      </w:pPr>
    </w:p>
    <w:p>
      <w:pPr>
        <w:jc w:val="both"/>
        <w:ind w:left="480" w:right="8860" w:hanging="375"/>
        <w:spacing w:after="0" w:line="283" w:lineRule="auto"/>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Number of Shares for which this Option is exercisable:</w:t>
      </w:r>
    </w:p>
    <w:p>
      <w:pPr>
        <w:spacing w:after="0" w:line="124" w:lineRule="exact"/>
        <w:rPr>
          <w:rFonts w:ascii="Times New Roman" w:cs="Times New Roman" w:eastAsia="Times New Roman" w:hAnsi="Times New Roman"/>
          <w:sz w:val="14"/>
          <w:szCs w:val="14"/>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(purchase) price per share:</w:t>
      </w:r>
    </w:p>
    <w:p>
      <w:pPr>
        <w:spacing w:after="0" w:line="185" w:lineRule="exact"/>
        <w:rPr>
          <w:rFonts w:ascii="Times New Roman" w:cs="Times New Roman" w:eastAsia="Times New Roman" w:hAnsi="Times New Roman"/>
          <w:sz w:val="14"/>
          <w:szCs w:val="14"/>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Expiration Date:</w:t>
      </w:r>
    </w:p>
    <w:p>
      <w:pPr>
        <w:spacing w:after="0" w:line="185" w:lineRule="exact"/>
        <w:rPr>
          <w:rFonts w:ascii="Times New Roman" w:cs="Times New Roman" w:eastAsia="Times New Roman" w:hAnsi="Times New Roman"/>
          <w:sz w:val="14"/>
          <w:szCs w:val="14"/>
          <w:color w:val="auto"/>
        </w:rPr>
      </w:pPr>
    </w:p>
    <w:p>
      <w:pPr>
        <w:ind w:left="480" w:hanging="375"/>
        <w:spacing w:after="0"/>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Start Date]</w:t>
      </w:r>
      <w:r>
        <w:rPr>
          <w:rFonts w:ascii="Times New Roman" w:cs="Times New Roman" w:eastAsia="Times New Roman" w:hAnsi="Times New Roman"/>
          <w:sz w:val="7"/>
          <w:szCs w:val="7"/>
          <w:color w:val="auto"/>
        </w:rPr>
        <w:t>1</w:t>
      </w:r>
      <w:r>
        <w:rPr>
          <w:rFonts w:ascii="Times New Roman" w:cs="Times New Roman" w:eastAsia="Times New Roman" w:hAnsi="Times New Roman"/>
          <w:sz w:val="14"/>
          <w:szCs w:val="14"/>
          <w:color w:val="auto"/>
        </w:rPr>
        <w:t>:</w:t>
      </w:r>
    </w:p>
    <w:p>
      <w:pPr>
        <w:spacing w:after="0" w:line="185" w:lineRule="exact"/>
        <w:rPr>
          <w:rFonts w:ascii="Times New Roman" w:cs="Times New Roman" w:eastAsia="Times New Roman" w:hAnsi="Times New Roman"/>
          <w:sz w:val="14"/>
          <w:szCs w:val="14"/>
          <w:color w:val="auto"/>
        </w:rPr>
      </w:pPr>
    </w:p>
    <w:p>
      <w:pPr>
        <w:ind w:left="480" w:hanging="375"/>
        <w:spacing w:after="0" w:line="283" w:lineRule="auto"/>
        <w:tabs>
          <w:tab w:leader="none" w:pos="4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Schedule: This Option shall become exercisable (and the Shares issued upon exercise shall be vested) as follows provided the Participant is an Employee, director or Consultant of the Company or of an Affiliate on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-1993265</wp:posOffset>
            </wp:positionV>
            <wp:extent cx="443928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-1880235</wp:posOffset>
            </wp:positionV>
            <wp:extent cx="4439285"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-1766570</wp:posOffset>
            </wp:positionV>
            <wp:extent cx="4439285"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-1546225</wp:posOffset>
            </wp:positionV>
            <wp:extent cx="4439285"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-1325880</wp:posOffset>
            </wp:positionV>
            <wp:extent cx="4439285"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-1005205</wp:posOffset>
            </wp:positionV>
            <wp:extent cx="443928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-784860</wp:posOffset>
            </wp:positionV>
            <wp:extent cx="443928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-565150</wp:posOffset>
            </wp:positionV>
            <wp:extent cx="443928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439285"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-344805</wp:posOffset>
            </wp:positionV>
            <wp:extent cx="4439285"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439285" cy="6985"/>
                    </a:xfrm>
                    <a:prstGeom prst="rect">
                      <a:avLst/>
                    </a:prstGeom>
                    <a:noFill/>
                  </pic:spPr>
                </pic:pic>
              </a:graphicData>
            </a:graphic>
          </wp:anchor>
        </w:drawing>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[Insert Vesting Schedule]</w:t>
      </w:r>
    </w:p>
    <w:p>
      <w:pPr>
        <w:spacing w:after="0" w:line="177" w:lineRule="exact"/>
        <w:rPr>
          <w:sz w:val="20"/>
          <w:szCs w:val="20"/>
          <w:color w:val="auto"/>
        </w:rPr>
      </w:pPr>
    </w:p>
    <w:p>
      <w:pPr>
        <w:ind w:right="140" w:firstLine="511"/>
        <w:spacing w:after="0" w:line="283" w:lineRule="auto"/>
        <w:rPr>
          <w:sz w:val="20"/>
          <w:szCs w:val="20"/>
          <w:color w:val="auto"/>
        </w:rPr>
      </w:pPr>
      <w:r>
        <w:rPr>
          <w:rFonts w:ascii="Times New Roman" w:cs="Times New Roman" w:eastAsia="Times New Roman" w:hAnsi="Times New Roman"/>
          <w:sz w:val="14"/>
          <w:szCs w:val="14"/>
          <w:color w:val="auto"/>
        </w:rPr>
        <w:t>The foregoing rights are cumulative and are subject to the other terms and conditions of this Agreement and the Company’s 2016 Employee, Director and Consultant Equity Incentive Plan (the “Plan”).</w:t>
      </w:r>
    </w:p>
    <w:p>
      <w:pPr>
        <w:spacing w:after="0" w:line="125"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The Company and the Participant acknowledge receipt of this Stock Option Grant Notice and agree to the terms of the Stock Option Agreement attached hereto and incorporated by reference herein, the Plan and the terms of this Option Grant as set forth above.</w:t>
      </w:r>
    </w:p>
    <w:p>
      <w:pPr>
        <w:spacing w:after="0" w:line="12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95440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36" w:lineRule="exact"/>
        <w:rPr>
          <w:sz w:val="20"/>
          <w:szCs w:val="20"/>
          <w:color w:val="auto"/>
        </w:rPr>
      </w:pPr>
    </w:p>
    <w:p>
      <w:pPr>
        <w:ind w:left="520" w:right="180" w:hanging="516"/>
        <w:spacing w:after="0" w:line="222" w:lineRule="auto"/>
        <w:tabs>
          <w:tab w:leader="none" w:pos="520" w:val="left"/>
        </w:tabs>
        <w:numPr>
          <w:ilvl w:val="0"/>
          <w:numId w:val="2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Note: This date is only necessary if the Company has decided to trigger vesting from a date that is different from the date of option grant, such as a hire date, and is to be used as a point of reference for future vesting only. Otherwise, this line should be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467995</wp:posOffset>
            </wp:positionV>
            <wp:extent cx="7188200"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80"/>
          </w:cols>
          <w:pgMar w:left="300" w:top="965" w:right="419" w:bottom="1440" w:gutter="0" w:footer="0" w:header="0"/>
        </w:sectPr>
      </w:pPr>
    </w:p>
    <w:bookmarkStart w:id="360" w:name="page361"/>
    <w:bookmarkEnd w:id="360"/>
    <w:p>
      <w:pPr>
        <w:jc w:val="center"/>
        <w:ind w:right="-20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-101600</wp:posOffset>
            </wp:positionV>
            <wp:extent cx="329120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291205" cy="698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-101600</wp:posOffset>
            </wp:positionV>
            <wp:extent cx="293052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930525" cy="698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11430</wp:posOffset>
            </wp:positionV>
            <wp:extent cx="293052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930525" cy="6985"/>
                    </a:xfrm>
                    <a:prstGeom prst="rect">
                      <a:avLst/>
                    </a:prstGeom>
                    <a:noFill/>
                  </pic:spPr>
                </pic:pic>
              </a:graphicData>
            </a:graphic>
          </wp:anchor>
        </w:drawing>
      </w:r>
    </w:p>
    <w:p>
      <w:pPr>
        <w:spacing w:after="0" w:line="3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-99060</wp:posOffset>
            </wp:positionV>
            <wp:extent cx="357822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987" w:right="1440" w:bottom="1440" w:gutter="0" w:footer="0" w:header="0"/>
        </w:sectPr>
      </w:pPr>
    </w:p>
    <w:bookmarkStart w:id="361" w:name="page362"/>
    <w:bookmarkEnd w:id="361"/>
    <w:p>
      <w:pPr>
        <w:jc w:val="center"/>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STOCK OPTION AGREEMENT- INCORPORATED TERMS AND CONDITIONS</w:t>
      </w:r>
    </w:p>
    <w:p>
      <w:pPr>
        <w:spacing w:after="0" w:line="177"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AGREEMENT made as of the date of grant set forth in the Stock Option Grant Notice by and between Parabilis Medicines, Inc. (the “Company”), a Delaware corporation, and the individual whose name appears on the Stock Option Grant Notice (the “Participant”).</w:t>
      </w:r>
    </w:p>
    <w:p>
      <w:pPr>
        <w:spacing w:after="0" w:line="125"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WHEREAS, the Company desires to grant to the Participant an Option to purchase shares of its common stock, $0.0001 par value per share (the “Shares”), under and for the purposes set forth in the Company’s 2016 Employee, Director and Consultant Equity Incentive Plan (the “Plan”);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Company and the Participant understand and agree that any terms used and not defined herein have the same meanings as in the Plan; and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Company and the Participant each intend that the Option granted herein shall be of the type set forth in the Stock Option Grant Notice.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in consideration of the mutual covenants hereinafter set forth and for other good and valuable consideration, the parties hereto agree as follows:</w:t>
      </w:r>
    </w:p>
    <w:p>
      <w:pPr>
        <w:spacing w:after="0" w:line="175" w:lineRule="exact"/>
        <w:rPr>
          <w:sz w:val="20"/>
          <w:szCs w:val="20"/>
          <w:color w:val="auto"/>
        </w:rPr>
      </w:pPr>
    </w:p>
    <w:p>
      <w:pPr>
        <w:ind w:left="660" w:hanging="145"/>
        <w:spacing w:after="0"/>
        <w:tabs>
          <w:tab w:leader="none" w:pos="66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OPTION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67" w:lineRule="auto"/>
        <w:rPr>
          <w:sz w:val="20"/>
          <w:szCs w:val="20"/>
          <w:color w:val="auto"/>
        </w:rPr>
      </w:pPr>
      <w:r>
        <w:rPr>
          <w:rFonts w:ascii="Times New Roman" w:cs="Times New Roman" w:eastAsia="Times New Roman" w:hAnsi="Times New Roman"/>
          <w:sz w:val="14"/>
          <w:szCs w:val="14"/>
          <w:color w:val="auto"/>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36" w:lineRule="exact"/>
        <w:rPr>
          <w:sz w:val="20"/>
          <w:szCs w:val="20"/>
          <w:color w:val="auto"/>
        </w:rPr>
      </w:pPr>
    </w:p>
    <w:p>
      <w:pPr>
        <w:ind w:left="660" w:hanging="145"/>
        <w:spacing w:after="0"/>
        <w:tabs>
          <w:tab w:leader="none" w:pos="66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20" w:firstLine="1151"/>
        <w:spacing w:after="0" w:line="267" w:lineRule="auto"/>
        <w:rPr>
          <w:sz w:val="20"/>
          <w:szCs w:val="20"/>
          <w:color w:val="auto"/>
        </w:rPr>
      </w:pPr>
      <w:r>
        <w:rPr>
          <w:rFonts w:ascii="Times New Roman" w:cs="Times New Roman" w:eastAsia="Times New Roman" w:hAnsi="Times New Roman"/>
          <w:sz w:val="14"/>
          <w:szCs w:val="14"/>
          <w:color w:val="auto"/>
        </w:rPr>
        <w:t>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9 of the Plan.</w:t>
      </w:r>
    </w:p>
    <w:p>
      <w:pPr>
        <w:spacing w:after="0" w:line="136" w:lineRule="exact"/>
        <w:rPr>
          <w:sz w:val="20"/>
          <w:szCs w:val="20"/>
          <w:color w:val="auto"/>
        </w:rPr>
      </w:pPr>
    </w:p>
    <w:p>
      <w:pPr>
        <w:ind w:left="660" w:hanging="145"/>
        <w:spacing w:after="0"/>
        <w:tabs>
          <w:tab w:leader="none" w:pos="66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OF OPTION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20" w:firstLine="1151"/>
        <w:spacing w:after="0" w:line="283" w:lineRule="auto"/>
        <w:rPr>
          <w:sz w:val="20"/>
          <w:szCs w:val="20"/>
          <w:color w:val="auto"/>
        </w:rPr>
      </w:pPr>
      <w:r>
        <w:rPr>
          <w:rFonts w:ascii="Times New Roman" w:cs="Times New Roman" w:eastAsia="Times New Roman" w:hAnsi="Times New Roman"/>
          <w:sz w:val="14"/>
          <w:szCs w:val="14"/>
          <w:color w:val="auto"/>
        </w:rPr>
        <w:t>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25" w:lineRule="exact"/>
        <w:rPr>
          <w:sz w:val="20"/>
          <w:szCs w:val="20"/>
          <w:color w:val="auto"/>
        </w:rPr>
      </w:pPr>
    </w:p>
    <w:p>
      <w:pPr>
        <w:ind w:left="660" w:hanging="145"/>
        <w:spacing w:after="0"/>
        <w:tabs>
          <w:tab w:leader="none" w:pos="66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OPTION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51"/>
        <w:spacing w:after="0" w:line="267" w:lineRule="auto"/>
        <w:rPr>
          <w:sz w:val="20"/>
          <w:szCs w:val="20"/>
          <w:color w:val="auto"/>
        </w:rPr>
      </w:pPr>
      <w:r>
        <w:rPr>
          <w:rFonts w:ascii="Times New Roman" w:cs="Times New Roman" w:eastAsia="Times New Roman" w:hAnsi="Times New Roman"/>
          <w:sz w:val="14"/>
          <w:szCs w:val="14"/>
          <w:color w:val="auto"/>
        </w:rPr>
        <w:t>This Option shall terminate on the Option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136" w:lineRule="exact"/>
        <w:rPr>
          <w:sz w:val="20"/>
          <w:szCs w:val="20"/>
          <w:color w:val="auto"/>
        </w:rPr>
      </w:pPr>
    </w:p>
    <w:p>
      <w:pPr>
        <w:ind w:firstLine="1151"/>
        <w:spacing w:after="0" w:line="258" w:lineRule="auto"/>
        <w:rPr>
          <w:sz w:val="20"/>
          <w:szCs w:val="20"/>
          <w:color w:val="auto"/>
        </w:rPr>
      </w:pPr>
      <w:r>
        <w:rPr>
          <w:rFonts w:ascii="Times New Roman" w:cs="Times New Roman" w:eastAsia="Times New Roman" w:hAnsi="Times New Roman"/>
          <w:sz w:val="14"/>
          <w:szCs w:val="14"/>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44" w:lineRule="exact"/>
        <w:rPr>
          <w:sz w:val="20"/>
          <w:szCs w:val="20"/>
          <w:color w:val="auto"/>
        </w:rPr>
      </w:pPr>
    </w:p>
    <w:p>
      <w:pPr>
        <w:ind w:right="60" w:firstLine="1151"/>
        <w:spacing w:after="0" w:line="267" w:lineRule="auto"/>
        <w:rPr>
          <w:sz w:val="20"/>
          <w:szCs w:val="20"/>
          <w:color w:val="auto"/>
        </w:rPr>
      </w:pPr>
      <w:r>
        <w:rPr>
          <w:rFonts w:ascii="Times New Roman" w:cs="Times New Roman" w:eastAsia="Times New Roman" w:hAnsi="Times New Roman"/>
          <w:sz w:val="14"/>
          <w:szCs w:val="14"/>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456565</wp:posOffset>
            </wp:positionV>
            <wp:extent cx="7188200"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64" w:right="359" w:bottom="1440" w:gutter="0" w:footer="0" w:header="0"/>
        </w:sectPr>
      </w:pPr>
    </w:p>
    <w:bookmarkStart w:id="362" w:name="page363"/>
    <w:bookmarkEnd w:id="362"/>
    <w:p>
      <w:pPr>
        <w:ind w:right="100"/>
        <w:spacing w:after="0" w:line="267" w:lineRule="auto"/>
        <w:rPr>
          <w:sz w:val="20"/>
          <w:szCs w:val="20"/>
          <w:color w:val="auto"/>
        </w:rPr>
      </w:pPr>
      <w:r>
        <w:rPr>
          <w:rFonts w:ascii="Times New Roman" w:cs="Times New Roman" w:eastAsia="Times New Roman" w:hAnsi="Times New Roman"/>
          <w:sz w:val="14"/>
          <w:szCs w:val="14"/>
          <w:color w:val="auto"/>
        </w:rPr>
        <w:t>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36" w:lineRule="exact"/>
        <w:rPr>
          <w:sz w:val="20"/>
          <w:szCs w:val="20"/>
          <w:color w:val="auto"/>
        </w:rPr>
      </w:pPr>
    </w:p>
    <w:p>
      <w:pPr>
        <w:ind w:right="260" w:firstLine="1151"/>
        <w:spacing w:after="0" w:line="283" w:lineRule="auto"/>
        <w:rPr>
          <w:sz w:val="20"/>
          <w:szCs w:val="20"/>
          <w:color w:val="auto"/>
        </w:rPr>
      </w:pPr>
      <w:r>
        <w:rPr>
          <w:rFonts w:ascii="Times New Roman" w:cs="Times New Roman" w:eastAsia="Times New Roman" w:hAnsi="Times New Roman"/>
          <w:sz w:val="14"/>
          <w:szCs w:val="14"/>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Option Expiration Date as specified in the Stock Option Grant Notice.</w:t>
      </w:r>
    </w:p>
    <w:p>
      <w:pPr>
        <w:spacing w:after="0" w:line="125" w:lineRule="exact"/>
        <w:rPr>
          <w:sz w:val="20"/>
          <w:szCs w:val="20"/>
          <w:color w:val="auto"/>
        </w:rPr>
      </w:pPr>
    </w:p>
    <w:p>
      <w:pPr>
        <w:jc w:val="both"/>
        <w:ind w:right="20" w:firstLine="1151"/>
        <w:spacing w:after="0" w:line="261" w:lineRule="auto"/>
        <w:rPr>
          <w:sz w:val="20"/>
          <w:szCs w:val="20"/>
          <w:color w:val="auto"/>
        </w:rPr>
      </w:pPr>
      <w:r>
        <w:rPr>
          <w:rFonts w:ascii="Times New Roman" w:cs="Times New Roman" w:eastAsia="Times New Roman" w:hAnsi="Times New Roman"/>
          <w:sz w:val="14"/>
          <w:szCs w:val="14"/>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09" w:lineRule="exact"/>
        <w:rPr>
          <w:sz w:val="20"/>
          <w:szCs w:val="20"/>
          <w:color w:val="auto"/>
        </w:rPr>
      </w:pPr>
    </w:p>
    <w:p>
      <w:pPr>
        <w:ind w:right="300" w:firstLine="1151"/>
        <w:spacing w:after="0" w:line="283" w:lineRule="auto"/>
        <w:rPr>
          <w:sz w:val="20"/>
          <w:szCs w:val="20"/>
          <w:color w:val="auto"/>
        </w:rPr>
      </w:pPr>
      <w:r>
        <w:rPr>
          <w:rFonts w:ascii="Times New Roman" w:cs="Times New Roman" w:eastAsia="Times New Roman" w:hAnsi="Times New Roman"/>
          <w:sz w:val="14"/>
          <w:szCs w:val="14"/>
          <w:color w:val="auto"/>
        </w:rPr>
        <w:t>In the event of the Disability of the Participant, as determined in accordance with the Plan, the Option shall be exercisable within one year after the Participant’s termination of service due to Disability or, if earlier, on or prior to the Option Expiration Date as specified in the Stock Option Grant Notice. In such event, the Option shall be exercisable:</w:t>
      </w:r>
    </w:p>
    <w:p>
      <w:pPr>
        <w:spacing w:after="0" w:line="41" w:lineRule="exact"/>
        <w:rPr>
          <w:sz w:val="20"/>
          <w:szCs w:val="20"/>
          <w:color w:val="auto"/>
        </w:rPr>
      </w:pPr>
    </w:p>
    <w:p>
      <w:pPr>
        <w:ind w:left="1660" w:hanging="513"/>
        <w:spacing w:after="0"/>
        <w:tabs>
          <w:tab w:leader="none" w:pos="166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Option has become exercisable but has not been exercised as of the date of the Participant’s termination of service due to Disability; and</w:t>
      </w:r>
    </w:p>
    <w:p>
      <w:pPr>
        <w:spacing w:after="0" w:line="91" w:lineRule="exact"/>
        <w:rPr>
          <w:rFonts w:ascii="Times New Roman" w:cs="Times New Roman" w:eastAsia="Times New Roman" w:hAnsi="Times New Roman"/>
          <w:sz w:val="14"/>
          <w:szCs w:val="14"/>
          <w:color w:val="auto"/>
        </w:rPr>
      </w:pPr>
    </w:p>
    <w:p>
      <w:pPr>
        <w:jc w:val="both"/>
        <w:ind w:left="1660" w:right="20" w:hanging="513"/>
        <w:spacing w:after="0" w:line="267" w:lineRule="auto"/>
        <w:tabs>
          <w:tab w:leader="none" w:pos="166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36" w:lineRule="exact"/>
        <w:rPr>
          <w:sz w:val="20"/>
          <w:szCs w:val="20"/>
          <w:color w:val="auto"/>
        </w:rPr>
      </w:pPr>
    </w:p>
    <w:p>
      <w:pPr>
        <w:ind w:right="140" w:firstLine="1151"/>
        <w:spacing w:after="0" w:line="267" w:lineRule="auto"/>
        <w:rPr>
          <w:sz w:val="20"/>
          <w:szCs w:val="20"/>
          <w:color w:val="auto"/>
        </w:rPr>
      </w:pPr>
      <w:r>
        <w:rPr>
          <w:rFonts w:ascii="Times New Roman" w:cs="Times New Roman" w:eastAsia="Times New Roman" w:hAnsi="Times New Roman"/>
          <w:sz w:val="14"/>
          <w:szCs w:val="14"/>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p>
      <w:pPr>
        <w:spacing w:after="0" w:line="51" w:lineRule="exact"/>
        <w:rPr>
          <w:sz w:val="20"/>
          <w:szCs w:val="20"/>
          <w:color w:val="auto"/>
        </w:rPr>
      </w:pPr>
    </w:p>
    <w:p>
      <w:pPr>
        <w:ind w:left="1660" w:hanging="513"/>
        <w:spacing w:after="0"/>
        <w:tabs>
          <w:tab w:leader="none" w:pos="166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Option has become exercisable but has not been exercised as of the date of death; and</w:t>
      </w:r>
    </w:p>
    <w:p>
      <w:pPr>
        <w:spacing w:after="0" w:line="91" w:lineRule="exact"/>
        <w:rPr>
          <w:rFonts w:ascii="Times New Roman" w:cs="Times New Roman" w:eastAsia="Times New Roman" w:hAnsi="Times New Roman"/>
          <w:sz w:val="14"/>
          <w:szCs w:val="14"/>
          <w:color w:val="auto"/>
        </w:rPr>
      </w:pPr>
    </w:p>
    <w:p>
      <w:pPr>
        <w:ind w:left="1660" w:right="180" w:hanging="513"/>
        <w:spacing w:after="0" w:line="267" w:lineRule="auto"/>
        <w:tabs>
          <w:tab w:leader="none" w:pos="166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35"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EXERCISING OPTION.</w:t>
      </w:r>
    </w:p>
    <w:p>
      <w:pPr>
        <w:spacing w:after="0" w:line="175" w:lineRule="exact"/>
        <w:rPr>
          <w:sz w:val="20"/>
          <w:szCs w:val="20"/>
          <w:color w:val="auto"/>
        </w:rPr>
      </w:pPr>
    </w:p>
    <w:p>
      <w:pPr>
        <w:ind w:firstLine="1151"/>
        <w:spacing w:after="0" w:line="254" w:lineRule="auto"/>
        <w:rPr>
          <w:sz w:val="20"/>
          <w:szCs w:val="20"/>
          <w:color w:val="auto"/>
        </w:rPr>
      </w:pPr>
      <w:r>
        <w:rPr>
          <w:rFonts w:ascii="Times New Roman" w:cs="Times New Roman" w:eastAsia="Times New Roman" w:hAnsi="Times New Roman"/>
          <w:sz w:val="14"/>
          <w:szCs w:val="14"/>
          <w:color w:val="auto"/>
        </w:rPr>
        <w:t xml:space="preserve">Subject to the terms and conditions of this Agreement, the Option may be exercised by written notice to the Company or its designee, in substantially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9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63" w:name="page364"/>
    <w:bookmarkEnd w:id="363"/>
    <w:p>
      <w:pPr>
        <w:ind w:left="660" w:hanging="145"/>
        <w:spacing w:after="0"/>
        <w:tabs>
          <w:tab w:leader="none" w:pos="66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EXERCISE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340" w:firstLine="1151"/>
        <w:spacing w:after="0" w:line="283" w:lineRule="auto"/>
        <w:rPr>
          <w:sz w:val="20"/>
          <w:szCs w:val="20"/>
          <w:color w:val="auto"/>
        </w:rPr>
      </w:pPr>
      <w:r>
        <w:rPr>
          <w:rFonts w:ascii="Times New Roman" w:cs="Times New Roman" w:eastAsia="Times New Roman" w:hAnsi="Times New Roman"/>
          <w:sz w:val="14"/>
          <w:szCs w:val="14"/>
          <w:color w:val="auto"/>
        </w:rPr>
        <w:t>Exercise of this Option to the extent above stated may be made in part at any time and from time to time within the above limits, except that no fractional share shall be issued pursuant to this Option.</w:t>
      </w:r>
    </w:p>
    <w:p>
      <w:pPr>
        <w:spacing w:after="0" w:line="125" w:lineRule="exact"/>
        <w:rPr>
          <w:sz w:val="20"/>
          <w:szCs w:val="20"/>
          <w:color w:val="auto"/>
        </w:rPr>
      </w:pPr>
    </w:p>
    <w:p>
      <w:pPr>
        <w:ind w:left="660" w:hanging="145"/>
        <w:spacing w:after="0"/>
        <w:tabs>
          <w:tab w:leader="none" w:pos="66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NON-ASSIGNABILITY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20" w:firstLine="1151"/>
        <w:spacing w:after="0" w:line="256" w:lineRule="auto"/>
        <w:rPr>
          <w:sz w:val="20"/>
          <w:szCs w:val="20"/>
          <w:color w:val="auto"/>
        </w:rPr>
      </w:pPr>
      <w:r>
        <w:rPr>
          <w:rFonts w:ascii="Times New Roman" w:cs="Times New Roman" w:eastAsia="Times New Roman" w:hAnsi="Times New Roman"/>
          <w:sz w:val="14"/>
          <w:szCs w:val="14"/>
          <w:color w:val="auto"/>
        </w:rPr>
        <w:t>The Option shall not be transferable by the Participant otherwise than by will or by the laws of descent and distribution. For California Participants, the Option shall not be transferable other than by will, by the laws of descent and distribution, to a revocable trust or as permitted by Rule 701 of the Securities Act of 1933. If this Option is a Non-Qualified Option then it may also be transferred pursuant to a qualified domestic relations order as defined by the Code or Title I of the Employee Retirement Income Security Act or the rules thereunder.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144" w:lineRule="exact"/>
        <w:rPr>
          <w:sz w:val="20"/>
          <w:szCs w:val="20"/>
          <w:color w:val="auto"/>
        </w:rPr>
      </w:pPr>
    </w:p>
    <w:p>
      <w:pPr>
        <w:ind w:left="660" w:hanging="145"/>
        <w:spacing w:after="0"/>
        <w:tabs>
          <w:tab w:leader="none" w:pos="66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 UNTIL EXERCISE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67" w:lineRule="auto"/>
        <w:rPr>
          <w:sz w:val="20"/>
          <w:szCs w:val="20"/>
          <w:color w:val="auto"/>
        </w:rPr>
      </w:pPr>
      <w:r>
        <w:rPr>
          <w:rFonts w:ascii="Times New Roman" w:cs="Times New Roman" w:eastAsia="Times New Roman" w:hAnsi="Times New Roman"/>
          <w:sz w:val="14"/>
          <w:szCs w:val="14"/>
          <w:color w:val="auto"/>
        </w:rPr>
        <w:t>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36" w:lineRule="exact"/>
        <w:rPr>
          <w:sz w:val="20"/>
          <w:szCs w:val="20"/>
          <w:color w:val="auto"/>
        </w:rPr>
      </w:pPr>
    </w:p>
    <w:p>
      <w:pPr>
        <w:ind w:left="660" w:hanging="145"/>
        <w:spacing w:after="0"/>
        <w:tabs>
          <w:tab w:leader="none" w:pos="66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80" w:firstLine="1151"/>
        <w:spacing w:after="0" w:line="283" w:lineRule="auto"/>
        <w:rPr>
          <w:sz w:val="20"/>
          <w:szCs w:val="20"/>
          <w:color w:val="auto"/>
        </w:rPr>
      </w:pPr>
      <w:r>
        <w:rPr>
          <w:rFonts w:ascii="Times New Roman" w:cs="Times New Roman" w:eastAsia="Times New Roman" w:hAnsi="Times New Roman"/>
          <w:sz w:val="14"/>
          <w:szCs w:val="14"/>
          <w:color w:val="auto"/>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25" w:lineRule="exact"/>
        <w:rPr>
          <w:sz w:val="20"/>
          <w:szCs w:val="20"/>
          <w:color w:val="auto"/>
        </w:rPr>
      </w:pPr>
    </w:p>
    <w:p>
      <w:pPr>
        <w:ind w:left="720" w:hanging="205"/>
        <w:spacing w:after="0"/>
        <w:tabs>
          <w:tab w:leader="none" w:pos="72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60" w:firstLine="1151"/>
        <w:spacing w:after="0" w:line="256" w:lineRule="auto"/>
        <w:rPr>
          <w:sz w:val="20"/>
          <w:szCs w:val="20"/>
          <w:color w:val="auto"/>
        </w:rPr>
      </w:pPr>
      <w:r>
        <w:rPr>
          <w:rFonts w:ascii="Times New Roman" w:cs="Times New Roman" w:eastAsia="Times New Roman" w:hAnsi="Times New Roman"/>
          <w:sz w:val="14"/>
          <w:szCs w:val="14"/>
          <w:color w:val="auto"/>
        </w:rPr>
        <w:t>The Participant acknowledges and agrees that (i) any income or other taxes due from the Participant with respect to this Option or the Shares issuable upon exercise of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44" w:lineRule="exact"/>
        <w:rPr>
          <w:sz w:val="20"/>
          <w:szCs w:val="20"/>
          <w:color w:val="auto"/>
        </w:rPr>
      </w:pPr>
    </w:p>
    <w:p>
      <w:pPr>
        <w:ind w:right="120" w:firstLine="1151"/>
        <w:spacing w:after="0" w:line="257" w:lineRule="auto"/>
        <w:rPr>
          <w:sz w:val="20"/>
          <w:szCs w:val="20"/>
          <w:color w:val="auto"/>
        </w:rPr>
      </w:pPr>
      <w:r>
        <w:rPr>
          <w:rFonts w:ascii="Times New Roman" w:cs="Times New Roman" w:eastAsia="Times New Roman" w:hAnsi="Times New Roman"/>
          <w:sz w:val="14"/>
          <w:szCs w:val="14"/>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64" w:name="page365"/>
    <w:bookmarkEnd w:id="364"/>
    <w:p>
      <w:pPr>
        <w:ind w:left="720" w:hanging="205"/>
        <w:spacing w:after="0"/>
        <w:tabs>
          <w:tab w:leader="none" w:pos="72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FOR INVESTMENT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67" w:lineRule="auto"/>
        <w:rPr>
          <w:sz w:val="20"/>
          <w:szCs w:val="20"/>
          <w:color w:val="auto"/>
        </w:rPr>
      </w:pPr>
      <w:r>
        <w:rPr>
          <w:rFonts w:ascii="Times New Roman" w:cs="Times New Roman" w:eastAsia="Times New Roman" w:hAnsi="Times New Roman"/>
          <w:sz w:val="14"/>
          <w:szCs w:val="14"/>
          <w:color w:val="auto"/>
        </w:rPr>
        <w:t>Unless the offering and sale of the Shares to be issued upon the particular exercise of the Option shall have been effectively registered under the Securities Act of 1933, as now in force or hereafter amended (the “1933 Act”), the Company shall be under no obligation to issue the Shares covered by such exercise unless the Company has determined that such exercise and issuance would be exempt from the registration requirements of the 1933 Act and until the following conditions have been fulfilled:</w:t>
      </w:r>
    </w:p>
    <w:p>
      <w:pPr>
        <w:spacing w:after="0" w:line="136" w:lineRule="exact"/>
        <w:rPr>
          <w:sz w:val="20"/>
          <w:szCs w:val="20"/>
          <w:color w:val="auto"/>
        </w:rPr>
      </w:pPr>
    </w:p>
    <w:p>
      <w:pPr>
        <w:ind w:left="1660" w:right="160" w:hanging="513"/>
        <w:spacing w:after="0" w:line="267" w:lineRule="auto"/>
        <w:tabs>
          <w:tab w:leader="none" w:pos="166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35" w:lineRule="exact"/>
        <w:rPr>
          <w:rFonts w:ascii="Times New Roman" w:cs="Times New Roman" w:eastAsia="Times New Roman" w:hAnsi="Times New Roman"/>
          <w:sz w:val="14"/>
          <w:szCs w:val="14"/>
          <w:color w:val="auto"/>
        </w:rPr>
      </w:pPr>
    </w:p>
    <w:p>
      <w:pPr>
        <w:ind w:left="1660" w:right="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40" w:lineRule="exact"/>
        <w:rPr>
          <w:rFonts w:ascii="Times New Roman" w:cs="Times New Roman" w:eastAsia="Times New Roman" w:hAnsi="Times New Roman"/>
          <w:sz w:val="14"/>
          <w:szCs w:val="14"/>
          <w:color w:val="auto"/>
        </w:rPr>
      </w:pPr>
    </w:p>
    <w:p>
      <w:pPr>
        <w:ind w:left="1660" w:right="6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If the Company so requires, the Company shall have received an opinion of its counsel that the Shares may be issued upon such particular exercise in compliance with the 1933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35"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12.1 The Shares acquired by the Participant pursuant to the exercise of the Option granted hereby shall not be transferred by the Participant except as permitted herein.</w:t>
      </w:r>
    </w:p>
    <w:p>
      <w:pPr>
        <w:spacing w:after="0" w:line="175"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12.2 In the event of the Participant’s termination of service for any reason, the Company shall have the option, but not the obligation, to repurchase all or any part of the Shares issued pursuant to this Agreement (including, without limitation, Shares purchased after termination of service, Disability or death in accordance with Section 4 hereof). In the event the Company does not, upon the termination of service of the Participant (as described above), exercise its option pursuant to this Section 12.2, the restrictions set forth in the balance of this Agreement shall not thereby lapse, and the Participant for himself or herself, his or her heirs, legatees, executors, administrators and other successors in interest, agrees that the Shares shall remain subject to such restrictions. The following provisions shall apply to a repurchase under this Section 12.2:</w:t>
      </w:r>
    </w:p>
    <w:p>
      <w:pPr>
        <w:spacing w:after="0" w:line="144" w:lineRule="exact"/>
        <w:rPr>
          <w:sz w:val="20"/>
          <w:szCs w:val="20"/>
          <w:color w:val="auto"/>
        </w:rPr>
      </w:pPr>
    </w:p>
    <w:p>
      <w:pPr>
        <w:ind w:left="1140" w:right="100" w:hanging="505"/>
        <w:spacing w:after="0" w:line="261" w:lineRule="auto"/>
        <w:tabs>
          <w:tab w:leader="none" w:pos="114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repurchase price of the Shares to be sold to the Company upon exercise of its option under this Section 12.2 shall be equal to the Fair Market Value of each such Share determined in accordance with the Plan as of the date of repurchase provided, however, in the event of a termination by the Company for Cause, the per share repurchase price of the Shares to be sold to the Company upon exercise of its option under this Section 12.2 shall be equal to the lesser of the Exercise Price and the Fair Market Value on the date of the repurchase.</w:t>
      </w:r>
    </w:p>
    <w:p>
      <w:pPr>
        <w:spacing w:after="0" w:line="140" w:lineRule="exact"/>
        <w:rPr>
          <w:rFonts w:ascii="Times New Roman" w:cs="Times New Roman" w:eastAsia="Times New Roman" w:hAnsi="Times New Roman"/>
          <w:sz w:val="14"/>
          <w:szCs w:val="14"/>
          <w:color w:val="auto"/>
        </w:rPr>
      </w:pPr>
    </w:p>
    <w:p>
      <w:pPr>
        <w:ind w:left="1140" w:right="360" w:hanging="505"/>
        <w:spacing w:after="0" w:line="283" w:lineRule="auto"/>
        <w:tabs>
          <w:tab w:leader="none" w:pos="114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option to repurchase the Participant’s Shares in the event of termination of service shall be valid for a period of 12 months commencing with the date of such termination of service.</w:t>
      </w:r>
    </w:p>
    <w:p>
      <w:pPr>
        <w:spacing w:after="0" w:line="124" w:lineRule="exact"/>
        <w:rPr>
          <w:rFonts w:ascii="Times New Roman" w:cs="Times New Roman" w:eastAsia="Times New Roman" w:hAnsi="Times New Roman"/>
          <w:sz w:val="14"/>
          <w:szCs w:val="14"/>
          <w:color w:val="auto"/>
        </w:rPr>
      </w:pPr>
    </w:p>
    <w:p>
      <w:pPr>
        <w:ind w:left="1140" w:right="60" w:hanging="505"/>
        <w:spacing w:after="0" w:line="267" w:lineRule="auto"/>
        <w:tabs>
          <w:tab w:leader="none" w:pos="114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shall be entitled to and shall elect to exercise its option to repurchase the Participant’s Shares under this Section 12.2, the Company shall notify the Participant, or in case of death, his or her Survivor, in writing of its intent to repurchase the Shares. Such written notice may be mailed by the Company up to and including the last day of the time period provided for in Section 12.2(ii) for exercise of the Company’s option to repurchase.</w:t>
      </w:r>
    </w:p>
    <w:p>
      <w:pPr>
        <w:spacing w:after="0" w:line="135" w:lineRule="exact"/>
        <w:rPr>
          <w:rFonts w:ascii="Times New Roman" w:cs="Times New Roman" w:eastAsia="Times New Roman" w:hAnsi="Times New Roman"/>
          <w:sz w:val="14"/>
          <w:szCs w:val="14"/>
          <w:color w:val="auto"/>
        </w:rPr>
      </w:pPr>
    </w:p>
    <w:p>
      <w:pPr>
        <w:ind w:left="1140" w:right="40" w:hanging="505"/>
        <w:spacing w:after="0" w:line="258" w:lineRule="auto"/>
        <w:tabs>
          <w:tab w:leader="none" w:pos="114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written notice to the Participant shall specify the address at, and the time and date on, which payment of the repurchase price is to be made (the “Closing”). The date specified shall not be less than ten days nor more than 60 days from the date of the mailing of the notice, and the Participant or his or her successor in interest with respect to the Shares shall have no further rights as the owner thereof from and after the date specified in the notice. At the Closing, the repurchase price shall be delivered to the Participant or his or her successor in interest and the Shares being purchased, duly endorsed for transfer, shall, to the extent that they are not then in the possession of the Company, be delivered to the Company by the Participant or his or her successor in interest.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65" w:name="page366"/>
    <w:bookmarkEnd w:id="365"/>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12.3 It shall be a condition precedent to the validity of any sale or other transfer of any Shares by the Participant that the following restrictions be complied with (except as otherwise provided in this Section 12):</w:t>
      </w:r>
    </w:p>
    <w:p>
      <w:pPr>
        <w:spacing w:after="0" w:line="125" w:lineRule="exact"/>
        <w:rPr>
          <w:sz w:val="20"/>
          <w:szCs w:val="20"/>
          <w:color w:val="auto"/>
        </w:rPr>
      </w:pPr>
    </w:p>
    <w:p>
      <w:pPr>
        <w:ind w:left="1140" w:right="20" w:hanging="505"/>
        <w:spacing w:after="0" w:line="283" w:lineRule="auto"/>
        <w:tabs>
          <w:tab w:leader="none" w:pos="114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owned by the Participant may be sold, pledged or otherwise transferred (including by gift or devise) to any person or entity, voluntarily, or by operation of law, except in accordance with the terms and conditions hereinafter set forth.</w:t>
      </w:r>
    </w:p>
    <w:p>
      <w:pPr>
        <w:spacing w:after="0" w:line="124" w:lineRule="exact"/>
        <w:rPr>
          <w:rFonts w:ascii="Times New Roman" w:cs="Times New Roman" w:eastAsia="Times New Roman" w:hAnsi="Times New Roman"/>
          <w:sz w:val="14"/>
          <w:szCs w:val="14"/>
          <w:color w:val="auto"/>
        </w:rPr>
      </w:pPr>
    </w:p>
    <w:p>
      <w:pPr>
        <w:ind w:left="1140" w:hanging="505"/>
        <w:spacing w:after="0" w:line="253" w:lineRule="auto"/>
        <w:tabs>
          <w:tab w:leader="none" w:pos="114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selling or otherwise transferring all or part of the Shares, the Participant shall give written notice of such intention to the Company, which notice shall include the name of the proposed transferee, the proposed purchase price per share, the terms of payment of such purchase price and all other matters relating to such sale or transfer and shall be accompanied by a copy of the binding written agreement of the proposed transferee to purchase the Shares of the Participant. Such notice shall constitute a binding offer by the Participant to sell to the Company such number of the Shares then held by the Participant as are proposed to be sold in the notice at the monetary price per share designated in such notice, payable on the terms offered to the Participant by the proposed transferee (provided, however, that the Company shall not be required to meet any non-monetary terms of the proposed transfer, including, without limitation, delivery of other securities in exchange for the Shares proposed to be sold). The Company shall give written notice to the Participant as to whether such offer has been accepted in whole by the Company within 60 days after its receipt of written notice from the Participant. The Company may only accept such offer in whole and may not accept such offer in part. Such acceptance notice shall fix a time, location and date for the Closing on such purchase (“Closing Date”) which shall not be less than ten nor more than sixty days after the giving of the acceptance notice, provided, however, if any of the Shares to be sold pursuant to this Section 12.3 have been held by the Participant for less than six months, then the Closing Date may be extended by the Company until no more than ten days after such Shares have been held by the Participant for six months if required under applicable accounting rules in effect at the time. The place for such Closing shall be at the Company’s principal office. At such Closing, the Participant shall accept payment as set forth herein and shall deliver to the Company in exchange therefor certificates for the number of Shares stated in the notice accompanied by duly executed instruments of transfer.</w:t>
      </w:r>
    </w:p>
    <w:p>
      <w:pPr>
        <w:spacing w:after="0" w:line="148" w:lineRule="exact"/>
        <w:rPr>
          <w:rFonts w:ascii="Times New Roman" w:cs="Times New Roman" w:eastAsia="Times New Roman" w:hAnsi="Times New Roman"/>
          <w:sz w:val="14"/>
          <w:szCs w:val="14"/>
          <w:color w:val="auto"/>
        </w:rPr>
      </w:pPr>
    </w:p>
    <w:p>
      <w:pPr>
        <w:ind w:left="1140" w:right="20" w:hanging="505"/>
        <w:spacing w:after="0" w:line="258" w:lineRule="auto"/>
        <w:tabs>
          <w:tab w:leader="none" w:pos="114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fail to accept any such offer, the Participant shall be free to sell all, but not less than all, of the Shares set forth in his or her notice to the designated transferee at the price and terms designated in the Participant’s notice, provided that (i) such sale is consummated within six months after the giving of notice by the Participant to the Company as aforesaid, and (ii) the transferee first agrees in writing to be bound by the provisions of this Section 12 so that such transferee (and all subsequent transferees) shall thereafter only be permitted to sell or transfer the Shares in accordance with the terms hereof. After the expiration of such six months, the provisions of this Section 12.3 shall again apply with respect to any proposed voluntary transfer of the Participant’s Shares.</w:t>
      </w:r>
    </w:p>
    <w:p>
      <w:pPr>
        <w:spacing w:after="0" w:line="143" w:lineRule="exact"/>
        <w:rPr>
          <w:rFonts w:ascii="Times New Roman" w:cs="Times New Roman" w:eastAsia="Times New Roman" w:hAnsi="Times New Roman"/>
          <w:sz w:val="14"/>
          <w:szCs w:val="14"/>
          <w:color w:val="auto"/>
        </w:rPr>
      </w:pPr>
    </w:p>
    <w:p>
      <w:pPr>
        <w:ind w:left="1140" w:right="40" w:hanging="505"/>
        <w:spacing w:after="0" w:line="258" w:lineRule="auto"/>
        <w:tabs>
          <w:tab w:leader="none" w:pos="114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on transfer contained in this Section 12.3 shall not apply to (a) transfers by the Participant to his or her spouse or children or to a trust for the benefit of his or her spouse or children, (b) transfers by the Participant to his or her guardian or conservator, and (c) transfers by the Participant, in the event of his or her death, to his or her executor(s) or administrator(s) or to trustee(s) under his or her will (collectively, “Permitted Transferees”); provided however, that in any such event the Shares so transferred in the hands of each such Permitted Transferee shall remain subject to this Agreement, and each such Permitted Transferee shall so acknowledge in writing as a condition precedent to the effectiveness of such transfer.</w:t>
      </w:r>
    </w:p>
    <w:p>
      <w:pPr>
        <w:spacing w:after="0" w:line="143"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12.3 may be waived by the Company. Any such waiver may be unconditional or based upon such conditions as the Company may impose.</w:t>
      </w:r>
    </w:p>
    <w:p>
      <w:pPr>
        <w:spacing w:after="0" w:line="175"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4"/>
          <w:szCs w:val="14"/>
          <w:color w:val="auto"/>
        </w:rPr>
        <w:t>12.4 In the event that the Participant or his or her successor in interest fails to deliver the Shares to be repurchased by the Company under this Agreement, the Company may elect (a) to establish a segregated account in the amount of the repurchase price, such account to be turned over to the Participant or his or her successor in interest upon delivery of such Shares, and (b) immediately to take such action as is appropriate to transfer record title of such Shares from the Participant to the Company and to treat the Participant and such Shares in all respects as if delivery of such Shares had been made as required by this Agreement. The Participant hereby irrevocably grants the Company a power of attorney which shall be coupled with an interest for the purpose of effectuating the preceding sentence.</w:t>
      </w:r>
    </w:p>
    <w:p>
      <w:pPr>
        <w:spacing w:after="0" w:line="144"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4"/>
          <w:szCs w:val="14"/>
          <w:color w:val="auto"/>
        </w:rPr>
        <w:t>12.5 If the Company shall pay a stock dividend or declare a stock split on or with respect to any of its Common Stock, or otherwise distribute securities of the Company to the holders of its Common Stock, the number of shares of stock or other securities of the Company issued with respect to the shares then subject to the restrictions contained in this Agreement shall be added to the Shares subject to the Company’s rights to repurchase pursuant to this Agreement. If the Company shall distribute to its stockholders shares of stock of another corporation, the shares of stock of such other corporation, distributed with respect to the Shares then subject to the restrictions contained in this Agreement, shall be added to the Shares subject to the Company’s rights to repurchase pursuant to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66" w:name="page367"/>
    <w:bookmarkEnd w:id="366"/>
    <w:p>
      <w:pPr>
        <w:ind w:right="180" w:firstLine="511"/>
        <w:spacing w:after="0" w:line="261" w:lineRule="auto"/>
        <w:rPr>
          <w:sz w:val="20"/>
          <w:szCs w:val="20"/>
          <w:color w:val="auto"/>
        </w:rPr>
      </w:pPr>
      <w:r>
        <w:rPr>
          <w:rFonts w:ascii="Times New Roman" w:cs="Times New Roman" w:eastAsia="Times New Roman" w:hAnsi="Times New Roman"/>
          <w:sz w:val="14"/>
          <w:szCs w:val="14"/>
          <w:color w:val="auto"/>
        </w:rPr>
        <w:t>12.6 If the outstanding shares of Common Stock of the Company shall be subdivided into a greater number of shares or combined into a smaller number of shares, or in the event of a reclassification of the outstanding shares of Common Stock of the Company, or if the Company shall be a party to a merger, consolidation or capital reorganization, there shall be substituted for the Shares then subject to the restrictions contained in this Agreement such amount and kind of securities as are issued in such subdivision, combination, reclassification, merger, consolidation or capital reorganization in respect of the Shares subject immediately prior thereto to the Company’s rights to repurchase pursuant to this Agreement.</w:t>
      </w:r>
    </w:p>
    <w:p>
      <w:pPr>
        <w:spacing w:after="0" w:line="141" w:lineRule="exact"/>
        <w:rPr>
          <w:sz w:val="20"/>
          <w:szCs w:val="20"/>
          <w:color w:val="auto"/>
        </w:rPr>
      </w:pPr>
    </w:p>
    <w:p>
      <w:pPr>
        <w:ind w:right="40" w:firstLine="511"/>
        <w:spacing w:after="0" w:line="267" w:lineRule="auto"/>
        <w:rPr>
          <w:sz w:val="20"/>
          <w:szCs w:val="20"/>
          <w:color w:val="auto"/>
        </w:rPr>
      </w:pPr>
      <w:r>
        <w:rPr>
          <w:rFonts w:ascii="Times New Roman" w:cs="Times New Roman" w:eastAsia="Times New Roman" w:hAnsi="Times New Roman"/>
          <w:sz w:val="14"/>
          <w:szCs w:val="14"/>
          <w:color w:val="auto"/>
        </w:rPr>
        <w:t>12.7 The Company shall not be required to transfer any Shares on its books which shall have been sold, assigned or otherwise transferred in violation of this Agreement, or to treat as owner of such Shares, or to accord the right to vote as such owner or to pay dividends to, any person or organization to which any such Shares shall have been so sold, assigned or otherwise transferred, in violation of this Agreement.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12.8 The provisions of Sections 12.1, 12.2 and 12.3 shall terminate upon the effective date of the registration of the Shares pursuant to the Securities Exchange Act of 1934.</w:t>
      </w:r>
    </w:p>
    <w:p>
      <w:pPr>
        <w:spacing w:after="0" w:line="175"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4"/>
          <w:szCs w:val="14"/>
          <w:color w:val="auto"/>
        </w:rPr>
        <w:t>12.9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FINRA Rules or similar rules thereto promulgated by another regulatory authority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44" w:lineRule="exact"/>
        <w:rPr>
          <w:sz w:val="20"/>
          <w:szCs w:val="20"/>
          <w:color w:val="auto"/>
        </w:rPr>
      </w:pPr>
    </w:p>
    <w:p>
      <w:pPr>
        <w:jc w:val="both"/>
        <w:ind w:right="200" w:firstLine="511"/>
        <w:spacing w:after="0" w:line="267" w:lineRule="auto"/>
        <w:rPr>
          <w:sz w:val="20"/>
          <w:szCs w:val="20"/>
          <w:color w:val="auto"/>
        </w:rPr>
      </w:pPr>
      <w:r>
        <w:rPr>
          <w:rFonts w:ascii="Times New Roman" w:cs="Times New Roman" w:eastAsia="Times New Roman" w:hAnsi="Times New Roman"/>
          <w:sz w:val="14"/>
          <w:szCs w:val="14"/>
          <w:color w:val="auto"/>
        </w:rPr>
        <w:t>12.10 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136" w:lineRule="exact"/>
        <w:rPr>
          <w:sz w:val="20"/>
          <w:szCs w:val="20"/>
          <w:color w:val="auto"/>
        </w:rPr>
      </w:pPr>
    </w:p>
    <w:p>
      <w:pPr>
        <w:ind w:right="60" w:firstLine="511"/>
        <w:spacing w:after="0" w:line="267" w:lineRule="auto"/>
        <w:rPr>
          <w:sz w:val="20"/>
          <w:szCs w:val="20"/>
          <w:color w:val="auto"/>
        </w:rPr>
      </w:pPr>
      <w:r>
        <w:rPr>
          <w:rFonts w:ascii="Times New Roman" w:cs="Times New Roman" w:eastAsia="Times New Roman" w:hAnsi="Times New Roman"/>
          <w:sz w:val="14"/>
          <w:szCs w:val="14"/>
          <w:color w:val="auto"/>
        </w:rPr>
        <w:t>12.11 All certificates representing the Shares to be issued to the Participant pursuant to this Agreement shall have endorsed thereon a legend substantially as follows: “The shares represented by this certificate are subject to restrictions set forth in a Stock Option Agreement dated [Date] with this Company, a copy of which Agreement is available for inspection at the offices of the Company or will be made available upon request.”</w:t>
      </w:r>
    </w:p>
    <w:p>
      <w:pPr>
        <w:spacing w:after="0" w:line="136" w:lineRule="exact"/>
        <w:rPr>
          <w:sz w:val="20"/>
          <w:szCs w:val="20"/>
          <w:color w:val="auto"/>
        </w:rPr>
      </w:pPr>
    </w:p>
    <w:p>
      <w:pPr>
        <w:ind w:left="720" w:hanging="205"/>
        <w:spacing w:after="0"/>
        <w:tabs>
          <w:tab w:leader="none" w:pos="72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OBLIGATION TO MAINTAIN RELATIONSHIP</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56" w:lineRule="auto"/>
        <w:rPr>
          <w:sz w:val="20"/>
          <w:szCs w:val="20"/>
          <w:color w:val="auto"/>
        </w:rPr>
      </w:pPr>
      <w:r>
        <w:rPr>
          <w:rFonts w:ascii="Times New Roman" w:cs="Times New Roman" w:eastAsia="Times New Roman" w:hAnsi="Times New Roman"/>
          <w:sz w:val="14"/>
          <w:szCs w:val="14"/>
          <w:color w:val="auto"/>
        </w:rPr>
        <w:t>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44" w:lineRule="exact"/>
        <w:rPr>
          <w:sz w:val="20"/>
          <w:szCs w:val="20"/>
          <w:color w:val="auto"/>
        </w:rPr>
      </w:pPr>
    </w:p>
    <w:p>
      <w:pPr>
        <w:ind w:left="720" w:hanging="205"/>
        <w:spacing w:after="0"/>
        <w:tabs>
          <w:tab w:leader="none" w:pos="72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IF OPTION IS INTENDED TO BE AN ISO</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51"/>
        <w:spacing w:after="0" w:line="261" w:lineRule="auto"/>
        <w:rPr>
          <w:sz w:val="20"/>
          <w:szCs w:val="20"/>
          <w:color w:val="auto"/>
        </w:rPr>
      </w:pPr>
      <w:r>
        <w:rPr>
          <w:rFonts w:ascii="Times New Roman" w:cs="Times New Roman" w:eastAsia="Times New Roman" w:hAnsi="Times New Roman"/>
          <w:sz w:val="14"/>
          <w:szCs w:val="14"/>
          <w:color w:val="auto"/>
        </w:rPr>
        <w:t>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67" w:name="page368"/>
    <w:bookmarkEnd w:id="367"/>
    <w:p>
      <w:pPr>
        <w:ind w:right="60" w:firstLine="1151"/>
        <w:spacing w:after="0" w:line="261" w:lineRule="auto"/>
        <w:rPr>
          <w:sz w:val="20"/>
          <w:szCs w:val="20"/>
          <w:color w:val="auto"/>
        </w:rPr>
      </w:pPr>
      <w:r>
        <w:rPr>
          <w:rFonts w:ascii="Times New Roman" w:cs="Times New Roman" w:eastAsia="Times New Roman" w:hAnsi="Times New Roman"/>
          <w:sz w:val="14"/>
          <w:szCs w:val="14"/>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41" w:lineRule="exact"/>
        <w:rPr>
          <w:sz w:val="20"/>
          <w:szCs w:val="20"/>
          <w:color w:val="auto"/>
        </w:rPr>
      </w:pPr>
    </w:p>
    <w:p>
      <w:pPr>
        <w:ind w:right="60" w:firstLine="1158"/>
        <w:spacing w:after="0" w:line="283" w:lineRule="auto"/>
        <w:rPr>
          <w:sz w:val="20"/>
          <w:szCs w:val="20"/>
          <w:color w:val="auto"/>
        </w:rPr>
      </w:pPr>
      <w:r>
        <w:rPr>
          <w:rFonts w:ascii="Times New Roman" w:cs="Times New Roman" w:eastAsia="Times New Roman" w:hAnsi="Times New Roman"/>
          <w:sz w:val="14"/>
          <w:szCs w:val="14"/>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125" w:lineRule="exact"/>
        <w:rPr>
          <w:sz w:val="20"/>
          <w:szCs w:val="20"/>
          <w:color w:val="auto"/>
        </w:rPr>
      </w:pPr>
    </w:p>
    <w:p>
      <w:pPr>
        <w:ind w:left="720" w:hanging="205"/>
        <w:spacing w:after="0"/>
        <w:tabs>
          <w:tab w:leader="none" w:pos="72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COMPANY OF DISQUALIFYING DISPOSITION OF AN ISO</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58" w:lineRule="auto"/>
        <w:rPr>
          <w:sz w:val="20"/>
          <w:szCs w:val="20"/>
          <w:color w:val="auto"/>
        </w:rPr>
      </w:pPr>
      <w:r>
        <w:rPr>
          <w:rFonts w:ascii="Times New Roman" w:cs="Times New Roman" w:eastAsia="Times New Roman" w:hAnsi="Times New Roman"/>
          <w:sz w:val="14"/>
          <w:szCs w:val="14"/>
          <w:color w:val="auto"/>
        </w:rPr>
        <w:t>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144" w:lineRule="exact"/>
        <w:rPr>
          <w:sz w:val="20"/>
          <w:szCs w:val="20"/>
          <w:color w:val="auto"/>
        </w:rPr>
      </w:pPr>
    </w:p>
    <w:p>
      <w:pPr>
        <w:ind w:left="720" w:hanging="205"/>
        <w:spacing w:after="0"/>
        <w:tabs>
          <w:tab w:leader="none" w:pos="72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340" w:firstLine="1151"/>
        <w:spacing w:after="0" w:line="283" w:lineRule="auto"/>
        <w:rPr>
          <w:sz w:val="20"/>
          <w:szCs w:val="20"/>
          <w:color w:val="auto"/>
        </w:rPr>
      </w:pPr>
      <w:r>
        <w:rPr>
          <w:rFonts w:ascii="Times New Roman" w:cs="Times New Roman" w:eastAsia="Times New Roman" w:hAnsi="Times New Roman"/>
          <w:sz w:val="14"/>
          <w:szCs w:val="14"/>
          <w:color w:val="auto"/>
        </w:rPr>
        <w:t>Any notices required or permitted by the terms of this Agreement or the Plan shall be given by recognized courier service, facsimile, registered or certified mail, return receipt requested, addressed as follows: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Parabilis Medicines, Inc.</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245 First Street, 18th Floor</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Attention: Secretary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Participant at the address set forth on the Stock Option Grant Notice</w:t>
      </w:r>
    </w:p>
    <w:p>
      <w:pPr>
        <w:spacing w:after="0" w:line="17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4"/>
          <w:szCs w:val="14"/>
          <w:color w:val="auto"/>
        </w:rPr>
        <w:t>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125" w:lineRule="exact"/>
        <w:rPr>
          <w:sz w:val="20"/>
          <w:szCs w:val="20"/>
          <w:color w:val="auto"/>
        </w:rPr>
      </w:pPr>
    </w:p>
    <w:p>
      <w:pPr>
        <w:ind w:left="720" w:hanging="205"/>
        <w:spacing w:after="0"/>
        <w:tabs>
          <w:tab w:leader="none" w:pos="72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60" w:firstLine="1151"/>
        <w:spacing w:after="0" w:line="267" w:lineRule="auto"/>
        <w:rPr>
          <w:sz w:val="20"/>
          <w:szCs w:val="20"/>
          <w:color w:val="auto"/>
        </w:rPr>
      </w:pPr>
      <w:r>
        <w:rPr>
          <w:rFonts w:ascii="Times New Roman" w:cs="Times New Roman" w:eastAsia="Times New Roman" w:hAnsi="Times New Roman"/>
          <w:sz w:val="14"/>
          <w:szCs w:val="14"/>
          <w:color w:val="auto"/>
        </w:rPr>
        <w:t>This Agreement shall be governed by and construed in accordance with the laws of the State of Delaware, without giving effect to its internal principles governing the conflict of law. For the purpose of litigating any dispute that arises under this Agreement, the parties hereby consent to exclusive jurisdiction in the Commonwealth of Massachusetts and agree that such litigation shall be conducted in the state courts of Suffolk County, Massachusetts or the federal courts of the United States for the District of Massachusetts.</w:t>
      </w:r>
    </w:p>
    <w:p>
      <w:pPr>
        <w:spacing w:after="0" w:line="136" w:lineRule="exact"/>
        <w:rPr>
          <w:sz w:val="20"/>
          <w:szCs w:val="20"/>
          <w:color w:val="auto"/>
        </w:rPr>
      </w:pPr>
    </w:p>
    <w:p>
      <w:pPr>
        <w:ind w:left="720" w:hanging="205"/>
        <w:spacing w:after="0"/>
        <w:tabs>
          <w:tab w:leader="none" w:pos="72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OF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420" w:firstLine="1151"/>
        <w:spacing w:after="0" w:line="283" w:lineRule="auto"/>
        <w:rPr>
          <w:sz w:val="20"/>
          <w:szCs w:val="20"/>
          <w:color w:val="auto"/>
        </w:rPr>
      </w:pPr>
      <w:r>
        <w:rPr>
          <w:rFonts w:ascii="Times New Roman" w:cs="Times New Roman" w:eastAsia="Times New Roman" w:hAnsi="Times New Roman"/>
          <w:sz w:val="14"/>
          <w:szCs w:val="14"/>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25" w:lineRule="exact"/>
        <w:rPr>
          <w:sz w:val="20"/>
          <w:szCs w:val="20"/>
          <w:color w:val="auto"/>
        </w:rPr>
      </w:pPr>
    </w:p>
    <w:p>
      <w:pPr>
        <w:ind w:left="720" w:hanging="205"/>
        <w:spacing w:after="0"/>
        <w:tabs>
          <w:tab w:leader="none" w:pos="72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40" w:firstLine="1151"/>
        <w:spacing w:after="0" w:line="267" w:lineRule="auto"/>
        <w:rPr>
          <w:sz w:val="20"/>
          <w:szCs w:val="20"/>
          <w:color w:val="auto"/>
        </w:rPr>
      </w:pPr>
      <w:r>
        <w:rPr>
          <w:rFonts w:ascii="Times New Roman" w:cs="Times New Roman" w:eastAsia="Times New Roman" w:hAnsi="Times New Roman"/>
          <w:sz w:val="14"/>
          <w:szCs w:val="14"/>
          <w:color w:val="auto"/>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68" w:name="page369"/>
    <w:bookmarkEnd w:id="368"/>
    <w:p>
      <w:pPr>
        <w:ind w:left="720" w:hanging="205"/>
        <w:spacing w:after="0"/>
        <w:tabs>
          <w:tab w:leader="none" w:pos="72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MODIFICATIONS AND AMENDMENTS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terms and provisions of this Agreement may be modified or amended as provided in the Plan.</w:t>
      </w:r>
    </w:p>
    <w:p>
      <w:pPr>
        <w:spacing w:after="0" w:line="175" w:lineRule="exact"/>
        <w:rPr>
          <w:sz w:val="20"/>
          <w:szCs w:val="20"/>
          <w:color w:val="auto"/>
        </w:rPr>
      </w:pPr>
    </w:p>
    <w:p>
      <w:pPr>
        <w:ind w:left="720" w:hanging="205"/>
        <w:spacing w:after="0"/>
        <w:tabs>
          <w:tab w:leader="none" w:pos="7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WAIVERS AND CONSENTS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1"/>
        <w:spacing w:after="0" w:line="261" w:lineRule="auto"/>
        <w:rPr>
          <w:sz w:val="20"/>
          <w:szCs w:val="20"/>
          <w:color w:val="auto"/>
        </w:rPr>
      </w:pPr>
      <w:r>
        <w:rPr>
          <w:rFonts w:ascii="Times New Roman" w:cs="Times New Roman" w:eastAsia="Times New Roman" w:hAnsi="Times New Roman"/>
          <w:sz w:val="14"/>
          <w:szCs w:val="14"/>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41" w:lineRule="exact"/>
        <w:rPr>
          <w:sz w:val="20"/>
          <w:szCs w:val="20"/>
          <w:color w:val="auto"/>
        </w:rPr>
      </w:pPr>
    </w:p>
    <w:p>
      <w:pPr>
        <w:ind w:left="720" w:hanging="205"/>
        <w:spacing w:after="0"/>
        <w:tabs>
          <w:tab w:leader="none" w:pos="72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80" w:firstLine="1151"/>
        <w:spacing w:after="0" w:line="267" w:lineRule="auto"/>
        <w:rPr>
          <w:sz w:val="20"/>
          <w:szCs w:val="20"/>
          <w:color w:val="auto"/>
        </w:rPr>
      </w:pPr>
      <w:r>
        <w:rPr>
          <w:rFonts w:ascii="Times New Roman" w:cs="Times New Roman" w:eastAsia="Times New Roman" w:hAnsi="Times New Roman"/>
          <w:sz w:val="14"/>
          <w:szCs w:val="14"/>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NOTICE OF EXERCISE OF STOCK OPTION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for Unregistered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Parabilis Medicines,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I hereby exercise my Stock Option to purchase [#] shares (the “Shares”) of the common stock, $0.0001 par value per share, of Parabilis Medicines, Inc. (the “Company”), at the exercise price of $[      ] per share, pursuant to and subject to the terms of that certain Stock Option Agreement between the undersigned and the Company dated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-37465</wp:posOffset>
            </wp:positionV>
            <wp:extent cx="26670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66700" cy="6985"/>
                    </a:xfrm>
                    <a:prstGeom prst="rect">
                      <a:avLst/>
                    </a:prstGeom>
                    <a:noFill/>
                  </pic:spPr>
                </pic:pic>
              </a:graphicData>
            </a:graphic>
          </wp:anchor>
        </w:drawing>
      </w:r>
    </w:p>
    <w:p>
      <w:pPr>
        <w:spacing w:after="0" w:line="105"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I am aware that the Shares have not been registered under the Securities Act of 1933, as amended (the “1933 Act”), or any state securities laws. I understand that the reliance by the Company on exemptions under the 1933 Act is predicated in part upon the truth and accuracy of the statements by me in this Notice of Exercise.</w:t>
      </w:r>
    </w:p>
    <w:p>
      <w:pPr>
        <w:spacing w:after="0" w:line="125" w:lineRule="exact"/>
        <w:rPr>
          <w:sz w:val="20"/>
          <w:szCs w:val="20"/>
          <w:color w:val="auto"/>
        </w:rPr>
      </w:pPr>
    </w:p>
    <w:p>
      <w:pPr>
        <w:jc w:val="both"/>
        <w:ind w:right="300" w:firstLine="511"/>
        <w:spacing w:after="0" w:line="261" w:lineRule="auto"/>
        <w:rPr>
          <w:sz w:val="20"/>
          <w:szCs w:val="20"/>
          <w:color w:val="auto"/>
        </w:rPr>
      </w:pPr>
      <w:r>
        <w:rPr>
          <w:rFonts w:ascii="Times New Roman" w:cs="Times New Roman" w:eastAsia="Times New Roman" w:hAnsi="Times New Roman"/>
          <w:sz w:val="14"/>
          <w:szCs w:val="14"/>
          <w:color w:val="auto"/>
        </w:rPr>
        <w:t>I hereby represent and warrant that (1) I have been furnished with all information which I deem necessary to evaluate the merits and risks of the purchase of the Shares; (2) I have had the opportunity to ask questions concerning the Shares and the Company and all questions posed have been answered to my satisfaction; (3) I have been given the opportunity to obtain any additional information I deem necessary to verify the accuracy of any information obtained concerning the Shares and the Company; and (4) I have such knowledge and experience in financial and business matters that I am able to evaluate the merits and risks of purchasing the Shares and to make an informed investment decision relating thereto.</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hereby represent and warrant that I am purchasing the Shares for my own personal account for investment and not with a view to the sale or distribution of all or any part of the Shares.</w:t>
      </w:r>
    </w:p>
    <w:p>
      <w:pPr>
        <w:spacing w:after="0" w:line="175" w:lineRule="exact"/>
        <w:rPr>
          <w:sz w:val="20"/>
          <w:szCs w:val="20"/>
          <w:color w:val="auto"/>
        </w:rPr>
      </w:pPr>
    </w:p>
    <w:p>
      <w:pPr>
        <w:ind w:right="120" w:firstLine="511"/>
        <w:spacing w:after="0" w:line="283" w:lineRule="auto"/>
        <w:rPr>
          <w:sz w:val="20"/>
          <w:szCs w:val="20"/>
          <w:color w:val="auto"/>
        </w:rPr>
      </w:pPr>
      <w:r>
        <w:rPr>
          <w:rFonts w:ascii="Times New Roman" w:cs="Times New Roman" w:eastAsia="Times New Roman" w:hAnsi="Times New Roman"/>
          <w:sz w:val="14"/>
          <w:szCs w:val="14"/>
          <w:color w:val="auto"/>
        </w:rPr>
        <w:t>I understand that because the Shares have not been registered under the 1933 Act, I must continue to bear the economic risk of the investment for an indefinite time and the Shares cannot be sold unless the Shares are subsequently registered under applicable federal and state securities laws or an exemption from such registration requirements is available.</w:t>
      </w:r>
    </w:p>
    <w:p>
      <w:pPr>
        <w:spacing w:after="0" w:line="125" w:lineRule="exact"/>
        <w:rPr>
          <w:sz w:val="20"/>
          <w:szCs w:val="20"/>
          <w:color w:val="auto"/>
        </w:rPr>
      </w:pPr>
    </w:p>
    <w:p>
      <w:pPr>
        <w:ind w:right="20" w:firstLine="511"/>
        <w:spacing w:after="0" w:line="267" w:lineRule="auto"/>
        <w:rPr>
          <w:sz w:val="20"/>
          <w:szCs w:val="20"/>
          <w:color w:val="auto"/>
        </w:rPr>
      </w:pPr>
      <w:r>
        <w:rPr>
          <w:rFonts w:ascii="Times New Roman" w:cs="Times New Roman" w:eastAsia="Times New Roman" w:hAnsi="Times New Roman"/>
          <w:sz w:val="14"/>
          <w:szCs w:val="14"/>
          <w:color w:val="auto"/>
        </w:rPr>
        <w:t>I agree that I will in no event sell or distribute or otherwise dispose of all or any part of the Shares unless (1) there is an effective registration statement under the 1933 Act and applicable state securities laws covering any such transaction involving the Shares or (2) the Company receives an opinion of my legal counsel (concurred in by legal counsel for the Company) stating that such transaction is exempt from registration or the Company otherwise satisfies itself that such transaction is exempt from registration.</w:t>
      </w:r>
    </w:p>
    <w:p>
      <w:pPr>
        <w:spacing w:after="0" w:line="136"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I consent to the placing of a legend on my certificate for the Shares stating that the Shares have not been registered and setting forth the restriction on transfer contemplated hereby and to the placing of a stop transfer order on the books of the Company and with any transfer agents against the Shares until the Shares may be legally resold or distributed without restriction.</w:t>
      </w:r>
    </w:p>
    <w:p>
      <w:pPr>
        <w:spacing w:after="0" w:line="125"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I understand that at the present time Rule 144 of the Securities and Exchange Commission (the “SEC”) may not be relied on for the resale or distribution of the Shares by me. I understand that the Company has no obligation to me to register the sale of the Shares with the SEC and has not represented to me that it will register the sale of the Shares.</w:t>
      </w:r>
    </w:p>
    <w:p>
      <w:pPr>
        <w:spacing w:after="0" w:line="125" w:lineRule="exact"/>
        <w:rPr>
          <w:sz w:val="20"/>
          <w:szCs w:val="20"/>
          <w:color w:val="auto"/>
        </w:rPr>
      </w:pPr>
    </w:p>
    <w:p>
      <w:pPr>
        <w:ind w:right="80" w:firstLine="511"/>
        <w:spacing w:after="0" w:line="267" w:lineRule="auto"/>
        <w:rPr>
          <w:sz w:val="20"/>
          <w:szCs w:val="20"/>
          <w:color w:val="auto"/>
        </w:rPr>
      </w:pPr>
      <w:r>
        <w:rPr>
          <w:rFonts w:ascii="Times New Roman" w:cs="Times New Roman" w:eastAsia="Times New Roman" w:hAnsi="Times New Roman"/>
          <w:sz w:val="14"/>
          <w:szCs w:val="14"/>
          <w:color w:val="auto"/>
        </w:rPr>
        <w:t>I understand the terms and restrictions on the right to dispose of the Shares set forth in the 2016 Employee, Director and Consultant Equity Incentive Plan and the Stock Option Agreement, both of which I have carefully reviewed. I consent to the placing of a legend on my certificate for the Shares referring to such restriction and the placing of stop transfer orders until the Shares may be transferred in accordance with the terms of such restrictions.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have considered the Federal, state and local income tax implications of the exercise of my Option and the purchase and subsequent sale of the Shares.</w:t>
      </w:r>
    </w:p>
    <w:p>
      <w:pPr>
        <w:spacing w:after="0" w:line="1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817" w:right="359" w:bottom="1440" w:gutter="0" w:footer="0" w:header="0"/>
        </w:sectPr>
      </w:pPr>
    </w:p>
    <w:bookmarkStart w:id="370" w:name="page371"/>
    <w:bookmarkEnd w:id="370"/>
    <w:p>
      <w:pPr>
        <w:ind w:left="5"/>
        <w:spacing w:after="0"/>
        <w:rPr>
          <w:sz w:val="20"/>
          <w:szCs w:val="20"/>
          <w:color w:val="auto"/>
        </w:rPr>
      </w:pPr>
      <w:r>
        <w:rPr>
          <w:rFonts w:ascii="Times New Roman" w:cs="Times New Roman" w:eastAsia="Times New Roman" w:hAnsi="Times New Roman"/>
          <w:sz w:val="14"/>
          <w:szCs w:val="14"/>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167640</wp:posOffset>
            </wp:positionV>
            <wp:extent cx="3484245"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84245"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Please issue the Shares (check one):</w:t>
      </w:r>
    </w:p>
    <w:p>
      <w:pPr>
        <w:spacing w:after="0" w:line="175" w:lineRule="exact"/>
        <w:rPr>
          <w:sz w:val="20"/>
          <w:szCs w:val="20"/>
          <w:color w:val="auto"/>
        </w:rPr>
      </w:pPr>
    </w:p>
    <w:p>
      <w:pPr>
        <w:ind w:left="205" w:hanging="205"/>
        <w:spacing w:after="0"/>
        <w:tabs>
          <w:tab w:leader="none" w:pos="205" w:val="left"/>
        </w:tabs>
        <w:numPr>
          <w:ilvl w:val="0"/>
          <w:numId w:val="30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me; or</w:t>
      </w:r>
    </w:p>
    <w:p>
      <w:pPr>
        <w:spacing w:after="0" w:line="175" w:lineRule="exact"/>
        <w:rPr>
          <w:rFonts w:ascii="MS PGothic" w:cs="MS PGothic" w:eastAsia="MS PGothic" w:hAnsi="MS PGothic"/>
          <w:sz w:val="14"/>
          <w:szCs w:val="14"/>
          <w:color w:val="auto"/>
        </w:rPr>
      </w:pPr>
    </w:p>
    <w:p>
      <w:pPr>
        <w:ind w:left="205" w:hanging="205"/>
        <w:spacing w:after="0"/>
        <w:tabs>
          <w:tab w:leader="none" w:pos="205" w:val="left"/>
        </w:tabs>
        <w:numPr>
          <w:ilvl w:val="0"/>
          <w:numId w:val="30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me and                         , as joint tenants with right of survivorship and mail the certificate to me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347980</wp:posOffset>
            </wp:positionV>
            <wp:extent cx="279019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90190" cy="698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567690</wp:posOffset>
            </wp:positionV>
            <wp:extent cx="279019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790190" cy="698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788035</wp:posOffset>
            </wp:positionV>
            <wp:extent cx="279019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790190" cy="698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-5715</wp:posOffset>
            </wp:positionV>
            <wp:extent cx="71183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18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5"/>
        <w:spacing w:after="0"/>
        <w:rPr>
          <w:sz w:val="20"/>
          <w:szCs w:val="20"/>
          <w:color w:val="auto"/>
        </w:rPr>
      </w:pPr>
      <w:r>
        <w:rPr>
          <w:rFonts w:ascii="Times New Roman" w:cs="Times New Roman" w:eastAsia="Times New Roman" w:hAnsi="Times New Roman"/>
          <w:sz w:val="14"/>
          <w:szCs w:val="14"/>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375285</wp:posOffset>
            </wp:positionV>
            <wp:extent cx="7188200"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644"/>
          </w:cols>
          <w:pgMar w:left="815" w:top="987"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4"/>
          <w:szCs w:val="14"/>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240665</wp:posOffset>
            </wp:positionV>
            <wp:extent cx="300418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00418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461010</wp:posOffset>
            </wp:positionV>
            <wp:extent cx="300418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00418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681355</wp:posOffset>
            </wp:positionV>
            <wp:extent cx="300418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004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4"/>
          <w:szCs w:val="14"/>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2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639"/>
          </w:cols>
          <w:pgMar w:left="820" w:top="819" w:right="1440"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NOTICE OF EXERCISE OF STOCK OPTION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[Form for Shares </w:t>
      </w:r>
      <w:r>
        <w:rPr>
          <w:rFonts w:ascii="Times New Roman" w:cs="Times New Roman" w:eastAsia="Times New Roman" w:hAnsi="Times New Roman"/>
          <w:sz w:val="14"/>
          <w:szCs w:val="14"/>
          <w:b w:val="1"/>
          <w:bCs w:val="1"/>
          <w:u w:val="single" w:color="auto"/>
          <w:color w:val="auto"/>
        </w:rPr>
        <w:t>Registered</w:t>
      </w:r>
      <w:r>
        <w:rPr>
          <w:rFonts w:ascii="Times New Roman" w:cs="Times New Roman" w:eastAsia="Times New Roman" w:hAnsi="Times New Roman"/>
          <w:sz w:val="14"/>
          <w:szCs w:val="14"/>
          <w:b w:val="1"/>
          <w:bCs w:val="1"/>
          <w:color w:val="auto"/>
        </w:rPr>
        <w:t xml:space="preserve"> in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Parabilis Medicines, Inc.</w:t>
      </w:r>
    </w:p>
    <w:p>
      <w:pPr>
        <w:spacing w:after="0" w:line="17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IMPORTANT NOTICE: This form of Notice of Exercise may only be used at such time as the Company has filed a Registration Statement with the Securities and Exchange Commission under which the issuance of the Shares for which this exercise is being made is registered and such Registration Statement remains effective.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I hereby exercise my Stock Option to purchase               shares (the “Shares”) of the common stock, $0.0001 par value per share, of Parabilis Medicines, Inc. (the “Company”), at the exercise price of $          per share, pursuant to and subject to the terms of that Stock Option Grant Notice dated             ,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-144145</wp:posOffset>
            </wp:positionV>
            <wp:extent cx="62293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22935" cy="698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-37465</wp:posOffset>
            </wp:positionV>
            <wp:extent cx="46736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67360" cy="698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-37465</wp:posOffset>
            </wp:positionV>
            <wp:extent cx="55626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56260" cy="6985"/>
                    </a:xfrm>
                    <a:prstGeom prst="rect">
                      <a:avLst/>
                    </a:prstGeom>
                    <a:noFill/>
                  </pic:spPr>
                </pic:pic>
              </a:graphicData>
            </a:graphic>
          </wp:anchor>
        </w:drawing>
      </w:r>
    </w:p>
    <w:p>
      <w:pPr>
        <w:spacing w:after="0" w:line="105"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I am paying the option exercise price for the Shares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-5715</wp:posOffset>
            </wp:positionV>
            <wp:extent cx="889635"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635" cy="6985"/>
                    </a:xfrm>
                    <a:prstGeom prst="rect">
                      <a:avLst/>
                    </a:prstGeom>
                    <a:noFill/>
                  </pic:spPr>
                </pic:pic>
              </a:graphicData>
            </a:graphic>
          </wp:anchor>
        </w:drawing>
      </w: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issue the Shares (check one):</w:t>
      </w:r>
    </w:p>
    <w:p>
      <w:pPr>
        <w:spacing w:after="0" w:line="175" w:lineRule="exact"/>
        <w:rPr>
          <w:sz w:val="20"/>
          <w:szCs w:val="20"/>
          <w:color w:val="auto"/>
        </w:rPr>
      </w:pPr>
    </w:p>
    <w:p>
      <w:pPr>
        <w:ind w:left="720" w:hanging="205"/>
        <w:spacing w:after="0"/>
        <w:tabs>
          <w:tab w:leader="none" w:pos="720" w:val="left"/>
        </w:tabs>
        <w:numPr>
          <w:ilvl w:val="0"/>
          <w:numId w:val="30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me; or</w:t>
      </w:r>
    </w:p>
    <w:p>
      <w:pPr>
        <w:spacing w:after="0" w:line="144" w:lineRule="exact"/>
        <w:rPr>
          <w:sz w:val="20"/>
          <w:szCs w:val="20"/>
          <w:color w:val="auto"/>
        </w:rPr>
      </w:pPr>
    </w:p>
    <w:p>
      <w:pPr>
        <w:ind w:left="520"/>
        <w:spacing w:after="0" w:line="161" w:lineRule="exact"/>
        <w:tabs>
          <w:tab w:leader="none" w:pos="202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to me and              </w:t>
        <w:tab/>
        <w:t>, as joint tenants with right of survivorship,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357822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57822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588010</wp:posOffset>
            </wp:positionV>
            <wp:extent cx="357822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57822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808355</wp:posOffset>
            </wp:positionV>
            <wp:extent cx="357822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578225" cy="6985"/>
                    </a:xfrm>
                    <a:prstGeom prst="rect">
                      <a:avLst/>
                    </a:prstGeom>
                    <a:noFill/>
                  </pic:spPr>
                </pic:pic>
              </a:graphicData>
            </a:graphic>
          </wp:anchor>
        </w:drawing>
        <w:drawing>
          <wp:anchor simplePos="0" relativeHeight="251657728" behindDoc="1" locked="0" layoutInCell="0" allowOverlap="1">
            <wp:simplePos x="0" y="0"/>
            <wp:positionH relativeFrom="column">
              <wp:posOffset>829310</wp:posOffset>
            </wp:positionH>
            <wp:positionV relativeFrom="paragraph">
              <wp:posOffset>13970</wp:posOffset>
            </wp:positionV>
            <wp:extent cx="467360"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673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42" w:right="3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347980</wp:posOffset>
            </wp:positionV>
            <wp:extent cx="3291205"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29120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567690</wp:posOffset>
            </wp:positionV>
            <wp:extent cx="329120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291205" cy="698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788035</wp:posOffset>
            </wp:positionV>
            <wp:extent cx="329120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2912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334"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14"/>
          <w:szCs w:val="14"/>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-99060</wp:posOffset>
            </wp:positionV>
            <wp:extent cx="3578225"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2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639"/>
          </w:cols>
          <w:pgMar w:left="820" w:top="819" w:right="1440"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GENERAL PURPOSE OF THE PLAN; DEFINITIONS</w:t>
      </w:r>
    </w:p>
    <w:p>
      <w:pPr>
        <w:spacing w:after="0" w:line="173" w:lineRule="exact"/>
        <w:rPr>
          <w:sz w:val="20"/>
          <w:szCs w:val="20"/>
          <w:color w:val="auto"/>
        </w:rPr>
      </w:pPr>
    </w:p>
    <w:p>
      <w:pPr>
        <w:ind w:right="220" w:firstLine="511"/>
        <w:spacing w:after="0" w:line="268" w:lineRule="auto"/>
        <w:rPr>
          <w:sz w:val="20"/>
          <w:szCs w:val="20"/>
          <w:color w:val="auto"/>
        </w:rPr>
      </w:pPr>
      <w:r>
        <w:rPr>
          <w:rFonts w:ascii="Times New Roman" w:cs="Times New Roman" w:eastAsia="Times New Roman" w:hAnsi="Times New Roman"/>
          <w:sz w:val="14"/>
          <w:szCs w:val="14"/>
          <w:color w:val="auto"/>
        </w:rPr>
        <w:t>The name of the plan is the Parabilis Medicines, Inc. 2026 Stock Option and Grant Plan (the “</w:t>
      </w:r>
      <w:r>
        <w:rPr>
          <w:rFonts w:ascii="Times New Roman" w:cs="Times New Roman" w:eastAsia="Times New Roman" w:hAnsi="Times New Roman"/>
          <w:sz w:val="14"/>
          <w:szCs w:val="14"/>
          <w:i w:val="1"/>
          <w:iCs w:val="1"/>
          <w:color w:val="auto"/>
        </w:rPr>
        <w:t>Plan</w:t>
      </w:r>
      <w:r>
        <w:rPr>
          <w:rFonts w:ascii="Times New Roman" w:cs="Times New Roman" w:eastAsia="Times New Roman" w:hAnsi="Times New Roman"/>
          <w:sz w:val="14"/>
          <w:szCs w:val="14"/>
          <w:color w:val="auto"/>
        </w:rPr>
        <w:t>”). The purpose of the Plan is to encourage and enable the officers, employees, directors, Consultants and other key persons of Parabilis Medicines, Inc., a Delaware corporation (including any successor entity,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its Subsidiaries, upon whose judgment, initiative and efforts the Company largely depends for the successful conduct of its business, to acquire a proprietary interest in the Company.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terms shall be defined as set forth below:</w:t>
      </w:r>
    </w:p>
    <w:p>
      <w:pPr>
        <w:spacing w:after="0" w:line="173" w:lineRule="exact"/>
        <w:rPr>
          <w:sz w:val="20"/>
          <w:szCs w:val="20"/>
          <w:color w:val="auto"/>
        </w:rPr>
      </w:pPr>
    </w:p>
    <w:p>
      <w:pPr>
        <w:jc w:val="both"/>
        <w:ind w:right="4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33"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Award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21"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“Award Agreement” </w:t>
      </w:r>
      <w:r>
        <w:rPr>
          <w:rFonts w:ascii="Times New Roman" w:cs="Times New Roman" w:eastAsia="Times New Roman" w:hAnsi="Times New Roman"/>
          <w:sz w:val="14"/>
          <w:szCs w:val="14"/>
          <w:color w:val="auto"/>
        </w:rPr>
        <w:t>means a written or electronic agreement setting forth the terms and provisions applicable to an Award granted under the Plan. Each Award Agreement may contain terms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conditions in addition to those set forth in the Plan;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in the event of any conflict in the terms of the Plan and the Award Agreement, the terms of the Plan shall govern</w:t>
      </w:r>
      <w:r>
        <w:rPr>
          <w:rFonts w:ascii="Times New Roman" w:cs="Times New Roman" w:eastAsia="Times New Roman" w:hAnsi="Times New Roman"/>
          <w:sz w:val="14"/>
          <w:szCs w:val="14"/>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Cause</w:t>
      </w:r>
      <w:r>
        <w:rPr>
          <w:rFonts w:ascii="Times New Roman" w:cs="Times New Roman" w:eastAsia="Times New Roman" w:hAnsi="Times New Roman"/>
          <w:sz w:val="14"/>
          <w:szCs w:val="14"/>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“Chief Executive Officer” </w:t>
      </w:r>
      <w:r>
        <w:rPr>
          <w:rFonts w:ascii="Times New Roman" w:cs="Times New Roman" w:eastAsia="Times New Roman" w:hAnsi="Times New Roman"/>
          <w:sz w:val="14"/>
          <w:szCs w:val="14"/>
          <w:color w:val="auto"/>
        </w:rPr>
        <w:t>means the Chief Executive Officer of the Company or, if there is no Chief Executive Officer, then the President of the Company.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means the Internal Revenue Code of 1986, as amended, and any successor Code, and related rules, regulations and interpretations.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Committee</w:t>
      </w:r>
      <w:r>
        <w:rPr>
          <w:rFonts w:ascii="Times New Roman" w:cs="Times New Roman" w:eastAsia="Times New Roman" w:hAnsi="Times New Roman"/>
          <w:sz w:val="14"/>
          <w:szCs w:val="14"/>
          <w:color w:val="auto"/>
        </w:rPr>
        <w:t>” means the Committee of the Board referred to in Section 2.</w:t>
      </w:r>
    </w:p>
    <w:p>
      <w:pPr>
        <w:spacing w:after="0" w:line="175" w:lineRule="exact"/>
        <w:rPr>
          <w:sz w:val="20"/>
          <w:szCs w:val="20"/>
          <w:color w:val="auto"/>
        </w:rPr>
      </w:pPr>
    </w:p>
    <w:p>
      <w:pPr>
        <w:ind w:right="40" w:firstLine="51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“Consultant” </w:t>
      </w:r>
      <w:r>
        <w:rPr>
          <w:rFonts w:ascii="Times New Roman" w:cs="Times New Roman" w:eastAsia="Times New Roman" w:hAnsi="Times New Roman"/>
          <w:sz w:val="14"/>
          <w:szCs w:val="14"/>
          <w:color w:val="auto"/>
        </w:rPr>
        <w:t>means any natural person that provides bona fide services to the Company (including a Subsidiary), and such services are not in connection with the offer or sale of securities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capital-raising transaction and do not directly or indirectly promote or maintain a market for the Company’s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Disability</w:t>
      </w:r>
      <w:r>
        <w:rPr>
          <w:rFonts w:ascii="Times New Roman" w:cs="Times New Roman" w:eastAsia="Times New Roman" w:hAnsi="Times New Roman"/>
          <w:sz w:val="14"/>
          <w:szCs w:val="14"/>
          <w:color w:val="auto"/>
        </w:rPr>
        <w:t>” means “disability” as defined in Section 422(c) of the Code.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Effective Date</w:t>
      </w:r>
      <w:r>
        <w:rPr>
          <w:rFonts w:ascii="Times New Roman" w:cs="Times New Roman" w:eastAsia="Times New Roman" w:hAnsi="Times New Roman"/>
          <w:sz w:val="14"/>
          <w:szCs w:val="14"/>
          <w:color w:val="auto"/>
        </w:rPr>
        <w:t>” means the date on which the Plan is adopted as set forth on the final page of the Plan.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483235</wp:posOffset>
            </wp:positionV>
            <wp:extent cx="7188200"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795" w:right="359" w:bottom="1440" w:gutter="0" w:footer="0" w:header="0"/>
        </w:sectPr>
      </w:pPr>
    </w:p>
    <w:bookmarkStart w:id="375" w:name="page376"/>
    <w:bookmarkEnd w:id="375"/>
    <w:p>
      <w:pPr>
        <w:ind w:right="140"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41" w:lineRule="exact"/>
        <w:rPr>
          <w:sz w:val="20"/>
          <w:szCs w:val="20"/>
          <w:color w:val="auto"/>
        </w:rPr>
      </w:pPr>
    </w:p>
    <w:p>
      <w:pPr>
        <w:ind w:right="100" w:firstLine="511"/>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“Good Reason” </w:t>
      </w:r>
      <w:r>
        <w:rPr>
          <w:rFonts w:ascii="Times New Roman" w:cs="Times New Roman" w:eastAsia="Times New Roman" w:hAnsi="Times New Roman"/>
          <w:sz w:val="14"/>
          <w:szCs w:val="14"/>
          <w:color w:val="auto"/>
        </w:rPr>
        <w:t>shall have the meaning as set forth in the Award Agreement(s). In the case that any Award Agreement does not contain a definition of “Good Reason,” it shall mean (i)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38" w:lineRule="exact"/>
        <w:rPr>
          <w:sz w:val="20"/>
          <w:szCs w:val="20"/>
          <w:color w:val="auto"/>
        </w:rPr>
      </w:pPr>
    </w:p>
    <w:p>
      <w:pPr>
        <w:ind w:right="2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Grant Date”</w:t>
      </w:r>
      <w:r>
        <w:rPr>
          <w:rFonts w:ascii="Times New Roman" w:cs="Times New Roman" w:eastAsia="Times New Roman" w:hAnsi="Times New Roman"/>
          <w:sz w:val="14"/>
          <w:szCs w:val="14"/>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“Holder” </w:t>
      </w:r>
      <w:r>
        <w:rPr>
          <w:rFonts w:ascii="Times New Roman" w:cs="Times New Roman" w:eastAsia="Times New Roman" w:hAnsi="Times New Roman"/>
          <w:sz w:val="14"/>
          <w:szCs w:val="14"/>
          <w:color w:val="auto"/>
        </w:rPr>
        <w:t>means, with respect to an Award or any Shares, the Person holding such Award or Shares, including the initial recipient of the Award or any Permitted Transferee.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Incentive Stock Option</w:t>
      </w:r>
      <w:r>
        <w:rPr>
          <w:rFonts w:ascii="Times New Roman" w:cs="Times New Roman" w:eastAsia="Times New Roman" w:hAnsi="Times New Roman"/>
          <w:sz w:val="14"/>
          <w:szCs w:val="14"/>
          <w:color w:val="auto"/>
        </w:rPr>
        <w:t>” means any Stock Option designated and qualified as an “incentive stock option” as defined in Section 422 of the Code.</w:t>
      </w:r>
    </w:p>
    <w:p>
      <w:pPr>
        <w:spacing w:after="0" w:line="175"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Initial Public Offering</w:t>
      </w:r>
      <w:r>
        <w:rPr>
          <w:rFonts w:ascii="Times New Roman" w:cs="Times New Roman" w:eastAsia="Times New Roman" w:hAnsi="Times New Roman"/>
          <w:sz w:val="14"/>
          <w:szCs w:val="14"/>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Non-Qualified Stock Option</w:t>
      </w:r>
      <w:r>
        <w:rPr>
          <w:rFonts w:ascii="Times New Roman" w:cs="Times New Roman" w:eastAsia="Times New Roman" w:hAnsi="Times New Roman"/>
          <w:sz w:val="14"/>
          <w:szCs w:val="14"/>
          <w:color w:val="auto"/>
        </w:rPr>
        <w:t>” means any Stock Option that is not an Incentive Stock Option.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Stock Option</w:t>
      </w:r>
      <w:r>
        <w:rPr>
          <w:rFonts w:ascii="Times New Roman" w:cs="Times New Roman" w:eastAsia="Times New Roman" w:hAnsi="Times New Roman"/>
          <w:sz w:val="14"/>
          <w:szCs w:val="14"/>
          <w:color w:val="auto"/>
        </w:rPr>
        <w:t>” means any option to purchase shares of Stock granted pursuant to Section 5.</w:t>
      </w:r>
    </w:p>
    <w:p>
      <w:pPr>
        <w:spacing w:after="0" w:line="175"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Transferees</w:t>
      </w:r>
      <w:r>
        <w:rPr>
          <w:rFonts w:ascii="Times New Roman" w:cs="Times New Roman" w:eastAsia="Times New Roman" w:hAnsi="Times New Roman"/>
          <w:sz w:val="14"/>
          <w:szCs w:val="14"/>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14"/>
          <w:szCs w:val="14"/>
          <w:i w:val="1"/>
          <w:iCs w:val="1"/>
          <w:color w:val="auto"/>
        </w:rPr>
        <w:t>; provided, however,</w:t>
      </w:r>
      <w:r>
        <w:rPr>
          <w:rFonts w:ascii="Times New Roman" w:cs="Times New Roman" w:eastAsia="Times New Roman" w:hAnsi="Times New Roman"/>
          <w:sz w:val="14"/>
          <w:szCs w:val="14"/>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43" w:lineRule="exact"/>
        <w:rPr>
          <w:sz w:val="20"/>
          <w:szCs w:val="20"/>
          <w:color w:val="auto"/>
        </w:rPr>
      </w:pPr>
    </w:p>
    <w:p>
      <w:pPr>
        <w:ind w:right="3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shall mean any individual, corporation, partnership (limited or general), limited liability company, limited liability partnership, association, trust, joint venture, unincorporated organization or any similar entity.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“Prior Plan” </w:t>
      </w:r>
      <w:r>
        <w:rPr>
          <w:rFonts w:ascii="Times New Roman" w:cs="Times New Roman" w:eastAsia="Times New Roman" w:hAnsi="Times New Roman"/>
          <w:sz w:val="14"/>
          <w:szCs w:val="14"/>
          <w:color w:val="auto"/>
        </w:rPr>
        <w:t>means the FOG Pharmaceuticals, Inc. 2016 Employee, Director and Consultant Equity Incentive Plan, as amended from time to time.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“Restricted Stock Award” </w:t>
      </w:r>
      <w:r>
        <w:rPr>
          <w:rFonts w:ascii="Times New Roman" w:cs="Times New Roman" w:eastAsia="Times New Roman" w:hAnsi="Times New Roman"/>
          <w:sz w:val="14"/>
          <w:szCs w:val="14"/>
          <w:color w:val="auto"/>
        </w:rPr>
        <w:t>means Awards granted pursuant to Section 6 and</w:t>
      </w:r>
      <w:r>
        <w:rPr>
          <w:rFonts w:ascii="Times New Roman" w:cs="Times New Roman" w:eastAsia="Times New Roman" w:hAnsi="Times New Roman"/>
          <w:sz w:val="14"/>
          <w:szCs w:val="14"/>
          <w:i w:val="1"/>
          <w:iCs w:val="1"/>
          <w:color w:val="auto"/>
        </w:rPr>
        <w:t xml:space="preserve"> “Restricted Stock” </w:t>
      </w:r>
      <w:r>
        <w:rPr>
          <w:rFonts w:ascii="Times New Roman" w:cs="Times New Roman" w:eastAsia="Times New Roman" w:hAnsi="Times New Roman"/>
          <w:sz w:val="14"/>
          <w:szCs w:val="14"/>
          <w:color w:val="auto"/>
        </w:rPr>
        <w:t>means Shares issued pursuant to such Awards.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“Restricted Stock Unit” </w:t>
      </w:r>
      <w:r>
        <w:rPr>
          <w:rFonts w:ascii="Times New Roman" w:cs="Times New Roman" w:eastAsia="Times New Roman" w:hAnsi="Times New Roman"/>
          <w:sz w:val="14"/>
          <w:szCs w:val="14"/>
          <w:color w:val="auto"/>
        </w:rPr>
        <w:t>means an Award of phantom stock units to a grantee, which may be settled in cash or Shares as determined by the Committee, pursuant to Section 8.</w:t>
      </w:r>
    </w:p>
    <w:p>
      <w:pPr>
        <w:spacing w:after="0" w:line="175" w:lineRule="exact"/>
        <w:rPr>
          <w:sz w:val="20"/>
          <w:szCs w:val="20"/>
          <w:color w:val="auto"/>
        </w:rPr>
      </w:pPr>
    </w:p>
    <w:p>
      <w:pPr>
        <w:ind w:right="8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Sale Event”</w:t>
      </w:r>
      <w:r>
        <w:rPr>
          <w:rFonts w:ascii="Times New Roman" w:cs="Times New Roman" w:eastAsia="Times New Roman" w:hAnsi="Times New Roman"/>
          <w:sz w:val="14"/>
          <w:szCs w:val="14"/>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5" w:right="359" w:bottom="1440" w:gutter="0" w:footer="0" w:header="0"/>
        </w:sectPr>
      </w:pPr>
    </w:p>
    <w:bookmarkStart w:id="376" w:name="page377"/>
    <w:bookmarkEnd w:id="376"/>
    <w:p>
      <w:pPr>
        <w:jc w:val="both"/>
        <w:ind w:right="220"/>
        <w:spacing w:after="0" w:line="267" w:lineRule="auto"/>
        <w:rPr>
          <w:sz w:val="20"/>
          <w:szCs w:val="20"/>
          <w:color w:val="auto"/>
        </w:rPr>
      </w:pPr>
      <w:r>
        <w:rPr>
          <w:rFonts w:ascii="Times New Roman" w:cs="Times New Roman" w:eastAsia="Times New Roman" w:hAnsi="Times New Roman"/>
          <w:sz w:val="14"/>
          <w:szCs w:val="14"/>
          <w:color w:val="auto"/>
        </w:rPr>
        <w:t xml:space="preserve">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“Section 409A” </w:t>
      </w:r>
      <w:r>
        <w:rPr>
          <w:rFonts w:ascii="Times New Roman" w:cs="Times New Roman" w:eastAsia="Times New Roman" w:hAnsi="Times New Roman"/>
          <w:sz w:val="14"/>
          <w:szCs w:val="14"/>
          <w:color w:val="auto"/>
        </w:rPr>
        <w:t>means Section 409A of the Code and the regulations and other guidance promulgated thereunder.</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means the Securities Act of 1933, as amended, and the rules and regulations thereunder.</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“Service Relationship” </w:t>
      </w:r>
      <w:r>
        <w:rPr>
          <w:rFonts w:ascii="Times New Roman" w:cs="Times New Roman" w:eastAsia="Times New Roman" w:hAnsi="Times New Roman"/>
          <w:sz w:val="14"/>
          <w:szCs w:val="14"/>
          <w:color w:val="auto"/>
        </w:rPr>
        <w:t>means any relationship as a full-time employee, part-time employee, director or other key person (including Consultants) of the Company or any Subsidiary or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successor entity (e.g., a Service Relationship shall be deemed to continue without interruption in the event an individual’s status changes from full-time employee to part-time employee or Consultant).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“Shares” </w:t>
      </w:r>
      <w:r>
        <w:rPr>
          <w:rFonts w:ascii="Times New Roman" w:cs="Times New Roman" w:eastAsia="Times New Roman" w:hAnsi="Times New Roman"/>
          <w:sz w:val="14"/>
          <w:szCs w:val="14"/>
          <w:color w:val="auto"/>
        </w:rPr>
        <w:t>means shares of Stock.</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Stock</w:t>
      </w:r>
      <w:r>
        <w:rPr>
          <w:rFonts w:ascii="Times New Roman" w:cs="Times New Roman" w:eastAsia="Times New Roman" w:hAnsi="Times New Roman"/>
          <w:sz w:val="14"/>
          <w:szCs w:val="14"/>
          <w:color w:val="auto"/>
        </w:rPr>
        <w:t>” means the Common Stock, par value $0.0001 per share, of the Company.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any corporation or other entity (other than the Company) in which the Company has more than a 50 percent interest, either directly or indirectly.</w:t>
      </w:r>
    </w:p>
    <w:p>
      <w:pPr>
        <w:spacing w:after="0" w:line="175" w:lineRule="exact"/>
        <w:rPr>
          <w:sz w:val="20"/>
          <w:szCs w:val="20"/>
          <w:color w:val="auto"/>
        </w:rPr>
      </w:pPr>
    </w:p>
    <w:p>
      <w:pPr>
        <w:ind w:right="340" w:firstLine="51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“Ten Percent Owner” </w:t>
      </w:r>
      <w:r>
        <w:rPr>
          <w:rFonts w:ascii="Times New Roman" w:cs="Times New Roman" w:eastAsia="Times New Roman" w:hAnsi="Times New Roman"/>
          <w:sz w:val="14"/>
          <w:szCs w:val="14"/>
          <w:color w:val="auto"/>
        </w:rPr>
        <w:t>means an employee who owns or is deemed to own (by reason of the attribution rules of Section 424(d) of the Code) more than 10 percent of the combined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power of all classes of stock of the Company or any parent of the Company or any Subsidiary.</w:t>
      </w:r>
    </w:p>
    <w:p>
      <w:pPr>
        <w:spacing w:after="0" w:line="121" w:lineRule="exact"/>
        <w:rPr>
          <w:sz w:val="20"/>
          <w:szCs w:val="20"/>
          <w:color w:val="auto"/>
        </w:rPr>
      </w:pPr>
    </w:p>
    <w:p>
      <w:pPr>
        <w:ind w:right="120" w:firstLine="511"/>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“Termination Event” </w:t>
      </w:r>
      <w:r>
        <w:rPr>
          <w:rFonts w:ascii="Times New Roman" w:cs="Times New Roman" w:eastAsia="Times New Roman" w:hAnsi="Times New Roman"/>
          <w:sz w:val="14"/>
          <w:szCs w:val="14"/>
          <w:color w:val="auto"/>
        </w:rPr>
        <w:t>means the termination of the Award recipient’s Service Relationship with the Company and its Subsidiaries for any reason whatsoever, regardless of the circumstances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Unrestricted Stock Award”</w:t>
      </w:r>
      <w:r>
        <w:rPr>
          <w:rFonts w:ascii="Times New Roman" w:cs="Times New Roman" w:eastAsia="Times New Roman" w:hAnsi="Times New Roman"/>
          <w:sz w:val="14"/>
          <w:szCs w:val="14"/>
          <w:color w:val="auto"/>
        </w:rPr>
        <w:t xml:space="preserve"> means any Award granted pursuant to Section 7 and </w:t>
      </w:r>
      <w:r>
        <w:rPr>
          <w:rFonts w:ascii="Times New Roman" w:cs="Times New Roman" w:eastAsia="Times New Roman" w:hAnsi="Times New Roman"/>
          <w:sz w:val="14"/>
          <w:szCs w:val="14"/>
          <w:i w:val="1"/>
          <w:iCs w:val="1"/>
          <w:color w:val="auto"/>
        </w:rPr>
        <w:t>“Unrestricted Stock”</w:t>
      </w:r>
      <w:r>
        <w:rPr>
          <w:rFonts w:ascii="Times New Roman" w:cs="Times New Roman" w:eastAsia="Times New Roman" w:hAnsi="Times New Roman"/>
          <w:sz w:val="14"/>
          <w:szCs w:val="14"/>
          <w:color w:val="auto"/>
        </w:rPr>
        <w:t xml:space="preserve"> means Shares issued pursuant to such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ADMINISTRATION OF PLAN; COMMITTEE AUTHORITY TO SELECT GRANTEES AND DETERMINE AWARDS</w:t>
      </w:r>
    </w:p>
    <w:p>
      <w:pPr>
        <w:spacing w:after="0" w:line="175" w:lineRule="exact"/>
        <w:rPr>
          <w:sz w:val="20"/>
          <w:szCs w:val="20"/>
          <w:color w:val="auto"/>
        </w:rPr>
      </w:pPr>
    </w:p>
    <w:p>
      <w:pPr>
        <w:ind w:firstLine="515"/>
        <w:spacing w:after="0" w:line="267" w:lineRule="auto"/>
        <w:tabs>
          <w:tab w:leader="none" w:pos="702"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of Plan</w:t>
      </w:r>
      <w:r>
        <w:rPr>
          <w:rFonts w:ascii="Times New Roman" w:cs="Times New Roman" w:eastAsia="Times New Roman" w:hAnsi="Times New Roman"/>
          <w:sz w:val="14"/>
          <w:szCs w:val="14"/>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135"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Powers of Committee</w:t>
      </w:r>
      <w:r>
        <w:rPr>
          <w:rFonts w:ascii="Times New Roman" w:cs="Times New Roman" w:eastAsia="Times New Roman" w:hAnsi="Times New Roman"/>
          <w:sz w:val="14"/>
          <w:szCs w:val="14"/>
          <w:color w:val="auto"/>
        </w:rPr>
        <w:t>. The Committee shall have the power and authority to grant Awards consistent with the terms of the Plan, including the power and authority:</w:t>
      </w:r>
    </w:p>
    <w:p>
      <w:pPr>
        <w:spacing w:after="0" w:line="175" w:lineRule="exact"/>
        <w:rPr>
          <w:rFonts w:ascii="Times New Roman" w:cs="Times New Roman" w:eastAsia="Times New Roman" w:hAnsi="Times New Roman"/>
          <w:sz w:val="14"/>
          <w:szCs w:val="14"/>
          <w:color w:val="auto"/>
        </w:rPr>
      </w:pPr>
    </w:p>
    <w:p>
      <w:pPr>
        <w:ind w:left="1320" w:hanging="158"/>
        <w:spacing w:after="0"/>
        <w:tabs>
          <w:tab w:leader="none" w:pos="132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select the individuals to whom Awards may from time to time be granted;</w:t>
      </w:r>
    </w:p>
    <w:p>
      <w:pPr>
        <w:spacing w:after="0" w:line="175" w:lineRule="exact"/>
        <w:rPr>
          <w:rFonts w:ascii="Times New Roman" w:cs="Times New Roman" w:eastAsia="Times New Roman" w:hAnsi="Times New Roman"/>
          <w:sz w:val="14"/>
          <w:szCs w:val="14"/>
          <w:color w:val="auto"/>
        </w:rPr>
      </w:pPr>
    </w:p>
    <w:p>
      <w:pPr>
        <w:ind w:firstLine="1162"/>
        <w:spacing w:after="0" w:line="283" w:lineRule="auto"/>
        <w:tabs>
          <w:tab w:leader="none" w:pos="1364"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24" w:lineRule="exact"/>
        <w:rPr>
          <w:rFonts w:ascii="Times New Roman" w:cs="Times New Roman" w:eastAsia="Times New Roman" w:hAnsi="Times New Roman"/>
          <w:sz w:val="14"/>
          <w:szCs w:val="14"/>
          <w:color w:val="auto"/>
        </w:rPr>
      </w:pPr>
    </w:p>
    <w:p>
      <w:pPr>
        <w:ind w:left="1400" w:hanging="238"/>
        <w:spacing w:after="0"/>
        <w:tabs>
          <w:tab w:leader="none" w:pos="140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number of Shares to be covered by any Award and, subject to the provisions of the Plan, the price, exercise price, conversion ratio or other price relating</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thereto;</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377" w:name="page378"/>
    <w:bookmarkEnd w:id="377"/>
    <w:p>
      <w:pPr>
        <w:ind w:right="80" w:firstLine="1162"/>
        <w:spacing w:after="0" w:line="283" w:lineRule="auto"/>
        <w:tabs>
          <w:tab w:leader="none" w:pos="1395"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24" w:lineRule="exact"/>
        <w:rPr>
          <w:rFonts w:ascii="Times New Roman" w:cs="Times New Roman" w:eastAsia="Times New Roman" w:hAnsi="Times New Roman"/>
          <w:sz w:val="14"/>
          <w:szCs w:val="14"/>
          <w:color w:val="auto"/>
        </w:rPr>
      </w:pPr>
    </w:p>
    <w:p>
      <w:pPr>
        <w:ind w:left="1360" w:hanging="198"/>
        <w:spacing w:after="0"/>
        <w:tabs>
          <w:tab w:leader="none" w:pos="136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accelerate at any time the exercisability or vesting of all or any portion of any Award;</w:t>
      </w:r>
    </w:p>
    <w:p>
      <w:pPr>
        <w:spacing w:after="0" w:line="175" w:lineRule="exact"/>
        <w:rPr>
          <w:rFonts w:ascii="Times New Roman" w:cs="Times New Roman" w:eastAsia="Times New Roman" w:hAnsi="Times New Roman"/>
          <w:sz w:val="14"/>
          <w:szCs w:val="14"/>
          <w:color w:val="auto"/>
        </w:rPr>
      </w:pPr>
    </w:p>
    <w:p>
      <w:pPr>
        <w:ind w:left="1400" w:hanging="238"/>
        <w:spacing w:after="0"/>
        <w:tabs>
          <w:tab w:leader="none" w:pos="14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impose any limitations on Awards, including limitations on transfers, repurchase provisions and the like, and to exercise repurchase rights or obligations;</w:t>
      </w:r>
    </w:p>
    <w:p>
      <w:pPr>
        <w:spacing w:after="0" w:line="175" w:lineRule="exact"/>
        <w:rPr>
          <w:rFonts w:ascii="Times New Roman" w:cs="Times New Roman" w:eastAsia="Times New Roman" w:hAnsi="Times New Roman"/>
          <w:sz w:val="14"/>
          <w:szCs w:val="14"/>
          <w:color w:val="auto"/>
        </w:rPr>
      </w:pPr>
    </w:p>
    <w:p>
      <w:pPr>
        <w:ind w:left="1440" w:hanging="278"/>
        <w:spacing w:after="0"/>
        <w:tabs>
          <w:tab w:leader="none" w:pos="144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5(a)(ii) and any restrictions imposed by Section 409A, to extend at any time the period in which Stock Options may be exercised; and</w:t>
      </w:r>
    </w:p>
    <w:p>
      <w:pPr>
        <w:spacing w:after="0" w:line="175" w:lineRule="exact"/>
        <w:rPr>
          <w:rFonts w:ascii="Times New Roman" w:cs="Times New Roman" w:eastAsia="Times New Roman" w:hAnsi="Times New Roman"/>
          <w:sz w:val="14"/>
          <w:szCs w:val="14"/>
          <w:color w:val="auto"/>
        </w:rPr>
      </w:pPr>
    </w:p>
    <w:p>
      <w:pPr>
        <w:jc w:val="both"/>
        <w:ind w:right="300" w:firstLine="1162"/>
        <w:spacing w:after="0" w:line="267" w:lineRule="auto"/>
        <w:tabs>
          <w:tab w:leader="none" w:pos="1473"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decisions and interpretations of the Committee shall be binding on all persons, including the Company and all Holders.</w:t>
      </w:r>
    </w:p>
    <w:p>
      <w:pPr>
        <w:spacing w:after="0" w:line="175" w:lineRule="exact"/>
        <w:rPr>
          <w:sz w:val="20"/>
          <w:szCs w:val="20"/>
          <w:color w:val="auto"/>
        </w:rPr>
      </w:pPr>
    </w:p>
    <w:p>
      <w:pPr>
        <w:ind w:right="140" w:firstLine="515"/>
        <w:spacing w:after="0" w:line="257" w:lineRule="auto"/>
        <w:tabs>
          <w:tab w:leader="none" w:pos="702"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Delegation of Authority to Grant Options</w:t>
      </w:r>
      <w:r>
        <w:rPr>
          <w:rFonts w:ascii="Times New Roman" w:cs="Times New Roman" w:eastAsia="Times New Roman" w:hAnsi="Times New Roman"/>
          <w:sz w:val="14"/>
          <w:szCs w:val="14"/>
          <w:color w:val="auto"/>
        </w:rPr>
        <w:t>. Subject to applicable law, the Committee, in its discretion, may delegate to the Chief Executive Officer of the Company the power to designate non-officer employees to be recipients of Options, and to determine the number of such Options to be received by such employees; provided, however, that the resolution so authorizing the Chief Executive Officer shall specify the total number of Options the Chief Executive Officer may so award and may not delegate to the Chief Executive Officer the authority to set the exercise price or the vesting terms of such Options. Any such delegation by the Committee shall also provide that the Chief Executive Officer may not grant Awards to himself or herself (or other officers) without the approval of the Committee. The Committee may revoke or amend the terms of a delegation at any time but such action shall not invalidate any prior actions of the Committee’s delegate or delegates that were consistent with the terms of the Plan.</w:t>
      </w:r>
    </w:p>
    <w:p>
      <w:pPr>
        <w:spacing w:after="0" w:line="143"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Awards under the Plan shall be evidenced by Award Agreements that set forth the terms, conditions and limitations for each Award.</w:t>
      </w:r>
    </w:p>
    <w:p>
      <w:pPr>
        <w:spacing w:after="0" w:line="175" w:lineRule="exact"/>
        <w:rPr>
          <w:rFonts w:ascii="Times New Roman" w:cs="Times New Roman" w:eastAsia="Times New Roman" w:hAnsi="Times New Roman"/>
          <w:sz w:val="14"/>
          <w:szCs w:val="14"/>
          <w:color w:val="auto"/>
        </w:rPr>
      </w:pPr>
    </w:p>
    <w:p>
      <w:pPr>
        <w:ind w:firstLine="515"/>
        <w:spacing w:after="0" w:line="258" w:lineRule="auto"/>
        <w:tabs>
          <w:tab w:leader="none" w:pos="702"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143" w:lineRule="exact"/>
        <w:rPr>
          <w:rFonts w:ascii="Times New Roman" w:cs="Times New Roman" w:eastAsia="Times New Roman" w:hAnsi="Times New Roman"/>
          <w:sz w:val="14"/>
          <w:szCs w:val="14"/>
          <w:color w:val="auto"/>
        </w:rPr>
      </w:pPr>
    </w:p>
    <w:p>
      <w:pPr>
        <w:ind w:right="40" w:firstLine="515"/>
        <w:spacing w:after="0" w:line="256" w:lineRule="auto"/>
        <w:tabs>
          <w:tab w:leader="none" w:pos="686"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Foreign Award Recipients</w:t>
      </w:r>
      <w:r>
        <w:rPr>
          <w:rFonts w:ascii="Times New Roman" w:cs="Times New Roman" w:eastAsia="Times New Roman" w:hAnsi="Times New Roman"/>
          <w:sz w:val="14"/>
          <w:szCs w:val="14"/>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STOCK ISSUABLE UNDER THE PLAN; MERGERS AND OTHER TRANSACTIONS; SUBSTITUTION</w:t>
      </w:r>
    </w:p>
    <w:p>
      <w:pPr>
        <w:spacing w:after="0" w:line="175" w:lineRule="exact"/>
        <w:rPr>
          <w:sz w:val="20"/>
          <w:szCs w:val="20"/>
          <w:color w:val="auto"/>
        </w:rPr>
      </w:pPr>
    </w:p>
    <w:p>
      <w:pPr>
        <w:ind w:right="100" w:firstLine="515"/>
        <w:spacing w:after="0" w:line="258" w:lineRule="auto"/>
        <w:tabs>
          <w:tab w:leader="none" w:pos="702"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Issuable</w:t>
      </w:r>
      <w:r>
        <w:rPr>
          <w:rFonts w:ascii="Times New Roman" w:cs="Times New Roman" w:eastAsia="Times New Roman" w:hAnsi="Times New Roman"/>
          <w:sz w:val="14"/>
          <w:szCs w:val="14"/>
          <w:color w:val="auto"/>
        </w:rPr>
        <w:t>. The maximum number of Shares reserved and available for issuance under the Plan shall be 13,655,004 Shares, subject to adjustment as provided in Section 3(b). For purposes of this limitation, the Shares underlying any awards (i) previously granted under the Prior Plan that, after January 6, 2026, or (ii) under the Plan,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378" w:name="page379"/>
    <w:bookmarkEnd w:id="378"/>
    <w:p>
      <w:pPr>
        <w:ind w:right="160"/>
        <w:spacing w:after="0" w:line="283" w:lineRule="auto"/>
        <w:rPr>
          <w:sz w:val="20"/>
          <w:szCs w:val="20"/>
          <w:color w:val="auto"/>
        </w:rPr>
      </w:pPr>
      <w:r>
        <w:rPr>
          <w:rFonts w:ascii="Times New Roman" w:cs="Times New Roman" w:eastAsia="Times New Roman" w:hAnsi="Times New Roman"/>
          <w:sz w:val="14"/>
          <w:szCs w:val="14"/>
          <w:color w:val="auto"/>
        </w:rPr>
        <w:t>pursuant to any type or types of Award, and no more than 136,550,040 Shares may be issued pursuant to Incentive Stock Options. The Shares available for issuance under the Plan may be authorized but unissued Shares or Shares reacquired by the Company.</w:t>
      </w:r>
    </w:p>
    <w:p>
      <w:pPr>
        <w:spacing w:after="0" w:line="125" w:lineRule="exact"/>
        <w:rPr>
          <w:sz w:val="20"/>
          <w:szCs w:val="20"/>
          <w:color w:val="auto"/>
        </w:rPr>
      </w:pPr>
    </w:p>
    <w:p>
      <w:pPr>
        <w:ind w:firstLine="515"/>
        <w:spacing w:after="0" w:line="254" w:lineRule="auto"/>
        <w:tabs>
          <w:tab w:leader="none" w:pos="71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Stock</w:t>
      </w:r>
      <w:r>
        <w:rPr>
          <w:rFonts w:ascii="Times New Roman" w:cs="Times New Roman" w:eastAsia="Times New Roman" w:hAnsi="Times New Roman"/>
          <w:sz w:val="14"/>
          <w:szCs w:val="14"/>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46" w:lineRule="exact"/>
        <w:rPr>
          <w:rFonts w:ascii="Times New Roman" w:cs="Times New Roman" w:eastAsia="Times New Roman" w:hAnsi="Times New Roman"/>
          <w:sz w:val="14"/>
          <w:szCs w:val="14"/>
          <w:color w:val="auto"/>
        </w:rPr>
      </w:pPr>
    </w:p>
    <w:p>
      <w:pPr>
        <w:ind w:left="700" w:hanging="185"/>
        <w:spacing w:after="0"/>
        <w:tabs>
          <w:tab w:leader="none" w:pos="70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Sale Events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20" w:hanging="165"/>
        <w:spacing w:after="0"/>
        <w:tabs>
          <w:tab w:leader="none" w:pos="1320"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520" w:right="20" w:firstLine="1153"/>
        <w:spacing w:after="0" w:line="266" w:lineRule="auto"/>
        <w:tabs>
          <w:tab w:leader="none" w:pos="1908"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37" w:lineRule="exact"/>
        <w:rPr>
          <w:rFonts w:ascii="Times New Roman" w:cs="Times New Roman" w:eastAsia="Times New Roman" w:hAnsi="Times New Roman"/>
          <w:sz w:val="14"/>
          <w:szCs w:val="14"/>
          <w:color w:val="auto"/>
        </w:rPr>
      </w:pPr>
    </w:p>
    <w:p>
      <w:pPr>
        <w:ind w:left="520" w:firstLine="1153"/>
        <w:spacing w:after="0" w:line="267" w:lineRule="auto"/>
        <w:tabs>
          <w:tab w:leader="none" w:pos="1900"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exercise of Options not exercisable prior to the Sale Event shall be subject to the consummation of the Sale Event.</w:t>
      </w:r>
    </w:p>
    <w:p>
      <w:pPr>
        <w:spacing w:after="0" w:line="135" w:lineRule="exact"/>
        <w:rPr>
          <w:rFonts w:ascii="Times New Roman" w:cs="Times New Roman" w:eastAsia="Times New Roman" w:hAnsi="Times New Roman"/>
          <w:sz w:val="14"/>
          <w:szCs w:val="14"/>
          <w:color w:val="auto"/>
        </w:rPr>
      </w:pPr>
    </w:p>
    <w:p>
      <w:pPr>
        <w:ind w:left="520" w:right="80" w:firstLine="1153"/>
        <w:spacing w:after="0" w:line="258" w:lineRule="auto"/>
        <w:tabs>
          <w:tab w:leader="none" w:pos="1900"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43"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and Restricted Stock Unit Awards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jc w:val="both"/>
        <w:ind w:left="520" w:right="120" w:firstLine="1146"/>
        <w:spacing w:after="0" w:line="261" w:lineRule="auto"/>
        <w:tabs>
          <w:tab w:leader="none" w:pos="1900"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140" w:lineRule="exact"/>
        <w:rPr>
          <w:rFonts w:ascii="Times New Roman" w:cs="Times New Roman" w:eastAsia="Times New Roman" w:hAnsi="Times New Roman"/>
          <w:sz w:val="14"/>
          <w:szCs w:val="14"/>
          <w:color w:val="auto"/>
        </w:rPr>
      </w:pPr>
    </w:p>
    <w:p>
      <w:pPr>
        <w:ind w:left="520" w:right="40" w:firstLine="1146"/>
        <w:spacing w:after="0" w:line="283" w:lineRule="auto"/>
        <w:tabs>
          <w:tab w:leader="none" w:pos="1892"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124" w:lineRule="exact"/>
        <w:rPr>
          <w:rFonts w:ascii="Times New Roman" w:cs="Times New Roman" w:eastAsia="Times New Roman" w:hAnsi="Times New Roman"/>
          <w:sz w:val="14"/>
          <w:szCs w:val="14"/>
          <w:color w:val="auto"/>
        </w:rPr>
      </w:pPr>
    </w:p>
    <w:p>
      <w:pPr>
        <w:ind w:left="520" w:right="360" w:firstLine="1153"/>
        <w:spacing w:after="0" w:line="283" w:lineRule="auto"/>
        <w:tabs>
          <w:tab w:leader="none" w:pos="1900"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Section 3(c)(ii)(A), in the event of a Sale Event, the Company shall have the right, but not the obligation, to make or provide for a cash payment to the Holders of Restricted Stock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79" w:name="page380"/>
    <w:bookmarkEnd w:id="379"/>
    <w:p>
      <w:pPr>
        <w:ind w:left="520" w:right="420"/>
        <w:spacing w:after="0" w:line="283" w:lineRule="auto"/>
        <w:rPr>
          <w:sz w:val="20"/>
          <w:szCs w:val="20"/>
          <w:color w:val="auto"/>
        </w:rPr>
      </w:pPr>
      <w:r>
        <w:rPr>
          <w:rFonts w:ascii="Times New Roman" w:cs="Times New Roman" w:eastAsia="Times New Roman" w:hAnsi="Times New Roman"/>
          <w:sz w:val="14"/>
          <w:szCs w:val="14"/>
          <w:color w:val="auto"/>
        </w:rPr>
        <w:t>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ELIGIBILITY</w:t>
      </w:r>
    </w:p>
    <w:p>
      <w:pPr>
        <w:spacing w:after="0" w:line="175"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Awards shall be granted only to those individuals described in Rule 701(c) of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STOCK OPTIONS</w:t>
      </w:r>
    </w:p>
    <w:p>
      <w:pPr>
        <w:spacing w:after="0" w:line="175" w:lineRule="exact"/>
        <w:rPr>
          <w:sz w:val="20"/>
          <w:szCs w:val="20"/>
          <w:color w:val="auto"/>
        </w:rPr>
      </w:pPr>
    </w:p>
    <w:p>
      <w:pPr>
        <w:ind w:right="200" w:firstLine="511"/>
        <w:spacing w:after="0" w:line="283" w:lineRule="auto"/>
        <w:rPr>
          <w:sz w:val="20"/>
          <w:szCs w:val="20"/>
          <w:color w:val="auto"/>
        </w:rPr>
      </w:pPr>
      <w:r>
        <w:rPr>
          <w:rFonts w:ascii="Times New Roman" w:cs="Times New Roman" w:eastAsia="Times New Roman" w:hAnsi="Times New Roman"/>
          <w:sz w:val="14"/>
          <w:szCs w:val="14"/>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25" w:lineRule="exact"/>
        <w:rPr>
          <w:sz w:val="20"/>
          <w:szCs w:val="20"/>
          <w:color w:val="auto"/>
        </w:rPr>
      </w:pPr>
    </w:p>
    <w:p>
      <w:pPr>
        <w:ind w:right="100" w:firstLine="511"/>
        <w:spacing w:after="0" w:line="267" w:lineRule="auto"/>
        <w:rPr>
          <w:sz w:val="20"/>
          <w:szCs w:val="20"/>
          <w:color w:val="auto"/>
        </w:rPr>
      </w:pPr>
      <w:r>
        <w:rPr>
          <w:rFonts w:ascii="Times New Roman" w:cs="Times New Roman" w:eastAsia="Times New Roman" w:hAnsi="Times New Roman"/>
          <w:sz w:val="14"/>
          <w:szCs w:val="14"/>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36" w:lineRule="exact"/>
        <w:rPr>
          <w:sz w:val="20"/>
          <w:szCs w:val="20"/>
          <w:color w:val="auto"/>
        </w:rPr>
      </w:pPr>
    </w:p>
    <w:p>
      <w:pPr>
        <w:ind w:firstLine="515"/>
        <w:spacing w:after="0" w:line="283" w:lineRule="auto"/>
        <w:tabs>
          <w:tab w:leader="none" w:pos="702"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of Stock Options</w:t>
      </w:r>
      <w:r>
        <w:rPr>
          <w:rFonts w:ascii="Times New Roman" w:cs="Times New Roman" w:eastAsia="Times New Roman" w:hAnsi="Times New Roman"/>
          <w:sz w:val="14"/>
          <w:szCs w:val="14"/>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24" w:lineRule="exact"/>
        <w:rPr>
          <w:rFonts w:ascii="Times New Roman" w:cs="Times New Roman" w:eastAsia="Times New Roman" w:hAnsi="Times New Roman"/>
          <w:sz w:val="14"/>
          <w:szCs w:val="14"/>
          <w:color w:val="auto"/>
        </w:rPr>
      </w:pPr>
    </w:p>
    <w:p>
      <w:pPr>
        <w:ind w:right="160" w:firstLine="1162"/>
        <w:spacing w:after="0" w:line="267" w:lineRule="auto"/>
        <w:tabs>
          <w:tab w:leader="none" w:pos="1325"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35" w:lineRule="exact"/>
        <w:rPr>
          <w:rFonts w:ascii="Times New Roman" w:cs="Times New Roman" w:eastAsia="Times New Roman" w:hAnsi="Times New Roman"/>
          <w:sz w:val="14"/>
          <w:szCs w:val="14"/>
          <w:color w:val="auto"/>
        </w:rPr>
      </w:pPr>
    </w:p>
    <w:p>
      <w:pPr>
        <w:ind w:right="40" w:firstLine="1162"/>
        <w:spacing w:after="0" w:line="283" w:lineRule="auto"/>
        <w:tabs>
          <w:tab w:leader="none" w:pos="1364"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Term</w:t>
      </w:r>
      <w:r>
        <w:rPr>
          <w:rFonts w:ascii="Times New Roman" w:cs="Times New Roman" w:eastAsia="Times New Roman" w:hAnsi="Times New Roman"/>
          <w:sz w:val="14"/>
          <w:szCs w:val="14"/>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124" w:lineRule="exact"/>
        <w:rPr>
          <w:rFonts w:ascii="Times New Roman" w:cs="Times New Roman" w:eastAsia="Times New Roman" w:hAnsi="Times New Roman"/>
          <w:sz w:val="14"/>
          <w:szCs w:val="14"/>
          <w:color w:val="auto"/>
        </w:rPr>
      </w:pPr>
    </w:p>
    <w:p>
      <w:pPr>
        <w:ind w:right="20" w:firstLine="1162"/>
        <w:spacing w:after="0" w:line="257" w:lineRule="auto"/>
        <w:tabs>
          <w:tab w:leader="none" w:pos="1403"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Rights of a Stockholder</w:t>
      </w:r>
      <w:r>
        <w:rPr>
          <w:rFonts w:ascii="Times New Roman" w:cs="Times New Roman" w:eastAsia="Times New Roman" w:hAnsi="Times New Roman"/>
          <w:sz w:val="14"/>
          <w:szCs w:val="14"/>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43" w:lineRule="exact"/>
        <w:rPr>
          <w:rFonts w:ascii="Times New Roman" w:cs="Times New Roman" w:eastAsia="Times New Roman" w:hAnsi="Times New Roman"/>
          <w:sz w:val="14"/>
          <w:szCs w:val="14"/>
          <w:color w:val="auto"/>
        </w:rPr>
      </w:pPr>
    </w:p>
    <w:p>
      <w:pPr>
        <w:ind w:right="340" w:firstLine="1162"/>
        <w:spacing w:after="0" w:line="267" w:lineRule="auto"/>
        <w:tabs>
          <w:tab w:leader="none" w:pos="1395"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135" w:lineRule="exact"/>
        <w:rPr>
          <w:rFonts w:ascii="Times New Roman" w:cs="Times New Roman" w:eastAsia="Times New Roman" w:hAnsi="Times New Roman"/>
          <w:sz w:val="14"/>
          <w:szCs w:val="14"/>
          <w:color w:val="auto"/>
        </w:rPr>
      </w:pPr>
    </w:p>
    <w:p>
      <w:pPr>
        <w:ind w:left="1900" w:hanging="227"/>
        <w:spacing w:after="0"/>
        <w:tabs>
          <w:tab w:leader="none" w:pos="1900" w:val="left"/>
        </w:tabs>
        <w:numPr>
          <w:ilvl w:val="2"/>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cash, by certified or bank check, by wire transfer of immediately available funds, or other instrument acceptable to the Committee;</w:t>
      </w:r>
    </w:p>
    <w:p>
      <w:pPr>
        <w:spacing w:after="0" w:line="175" w:lineRule="exact"/>
        <w:rPr>
          <w:rFonts w:ascii="Times New Roman" w:cs="Times New Roman" w:eastAsia="Times New Roman" w:hAnsi="Times New Roman"/>
          <w:sz w:val="14"/>
          <w:szCs w:val="14"/>
          <w:color w:val="auto"/>
        </w:rPr>
      </w:pPr>
    </w:p>
    <w:p>
      <w:pPr>
        <w:ind w:left="520" w:right="120" w:firstLine="1153"/>
        <w:spacing w:after="0" w:line="267" w:lineRule="auto"/>
        <w:tabs>
          <w:tab w:leader="none" w:pos="1900" w:val="left"/>
        </w:tabs>
        <w:numPr>
          <w:ilvl w:val="2"/>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at least so much of the exercise price as represents the par value of the Stock shall be paid in cash if required by state law;</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986" w:right="379" w:bottom="1440" w:gutter="0" w:footer="0" w:header="0"/>
        </w:sectPr>
      </w:pPr>
    </w:p>
    <w:bookmarkStart w:id="380" w:name="page381"/>
    <w:bookmarkEnd w:id="380"/>
    <w:p>
      <w:pPr>
        <w:ind w:left="520" w:firstLine="1153"/>
        <w:spacing w:after="0" w:line="261" w:lineRule="auto"/>
        <w:tabs>
          <w:tab w:leader="none" w:pos="190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140" w:lineRule="exact"/>
        <w:rPr>
          <w:rFonts w:ascii="Times New Roman" w:cs="Times New Roman" w:eastAsia="Times New Roman" w:hAnsi="Times New Roman"/>
          <w:sz w:val="14"/>
          <w:szCs w:val="14"/>
          <w:color w:val="auto"/>
        </w:rPr>
      </w:pPr>
    </w:p>
    <w:p>
      <w:pPr>
        <w:ind w:left="520" w:firstLine="1153"/>
        <w:spacing w:after="0" w:line="261" w:lineRule="auto"/>
        <w:tabs>
          <w:tab w:leader="none" w:pos="190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40" w:lineRule="exact"/>
        <w:rPr>
          <w:rFonts w:ascii="Times New Roman" w:cs="Times New Roman" w:eastAsia="Times New Roman" w:hAnsi="Times New Roman"/>
          <w:sz w:val="14"/>
          <w:szCs w:val="14"/>
          <w:color w:val="auto"/>
        </w:rPr>
      </w:pPr>
    </w:p>
    <w:p>
      <w:pPr>
        <w:ind w:left="520" w:right="240" w:firstLine="1153"/>
        <w:spacing w:after="0" w:line="283" w:lineRule="auto"/>
        <w:tabs>
          <w:tab w:leader="none" w:pos="1892"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25"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4"/>
          <w:szCs w:val="14"/>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44" w:lineRule="exact"/>
        <w:rPr>
          <w:sz w:val="20"/>
          <w:szCs w:val="20"/>
          <w:color w:val="auto"/>
        </w:rPr>
      </w:pPr>
    </w:p>
    <w:p>
      <w:pPr>
        <w:jc w:val="both"/>
        <w:ind w:right="60" w:firstLine="515"/>
        <w:spacing w:after="0" w:line="261" w:lineRule="auto"/>
        <w:tabs>
          <w:tab w:leader="none" w:pos="71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Limit on Incentive Stock Options</w:t>
      </w:r>
      <w:r>
        <w:rPr>
          <w:rFonts w:ascii="Times New Roman" w:cs="Times New Roman" w:eastAsia="Times New Roman" w:hAnsi="Times New Roman"/>
          <w:sz w:val="14"/>
          <w:szCs w:val="14"/>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40" w:lineRule="exact"/>
        <w:rPr>
          <w:rFonts w:ascii="Times New Roman" w:cs="Times New Roman" w:eastAsia="Times New Roman" w:hAnsi="Times New Roman"/>
          <w:sz w:val="14"/>
          <w:szCs w:val="14"/>
          <w:color w:val="auto"/>
        </w:rPr>
      </w:pPr>
    </w:p>
    <w:p>
      <w:pPr>
        <w:ind w:right="80" w:firstLine="515"/>
        <w:spacing w:after="0" w:line="255" w:lineRule="auto"/>
        <w:tabs>
          <w:tab w:leader="none" w:pos="702"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RESTRICTED STOCK AWARDS</w:t>
      </w:r>
    </w:p>
    <w:p>
      <w:pPr>
        <w:spacing w:after="0" w:line="175" w:lineRule="exact"/>
        <w:rPr>
          <w:sz w:val="20"/>
          <w:szCs w:val="20"/>
          <w:color w:val="auto"/>
        </w:rPr>
      </w:pPr>
    </w:p>
    <w:p>
      <w:pPr>
        <w:ind w:right="280" w:firstLine="515"/>
        <w:spacing w:after="0" w:line="267" w:lineRule="auto"/>
        <w:tabs>
          <w:tab w:leader="none" w:pos="702"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Nature of Restricted Stock Awards</w:t>
      </w:r>
      <w:r>
        <w:rPr>
          <w:rFonts w:ascii="Times New Roman" w:cs="Times New Roman" w:eastAsia="Times New Roman" w:hAnsi="Times New Roman"/>
          <w:sz w:val="14"/>
          <w:szCs w:val="14"/>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381" w:name="page382"/>
    <w:bookmarkEnd w:id="381"/>
    <w:p>
      <w:pPr>
        <w:ind w:right="100"/>
        <w:spacing w:after="0" w:line="267" w:lineRule="auto"/>
        <w:rPr>
          <w:sz w:val="20"/>
          <w:szCs w:val="20"/>
          <w:color w:val="auto"/>
        </w:rPr>
      </w:pPr>
      <w:r>
        <w:rPr>
          <w:rFonts w:ascii="Times New Roman" w:cs="Times New Roman" w:eastAsia="Times New Roman" w:hAnsi="Times New Roman"/>
          <w:sz w:val="14"/>
          <w:szCs w:val="14"/>
          <w:color w:val="auto"/>
        </w:rPr>
        <w:t>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136" w:lineRule="exact"/>
        <w:rPr>
          <w:sz w:val="20"/>
          <w:szCs w:val="20"/>
          <w:color w:val="auto"/>
        </w:rPr>
      </w:pPr>
    </w:p>
    <w:p>
      <w:pPr>
        <w:ind w:right="60" w:firstLine="515"/>
        <w:spacing w:after="0" w:line="257" w:lineRule="auto"/>
        <w:tabs>
          <w:tab w:leader="none" w:pos="71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a Stockholder</w:t>
      </w:r>
      <w:r>
        <w:rPr>
          <w:rFonts w:ascii="Times New Roman" w:cs="Times New Roman" w:eastAsia="Times New Roman" w:hAnsi="Times New Roman"/>
          <w:sz w:val="14"/>
          <w:szCs w:val="14"/>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43" w:lineRule="exact"/>
        <w:rPr>
          <w:rFonts w:ascii="Times New Roman" w:cs="Times New Roman" w:eastAsia="Times New Roman" w:hAnsi="Times New Roman"/>
          <w:sz w:val="14"/>
          <w:szCs w:val="14"/>
          <w:color w:val="auto"/>
        </w:rPr>
      </w:pPr>
    </w:p>
    <w:p>
      <w:pPr>
        <w:ind w:right="200" w:firstLine="515"/>
        <w:spacing w:after="0" w:line="261" w:lineRule="auto"/>
        <w:tabs>
          <w:tab w:leader="none" w:pos="70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40" w:lineRule="exact"/>
        <w:rPr>
          <w:rFonts w:ascii="Times New Roman" w:cs="Times New Roman" w:eastAsia="Times New Roman" w:hAnsi="Times New Roman"/>
          <w:sz w:val="14"/>
          <w:szCs w:val="14"/>
          <w:color w:val="auto"/>
        </w:rPr>
      </w:pPr>
    </w:p>
    <w:p>
      <w:pPr>
        <w:ind w:right="100" w:firstLine="515"/>
        <w:spacing w:after="0" w:line="267" w:lineRule="auto"/>
        <w:tabs>
          <w:tab w:leader="none" w:pos="71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of Restricted Stock</w:t>
      </w:r>
      <w:r>
        <w:rPr>
          <w:rFonts w:ascii="Times New Roman" w:cs="Times New Roman" w:eastAsia="Times New Roman" w:hAnsi="Times New Roman"/>
          <w:sz w:val="14"/>
          <w:szCs w:val="14"/>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UNRESTRICTED STOCK AWARDS</w:t>
      </w:r>
    </w:p>
    <w:p>
      <w:pPr>
        <w:spacing w:after="0" w:line="175" w:lineRule="exact"/>
        <w:rPr>
          <w:sz w:val="20"/>
          <w:szCs w:val="20"/>
          <w:color w:val="auto"/>
        </w:rPr>
      </w:pPr>
    </w:p>
    <w:p>
      <w:pPr>
        <w:ind w:right="200" w:firstLine="511"/>
        <w:spacing w:after="0" w:line="283" w:lineRule="auto"/>
        <w:rPr>
          <w:sz w:val="20"/>
          <w:szCs w:val="20"/>
          <w:color w:val="auto"/>
        </w:rPr>
      </w:pPr>
      <w:r>
        <w:rPr>
          <w:rFonts w:ascii="Times New Roman" w:cs="Times New Roman" w:eastAsia="Times New Roman" w:hAnsi="Times New Roman"/>
          <w:sz w:val="14"/>
          <w:szCs w:val="14"/>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RESTRICTED STOCK UNITS</w:t>
      </w:r>
    </w:p>
    <w:p>
      <w:pPr>
        <w:spacing w:after="0" w:line="175" w:lineRule="exact"/>
        <w:rPr>
          <w:sz w:val="20"/>
          <w:szCs w:val="20"/>
          <w:color w:val="auto"/>
        </w:rPr>
      </w:pPr>
    </w:p>
    <w:p>
      <w:pPr>
        <w:ind w:right="100" w:firstLine="515"/>
        <w:spacing w:after="0" w:line="256" w:lineRule="auto"/>
        <w:tabs>
          <w:tab w:leader="none" w:pos="702"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Nature of Restricted Stock Units</w:t>
      </w:r>
      <w:r>
        <w:rPr>
          <w:rFonts w:ascii="Times New Roman" w:cs="Times New Roman" w:eastAsia="Times New Roman" w:hAnsi="Times New Roman"/>
          <w:sz w:val="14"/>
          <w:szCs w:val="14"/>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143" w:lineRule="exact"/>
        <w:rPr>
          <w:rFonts w:ascii="Times New Roman" w:cs="Times New Roman" w:eastAsia="Times New Roman" w:hAnsi="Times New Roman"/>
          <w:sz w:val="14"/>
          <w:szCs w:val="14"/>
          <w:color w:val="auto"/>
        </w:rPr>
      </w:pPr>
    </w:p>
    <w:p>
      <w:pPr>
        <w:ind w:firstLine="515"/>
        <w:spacing w:after="0" w:line="261" w:lineRule="auto"/>
        <w:tabs>
          <w:tab w:leader="none" w:pos="71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a Stockholder</w:t>
      </w:r>
      <w:r>
        <w:rPr>
          <w:rFonts w:ascii="Times New Roman" w:cs="Times New Roman" w:eastAsia="Times New Roman" w:hAnsi="Times New Roman"/>
          <w:sz w:val="14"/>
          <w:szCs w:val="14"/>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40" w:lineRule="exact"/>
        <w:rPr>
          <w:rFonts w:ascii="Times New Roman" w:cs="Times New Roman" w:eastAsia="Times New Roman" w:hAnsi="Times New Roman"/>
          <w:sz w:val="14"/>
          <w:szCs w:val="14"/>
          <w:color w:val="auto"/>
        </w:rPr>
      </w:pPr>
    </w:p>
    <w:p>
      <w:pPr>
        <w:ind w:right="180" w:firstLine="515"/>
        <w:spacing w:after="0" w:line="283" w:lineRule="auto"/>
        <w:tabs>
          <w:tab w:leader="none" w:pos="702"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TRANSFER RESTRICTIONS; COMPANY RIGHT OF FIRST REFUSAL; COMPANY REPURCHASE RIGHTS</w:t>
      </w:r>
    </w:p>
    <w:p>
      <w:pPr>
        <w:spacing w:after="0" w:line="175" w:lineRule="exact"/>
        <w:rPr>
          <w:sz w:val="20"/>
          <w:szCs w:val="20"/>
          <w:color w:val="auto"/>
        </w:rPr>
      </w:pPr>
    </w:p>
    <w:p>
      <w:pPr>
        <w:ind w:left="700" w:hanging="185"/>
        <w:spacing w:after="0"/>
        <w:tabs>
          <w:tab w:leader="none" w:pos="70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40" w:firstLine="1162"/>
        <w:spacing w:after="0" w:line="254" w:lineRule="auto"/>
        <w:tabs>
          <w:tab w:leader="none" w:pos="1325"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Non-Transferability of Stock Options</w:t>
      </w:r>
      <w:r>
        <w:rPr>
          <w:rFonts w:ascii="Times New Roman" w:cs="Times New Roman" w:eastAsia="Times New Roman" w:hAnsi="Times New Roman"/>
          <w:sz w:val="14"/>
          <w:szCs w:val="14"/>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48" w:lineRule="exact"/>
        <w:rPr>
          <w:rFonts w:ascii="Times New Roman" w:cs="Times New Roman" w:eastAsia="Times New Roman" w:hAnsi="Times New Roman"/>
          <w:sz w:val="14"/>
          <w:szCs w:val="14"/>
          <w:color w:val="auto"/>
        </w:rPr>
      </w:pPr>
    </w:p>
    <w:p>
      <w:pPr>
        <w:ind w:firstLine="1162"/>
        <w:spacing w:after="0" w:line="254" w:lineRule="auto"/>
        <w:tabs>
          <w:tab w:leader="none" w:pos="1364"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42" w:lineRule="exact"/>
        <w:rPr>
          <w:rFonts w:ascii="Times New Roman" w:cs="Times New Roman" w:eastAsia="Times New Roman" w:hAnsi="Times New Roman"/>
          <w:sz w:val="14"/>
          <w:szCs w:val="14"/>
          <w:color w:val="auto"/>
        </w:rPr>
      </w:pPr>
    </w:p>
    <w:p>
      <w:pPr>
        <w:ind w:left="520" w:right="40" w:firstLine="1146"/>
        <w:spacing w:after="0" w:line="262" w:lineRule="auto"/>
        <w:tabs>
          <w:tab w:leader="none" w:pos="1900" w:val="left"/>
        </w:tabs>
        <w:numPr>
          <w:ilvl w:val="2"/>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Transfers to Permitted Transferees</w:t>
      </w:r>
      <w:r>
        <w:rPr>
          <w:rFonts w:ascii="Times New Roman" w:cs="Times New Roman" w:eastAsia="Times New Roman" w:hAnsi="Times New Roman"/>
          <w:sz w:val="14"/>
          <w:szCs w:val="14"/>
          <w:color w:val="auto"/>
        </w:rPr>
        <w:t xml:space="preserve">. The Holder may transfer any or all of the Shares to one or more Permitted Transferees;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140" w:lineRule="exact"/>
        <w:rPr>
          <w:rFonts w:ascii="Times New Roman" w:cs="Times New Roman" w:eastAsia="Times New Roman" w:hAnsi="Times New Roman"/>
          <w:sz w:val="14"/>
          <w:szCs w:val="14"/>
          <w:color w:val="auto"/>
        </w:rPr>
      </w:pPr>
    </w:p>
    <w:p>
      <w:pPr>
        <w:jc w:val="both"/>
        <w:ind w:left="520" w:right="40" w:firstLine="1146"/>
        <w:spacing w:after="0" w:line="267" w:lineRule="auto"/>
        <w:tabs>
          <w:tab w:leader="none" w:pos="1892" w:val="left"/>
        </w:tabs>
        <w:numPr>
          <w:ilvl w:val="2"/>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Transfers Upon Death</w:t>
      </w:r>
      <w:r>
        <w:rPr>
          <w:rFonts w:ascii="Times New Roman" w:cs="Times New Roman" w:eastAsia="Times New Roman" w:hAnsi="Times New Roman"/>
          <w:sz w:val="14"/>
          <w:szCs w:val="14"/>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35" w:lineRule="exact"/>
        <w:rPr>
          <w:rFonts w:ascii="Times New Roman" w:cs="Times New Roman" w:eastAsia="Times New Roman" w:hAnsi="Times New Roman"/>
          <w:sz w:val="14"/>
          <w:szCs w:val="14"/>
          <w:color w:val="auto"/>
        </w:rPr>
      </w:pPr>
    </w:p>
    <w:p>
      <w:pPr>
        <w:ind w:right="40" w:firstLine="515"/>
        <w:spacing w:after="0" w:line="254" w:lineRule="auto"/>
        <w:tabs>
          <w:tab w:leader="none" w:pos="71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First Refusal</w:t>
      </w:r>
      <w:r>
        <w:rPr>
          <w:rFonts w:ascii="Times New Roman" w:cs="Times New Roman" w:eastAsia="Times New Roman" w:hAnsi="Times New Roman"/>
          <w:sz w:val="14"/>
          <w:szCs w:val="14"/>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83" w:name="page384"/>
    <w:bookmarkEnd w:id="383"/>
    <w:p>
      <w:pPr>
        <w:spacing w:after="0" w:line="258" w:lineRule="auto"/>
        <w:rPr>
          <w:sz w:val="20"/>
          <w:szCs w:val="20"/>
          <w:color w:val="auto"/>
        </w:rPr>
      </w:pPr>
      <w:r>
        <w:rPr>
          <w:rFonts w:ascii="Times New Roman" w:cs="Times New Roman" w:eastAsia="Times New Roman" w:hAnsi="Times New Roman"/>
          <w:sz w:val="14"/>
          <w:szCs w:val="14"/>
          <w:color w:val="auto"/>
        </w:rPr>
        <w:t>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44" w:lineRule="exact"/>
        <w:rPr>
          <w:sz w:val="20"/>
          <w:szCs w:val="20"/>
          <w:color w:val="auto"/>
        </w:rPr>
      </w:pPr>
    </w:p>
    <w:p>
      <w:pPr>
        <w:ind w:left="700" w:hanging="185"/>
        <w:spacing w:after="0"/>
        <w:tabs>
          <w:tab w:leader="none" w:pos="7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Company’s Right of Repurchase</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60" w:firstLine="1162"/>
        <w:spacing w:after="0" w:line="258" w:lineRule="auto"/>
        <w:tabs>
          <w:tab w:leader="none" w:pos="1325"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Repurchase for Unvested Shares Issued Upon the Exercise of an Option</w:t>
      </w:r>
      <w:r>
        <w:rPr>
          <w:rFonts w:ascii="Times New Roman" w:cs="Times New Roman" w:eastAsia="Times New Roman" w:hAnsi="Times New Roman"/>
          <w:sz w:val="14"/>
          <w:szCs w:val="14"/>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43" w:lineRule="exact"/>
        <w:rPr>
          <w:rFonts w:ascii="Times New Roman" w:cs="Times New Roman" w:eastAsia="Times New Roman" w:hAnsi="Times New Roman"/>
          <w:sz w:val="14"/>
          <w:szCs w:val="14"/>
          <w:color w:val="auto"/>
        </w:rPr>
      </w:pPr>
    </w:p>
    <w:p>
      <w:pPr>
        <w:ind w:right="40" w:firstLine="1162"/>
        <w:spacing w:after="0" w:line="261" w:lineRule="auto"/>
        <w:tabs>
          <w:tab w:leader="none" w:pos="1364"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Repurchase With Respect to Restricted Stock</w:t>
      </w:r>
      <w:r>
        <w:rPr>
          <w:rFonts w:ascii="Times New Roman" w:cs="Times New Roman" w:eastAsia="Times New Roman" w:hAnsi="Times New Roman"/>
          <w:sz w:val="14"/>
          <w:szCs w:val="14"/>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40" w:lineRule="exact"/>
        <w:rPr>
          <w:rFonts w:ascii="Times New Roman" w:cs="Times New Roman" w:eastAsia="Times New Roman" w:hAnsi="Times New Roman"/>
          <w:sz w:val="14"/>
          <w:szCs w:val="14"/>
          <w:color w:val="auto"/>
        </w:rPr>
      </w:pPr>
    </w:p>
    <w:p>
      <w:pPr>
        <w:ind w:right="100" w:firstLine="1162"/>
        <w:spacing w:after="0" w:line="258" w:lineRule="auto"/>
        <w:tabs>
          <w:tab w:leader="none" w:pos="1403"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may pay the repurchase price by offsetting and canceling any indebtedness then owed by the Holder to the Company.</w:t>
      </w:r>
    </w:p>
    <w:p>
      <w:pPr>
        <w:spacing w:after="0" w:line="143"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700" w:hanging="185"/>
        <w:spacing w:after="0"/>
        <w:tabs>
          <w:tab w:leader="none" w:pos="7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Escrow Arrangement</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40" w:firstLine="1155"/>
        <w:spacing w:after="0" w:line="258" w:lineRule="auto"/>
        <w:tabs>
          <w:tab w:leader="none" w:pos="1318"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Escrow</w:t>
      </w:r>
      <w:r>
        <w:rPr>
          <w:rFonts w:ascii="Times New Roman" w:cs="Times New Roman" w:eastAsia="Times New Roman" w:hAnsi="Times New Roman"/>
          <w:sz w:val="14"/>
          <w:szCs w:val="14"/>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143" w:lineRule="exact"/>
        <w:rPr>
          <w:rFonts w:ascii="Times New Roman" w:cs="Times New Roman" w:eastAsia="Times New Roman" w:hAnsi="Times New Roman"/>
          <w:sz w:val="14"/>
          <w:szCs w:val="14"/>
          <w:color w:val="auto"/>
        </w:rPr>
      </w:pPr>
    </w:p>
    <w:p>
      <w:pPr>
        <w:ind w:right="40" w:firstLine="1155"/>
        <w:spacing w:after="0" w:line="255" w:lineRule="auto"/>
        <w:tabs>
          <w:tab w:leader="none" w:pos="1357"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Remedy</w:t>
      </w:r>
      <w:r>
        <w:rPr>
          <w:rFonts w:ascii="Times New Roman" w:cs="Times New Roman" w:eastAsia="Times New Roman" w:hAnsi="Times New Roman"/>
          <w:sz w:val="14"/>
          <w:szCs w:val="14"/>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84" w:name="page385"/>
    <w:bookmarkEnd w:id="384"/>
    <w:p>
      <w:pPr>
        <w:ind w:right="40" w:firstLine="515"/>
        <w:spacing w:after="0" w:line="267" w:lineRule="auto"/>
        <w:tabs>
          <w:tab w:leader="none" w:pos="686"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Lockup Provision</w:t>
      </w:r>
      <w:r>
        <w:rPr>
          <w:rFonts w:ascii="Times New Roman" w:cs="Times New Roman" w:eastAsia="Times New Roman" w:hAnsi="Times New Roman"/>
          <w:sz w:val="14"/>
          <w:szCs w:val="14"/>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135" w:lineRule="exact"/>
        <w:rPr>
          <w:rFonts w:ascii="Times New Roman" w:cs="Times New Roman" w:eastAsia="Times New Roman" w:hAnsi="Times New Roman"/>
          <w:sz w:val="14"/>
          <w:szCs w:val="14"/>
          <w:color w:val="auto"/>
        </w:rPr>
      </w:pPr>
    </w:p>
    <w:p>
      <w:pPr>
        <w:ind w:right="40" w:firstLine="515"/>
        <w:spacing w:after="0" w:line="267" w:lineRule="auto"/>
        <w:tabs>
          <w:tab w:leader="none" w:pos="71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Changes in Capital Structure</w:t>
      </w:r>
      <w:r>
        <w:rPr>
          <w:rFonts w:ascii="Times New Roman" w:cs="Times New Roman" w:eastAsia="Times New Roman" w:hAnsi="Times New Roman"/>
          <w:sz w:val="14"/>
          <w:szCs w:val="14"/>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35" w:lineRule="exact"/>
        <w:rPr>
          <w:rFonts w:ascii="Times New Roman" w:cs="Times New Roman" w:eastAsia="Times New Roman" w:hAnsi="Times New Roman"/>
          <w:sz w:val="14"/>
          <w:szCs w:val="14"/>
          <w:color w:val="auto"/>
        </w:rPr>
      </w:pPr>
    </w:p>
    <w:p>
      <w:pPr>
        <w:ind w:right="100" w:firstLine="515"/>
        <w:spacing w:after="0" w:line="267" w:lineRule="auto"/>
        <w:tabs>
          <w:tab w:leader="none" w:pos="71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TAX WITHHOLDING</w:t>
      </w:r>
    </w:p>
    <w:p>
      <w:pPr>
        <w:spacing w:after="0" w:line="175" w:lineRule="exact"/>
        <w:rPr>
          <w:sz w:val="20"/>
          <w:szCs w:val="20"/>
          <w:color w:val="auto"/>
        </w:rPr>
      </w:pPr>
    </w:p>
    <w:p>
      <w:pPr>
        <w:ind w:right="180" w:firstLine="515"/>
        <w:spacing w:after="0" w:line="258" w:lineRule="auto"/>
        <w:tabs>
          <w:tab w:leader="none" w:pos="702"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by Grantee</w:t>
      </w:r>
      <w:r>
        <w:rPr>
          <w:rFonts w:ascii="Times New Roman" w:cs="Times New Roman" w:eastAsia="Times New Roman" w:hAnsi="Times New Roman"/>
          <w:sz w:val="14"/>
          <w:szCs w:val="14"/>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43" w:lineRule="exact"/>
        <w:rPr>
          <w:rFonts w:ascii="Times New Roman" w:cs="Times New Roman" w:eastAsia="Times New Roman" w:hAnsi="Times New Roman"/>
          <w:sz w:val="14"/>
          <w:szCs w:val="14"/>
          <w:color w:val="auto"/>
        </w:rPr>
      </w:pPr>
    </w:p>
    <w:p>
      <w:pPr>
        <w:jc w:val="both"/>
        <w:ind w:firstLine="515"/>
        <w:spacing w:after="0" w:line="267" w:lineRule="auto"/>
        <w:tabs>
          <w:tab w:leader="none" w:pos="71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in Stock</w:t>
      </w:r>
      <w:r>
        <w:rPr>
          <w:rFonts w:ascii="Times New Roman" w:cs="Times New Roman" w:eastAsia="Times New Roman" w:hAnsi="Times New Roman"/>
          <w:sz w:val="14"/>
          <w:szCs w:val="14"/>
          <w:color w:val="auto"/>
        </w:rPr>
        <w:t>. The Company’s required tax withholding obligation may be satisfied, in whole or in part, by the Company (i) withholding from Shares to be issued pursuant to an Award a number of Shares having an aggregate Fair Market Value (as of the date the withholding is effected) that would satisfy the withholding amount due or (ii) causing its transfer agent to sell a number of Shares with an aggregate Fair Market Value (as of the date the withholding is effected) that would satisfy the withholding amount due and remitting the proceeds from such sale to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SECTION 409A AWARDS.</w:t>
      </w:r>
    </w:p>
    <w:p>
      <w:pPr>
        <w:spacing w:after="0" w:line="173"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color w:val="auto"/>
        </w:rPr>
        <w:t>To the extent that any Award is determined to constitute “nonqualified deferred compensation” within the meaning of Section 409A (a “</w:t>
      </w:r>
      <w:r>
        <w:rPr>
          <w:rFonts w:ascii="Times New Roman" w:cs="Times New Roman" w:eastAsia="Times New Roman" w:hAnsi="Times New Roman"/>
          <w:sz w:val="14"/>
          <w:szCs w:val="14"/>
          <w:i w:val="1"/>
          <w:iCs w:val="1"/>
          <w:color w:val="auto"/>
        </w:rPr>
        <w:t>409A Award</w:t>
      </w:r>
      <w:r>
        <w:rPr>
          <w:rFonts w:ascii="Times New Roman" w:cs="Times New Roman" w:eastAsia="Times New Roman" w:hAnsi="Times New Roman"/>
          <w:sz w:val="14"/>
          <w:szCs w:val="14"/>
          <w:color w:val="auto"/>
        </w:rPr>
        <w:t>”),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AMENDMENTS AND TERMINATION</w:t>
      </w:r>
    </w:p>
    <w:p>
      <w:pPr>
        <w:spacing w:after="0" w:line="175"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4"/>
          <w:szCs w:val="14"/>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STATUS OF PLAN</w:t>
      </w:r>
    </w:p>
    <w:p>
      <w:pPr>
        <w:spacing w:after="0" w:line="175" w:lineRule="exact"/>
        <w:rPr>
          <w:sz w:val="20"/>
          <w:szCs w:val="20"/>
          <w:color w:val="auto"/>
        </w:rPr>
      </w:pPr>
    </w:p>
    <w:p>
      <w:pPr>
        <w:ind w:right="140" w:firstLine="511"/>
        <w:spacing w:after="0" w:line="283" w:lineRule="auto"/>
        <w:rPr>
          <w:sz w:val="20"/>
          <w:szCs w:val="20"/>
          <w:color w:val="auto"/>
        </w:rPr>
      </w:pPr>
      <w:r>
        <w:rPr>
          <w:rFonts w:ascii="Times New Roman" w:cs="Times New Roman" w:eastAsia="Times New Roman" w:hAnsi="Times New Roman"/>
          <w:sz w:val="14"/>
          <w:szCs w:val="14"/>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GENERAL PROVISIONS</w:t>
      </w:r>
    </w:p>
    <w:p>
      <w:pPr>
        <w:spacing w:after="0" w:line="175" w:lineRule="exact"/>
        <w:rPr>
          <w:sz w:val="20"/>
          <w:szCs w:val="20"/>
          <w:color w:val="auto"/>
        </w:rPr>
      </w:pPr>
    </w:p>
    <w:p>
      <w:pPr>
        <w:ind w:right="80" w:firstLine="515"/>
        <w:spacing w:after="0" w:line="267" w:lineRule="auto"/>
        <w:tabs>
          <w:tab w:leader="none" w:pos="702"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Distribution; Compliance with Legal Requirements</w:t>
      </w:r>
      <w:r>
        <w:rPr>
          <w:rFonts w:ascii="Times New Roman" w:cs="Times New Roman" w:eastAsia="Times New Roman" w:hAnsi="Times New Roman"/>
          <w:sz w:val="14"/>
          <w:szCs w:val="14"/>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35" w:lineRule="exact"/>
        <w:rPr>
          <w:rFonts w:ascii="Times New Roman" w:cs="Times New Roman" w:eastAsia="Times New Roman" w:hAnsi="Times New Roman"/>
          <w:sz w:val="14"/>
          <w:szCs w:val="14"/>
          <w:color w:val="auto"/>
        </w:rPr>
      </w:pPr>
    </w:p>
    <w:p>
      <w:pPr>
        <w:ind w:firstLine="515"/>
        <w:spacing w:after="0" w:line="258" w:lineRule="auto"/>
        <w:tabs>
          <w:tab w:leader="none" w:pos="71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Stock Certificates</w:t>
      </w:r>
      <w:r>
        <w:rPr>
          <w:rFonts w:ascii="Times New Roman" w:cs="Times New Roman" w:eastAsia="Times New Roman" w:hAnsi="Times New Roman"/>
          <w:sz w:val="14"/>
          <w:szCs w:val="14"/>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41" w:lineRule="exact"/>
        <w:rPr>
          <w:rFonts w:ascii="Times New Roman" w:cs="Times New Roman" w:eastAsia="Times New Roman" w:hAnsi="Times New Roman"/>
          <w:sz w:val="14"/>
          <w:szCs w:val="14"/>
          <w:color w:val="auto"/>
        </w:rPr>
      </w:pPr>
    </w:p>
    <w:p>
      <w:pPr>
        <w:ind w:right="20" w:firstLine="515"/>
        <w:spacing w:after="0" w:line="286" w:lineRule="auto"/>
        <w:tabs>
          <w:tab w:leader="none" w:pos="702"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Employment Rights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adoption of the Plan and the grant of Awards do not confer upon any Person any right to continued employment or Service Relationship with the Company or any Subsidiary.</w:t>
      </w:r>
    </w:p>
    <w:p>
      <w:pPr>
        <w:spacing w:after="0" w:line="122" w:lineRule="exact"/>
        <w:rPr>
          <w:rFonts w:ascii="Times New Roman" w:cs="Times New Roman" w:eastAsia="Times New Roman" w:hAnsi="Times New Roman"/>
          <w:sz w:val="14"/>
          <w:szCs w:val="14"/>
          <w:color w:val="auto"/>
        </w:rPr>
      </w:pPr>
    </w:p>
    <w:p>
      <w:pPr>
        <w:ind w:firstLine="515"/>
        <w:spacing w:after="0" w:line="283" w:lineRule="auto"/>
        <w:tabs>
          <w:tab w:leader="none" w:pos="71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Trading Policy Restrictions</w:t>
      </w:r>
      <w:r>
        <w:rPr>
          <w:rFonts w:ascii="Times New Roman" w:cs="Times New Roman" w:eastAsia="Times New Roman" w:hAnsi="Times New Roman"/>
          <w:sz w:val="14"/>
          <w:szCs w:val="14"/>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24" w:lineRule="exact"/>
        <w:rPr>
          <w:rFonts w:ascii="Times New Roman" w:cs="Times New Roman" w:eastAsia="Times New Roman" w:hAnsi="Times New Roman"/>
          <w:sz w:val="14"/>
          <w:szCs w:val="14"/>
          <w:color w:val="auto"/>
        </w:rPr>
      </w:pPr>
    </w:p>
    <w:p>
      <w:pPr>
        <w:ind w:right="100" w:firstLine="515"/>
        <w:spacing w:after="0" w:line="261" w:lineRule="auto"/>
        <w:tabs>
          <w:tab w:leader="none" w:pos="702"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of Beneficiary</w:t>
      </w:r>
      <w:r>
        <w:rPr>
          <w:rFonts w:ascii="Times New Roman" w:cs="Times New Roman" w:eastAsia="Times New Roman" w:hAnsi="Times New Roman"/>
          <w:sz w:val="14"/>
          <w:szCs w:val="14"/>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40" w:lineRule="exact"/>
        <w:rPr>
          <w:rFonts w:ascii="Times New Roman" w:cs="Times New Roman" w:eastAsia="Times New Roman" w:hAnsi="Times New Roman"/>
          <w:sz w:val="14"/>
          <w:szCs w:val="14"/>
          <w:color w:val="auto"/>
        </w:rPr>
      </w:pPr>
    </w:p>
    <w:p>
      <w:pPr>
        <w:ind w:right="260" w:firstLine="515"/>
        <w:spacing w:after="0" w:line="283" w:lineRule="auto"/>
        <w:tabs>
          <w:tab w:leader="none" w:pos="686"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Legend</w:t>
      </w:r>
      <w:r>
        <w:rPr>
          <w:rFonts w:ascii="Times New Roman" w:cs="Times New Roman" w:eastAsia="Times New Roman" w:hAnsi="Times New Roman"/>
          <w:sz w:val="14"/>
          <w:szCs w:val="14"/>
          <w:color w:val="auto"/>
        </w:rPr>
        <w:t>. Any certificate(s) representing the Shares shall carry substantially the following legend (and with respect to uncertificated Stock, the book entries evidencing such shares shall contain the following notation):</w:t>
      </w:r>
    </w:p>
    <w:p>
      <w:pPr>
        <w:spacing w:after="0" w:line="125" w:lineRule="exact"/>
        <w:rPr>
          <w:sz w:val="20"/>
          <w:szCs w:val="20"/>
          <w:color w:val="auto"/>
        </w:rPr>
      </w:pPr>
    </w:p>
    <w:p>
      <w:pPr>
        <w:jc w:val="both"/>
        <w:ind w:left="1660" w:right="100"/>
        <w:spacing w:after="0" w:line="267" w:lineRule="auto"/>
        <w:rPr>
          <w:sz w:val="20"/>
          <w:szCs w:val="20"/>
          <w:color w:val="auto"/>
        </w:rPr>
      </w:pPr>
      <w:r>
        <w:rPr>
          <w:rFonts w:ascii="Times New Roman" w:cs="Times New Roman" w:eastAsia="Times New Roman" w:hAnsi="Times New Roman"/>
          <w:sz w:val="14"/>
          <w:szCs w:val="14"/>
          <w:color w:val="auto"/>
        </w:rPr>
        <w:t>The transferability of this certificate and the shares of stock represented hereby are subject to the restrictions, terms and conditions (including repurchase and restrictions against transfers) contained in the Parabilis Medicines, Inc. 2026 Stock Option and Grant Plan and any agreements entered into thereunder by and between the company and the holder of this certificate (a copy of which is available at the offices of the company for examination).</w:t>
      </w:r>
    </w:p>
    <w:p>
      <w:pPr>
        <w:spacing w:after="0" w:line="136" w:lineRule="exact"/>
        <w:rPr>
          <w:sz w:val="20"/>
          <w:szCs w:val="20"/>
          <w:color w:val="auto"/>
        </w:rPr>
      </w:pPr>
    </w:p>
    <w:p>
      <w:pPr>
        <w:ind w:right="100" w:firstLine="515"/>
        <w:spacing w:after="0" w:line="261" w:lineRule="auto"/>
        <w:tabs>
          <w:tab w:leader="none" w:pos="71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to Holders of Options</w:t>
      </w:r>
      <w:r>
        <w:rPr>
          <w:rFonts w:ascii="Times New Roman" w:cs="Times New Roman" w:eastAsia="Times New Roman" w:hAnsi="Times New Roman"/>
          <w:sz w:val="14"/>
          <w:szCs w:val="14"/>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987" w:right="3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EFFECTIVE DATE OF PLAN</w:t>
      </w:r>
    </w:p>
    <w:p>
      <w:pPr>
        <w:spacing w:after="0" w:line="175"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GOVERNING LAW</w:t>
      </w:r>
    </w:p>
    <w:p>
      <w:pPr>
        <w:spacing w:after="0" w:line="175"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ADOPTED BY THE BOARD OF DIRECTORS: January 6,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APPROVED BY THE STOCKHOLDERS: January 6,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87" w:name="page388"/>
    <w:bookmarkEnd w:id="387"/>
    <w:p>
      <w:pPr>
        <w:ind w:left="4100"/>
        <w:spacing w:after="0"/>
        <w:rPr>
          <w:sz w:val="20"/>
          <w:szCs w:val="20"/>
          <w:color w:val="auto"/>
        </w:rPr>
      </w:pPr>
      <w:r>
        <w:rPr>
          <w:rFonts w:ascii="Times New Roman" w:cs="Times New Roman" w:eastAsia="Times New Roman" w:hAnsi="Times New Roman"/>
          <w:sz w:val="14"/>
          <w:szCs w:val="14"/>
          <w:b w:val="1"/>
          <w:bCs w:val="1"/>
          <w:color w:val="auto"/>
        </w:rPr>
        <w:t>INCENTIVE STOCK OPTION GRANT NOTICE</w:t>
      </w:r>
    </w:p>
    <w:p>
      <w:pPr>
        <w:spacing w:after="0" w:line="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Pursuant to the Parabilis Medicines, Inc. 2026 Stock Option and Grant Plan (the “Plan”), Parabilis Medicines,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Name of Optionee:</w:t>
            </w: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“Optionee”)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 of Shares:</w:t>
            </w:r>
          </w:p>
        </w:tc>
        <w:tc>
          <w:tcPr>
            <w:tcW w:w="700" w:type="dxa"/>
            <w:vAlign w:val="bottom"/>
          </w:tcPr>
          <w:p>
            <w:pPr>
              <w:spacing w:after="0"/>
              <w:rPr>
                <w:sz w:val="22"/>
                <w:szCs w:val="22"/>
                <w:color w:val="auto"/>
              </w:rPr>
            </w:pPr>
          </w:p>
        </w:tc>
        <w:tc>
          <w:tcPr>
            <w:tcW w:w="77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Shares of Common Stock</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7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6200" w:type="dxa"/>
            <w:vAlign w:val="bottom"/>
          </w:tcPr>
          <w:p>
            <w:pPr>
              <w:spacing w:after="0"/>
              <w:rPr>
                <w:sz w:val="22"/>
                <w:szCs w:val="22"/>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Commencement Date:</w:t>
            </w: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“Vesting Commencement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“Expiration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Option Exercise Price/Share:</w:t>
            </w: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 Exercise Price”)</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Schedule:</w:t>
            </w: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[25] percent of the Shares shall vest and become exercisable on the first anniversary of the Vesting Commencement Date; provided that the Optionee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continues to have a Service Relationship with the Company at such time. Thereafter, the remaining [75] percent of the Shares shall vest and become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exercisable in [36] equal monthly installments following the first anniversary of the Vesting Commencement Date, provided the Optionee continues to</w:t>
            </w:r>
          </w:p>
        </w:tc>
      </w:tr>
      <w:tr>
        <w:trPr>
          <w:trHeight w:val="166"/>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have a Service Relationship with the Company on each vesting date. Notwithstanding anything in the Agreement to the contrary, in the case of a Sale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Event, this Stock Option and the Shares shall be treated as provided in Section 3(c) of the Plan</w:t>
            </w:r>
            <w:r>
              <w:rPr>
                <w:rFonts w:ascii="Times New Roman" w:cs="Times New Roman" w:eastAsia="Times New Roman" w:hAnsi="Times New Roman"/>
                <w:sz w:val="14"/>
                <w:szCs w:val="14"/>
                <w:b w:val="1"/>
                <w:bCs w:val="1"/>
                <w:color w:val="auto"/>
              </w:rPr>
              <w:t>[ provided; however INSERT ANY</w:t>
            </w:r>
          </w:p>
        </w:tc>
      </w:tr>
      <w:tr>
        <w:trPr>
          <w:trHeight w:val="185"/>
        </w:trPr>
        <w:tc>
          <w:tcPr>
            <w:tcW w:w="2840" w:type="dxa"/>
            <w:vAlign w:val="bottom"/>
          </w:tcPr>
          <w:p>
            <w:pPr>
              <w:spacing w:after="0"/>
              <w:rPr>
                <w:sz w:val="16"/>
                <w:szCs w:val="16"/>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ACCELERATED VESTING PROVISION HERE]</w:t>
            </w:r>
            <w:r>
              <w:rPr>
                <w:rFonts w:ascii="Times New Roman" w:cs="Times New Roman" w:eastAsia="Times New Roman" w:hAnsi="Times New Roman"/>
                <w:sz w:val="14"/>
                <w:szCs w:val="14"/>
                <w:color w:val="auto"/>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Attachments</w:t>
      </w:r>
      <w:r>
        <w:rPr>
          <w:rFonts w:ascii="Times New Roman" w:cs="Times New Roman" w:eastAsia="Times New Roman" w:hAnsi="Times New Roman"/>
          <w:sz w:val="14"/>
          <w:szCs w:val="14"/>
          <w:color w:val="auto"/>
        </w:rPr>
        <w:t>: Incentive Stock Option Agreement, 2026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483235</wp:posOffset>
            </wp:positionV>
            <wp:extent cx="7188200"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388" w:name="page389"/>
    <w:bookmarkEnd w:id="388"/>
    <w:p>
      <w:pPr>
        <w:ind w:left="4200"/>
        <w:spacing w:after="0"/>
        <w:rPr>
          <w:sz w:val="20"/>
          <w:szCs w:val="20"/>
          <w:color w:val="auto"/>
        </w:rPr>
      </w:pPr>
      <w:r>
        <w:rPr>
          <w:rFonts w:ascii="Times New Roman" w:cs="Times New Roman" w:eastAsia="Times New Roman" w:hAnsi="Times New Roman"/>
          <w:sz w:val="14"/>
          <w:szCs w:val="14"/>
          <w:b w:val="1"/>
          <w:bCs w:val="1"/>
          <w:color w:val="auto"/>
        </w:rPr>
        <w:t>INCENTIVE STOCK OPTION AGREEMENT</w:t>
      </w:r>
    </w:p>
    <w:p>
      <w:pPr>
        <w:spacing w:after="0" w:line="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capitalized terms used herein and not otherwise defined shall have the respective meanings set forth in the Grant Notice and the Plan.</w:t>
      </w:r>
    </w:p>
    <w:p>
      <w:pPr>
        <w:spacing w:after="0" w:line="175" w:lineRule="exact"/>
        <w:rPr>
          <w:sz w:val="20"/>
          <w:szCs w:val="20"/>
          <w:color w:val="auto"/>
        </w:rPr>
      </w:pPr>
    </w:p>
    <w:p>
      <w:pPr>
        <w:ind w:left="660" w:hanging="145"/>
        <w:spacing w:after="0"/>
        <w:tabs>
          <w:tab w:leader="none" w:pos="66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Exercisability and Termination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portion of this Stock Option may be exercised until such portion shall have vested and become exercisable.</w:t>
      </w:r>
    </w:p>
    <w:p>
      <w:pPr>
        <w:spacing w:after="0" w:line="175" w:lineRule="exact"/>
        <w:rPr>
          <w:rFonts w:ascii="Times New Roman" w:cs="Times New Roman" w:eastAsia="Times New Roman" w:hAnsi="Times New Roman"/>
          <w:sz w:val="14"/>
          <w:szCs w:val="14"/>
          <w:color w:val="auto"/>
        </w:rPr>
      </w:pPr>
    </w:p>
    <w:p>
      <w:pPr>
        <w:ind w:right="60" w:firstLine="1155"/>
        <w:spacing w:after="0" w:line="283" w:lineRule="auto"/>
        <w:tabs>
          <w:tab w:leader="none" w:pos="1349"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24"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shall initially be unvested and unexercisable.</w:t>
      </w:r>
    </w:p>
    <w:p>
      <w:pPr>
        <w:spacing w:after="0" w:line="175" w:lineRule="exact"/>
        <w:rPr>
          <w:rFonts w:ascii="Times New Roman" w:cs="Times New Roman" w:eastAsia="Times New Roman" w:hAnsi="Times New Roman"/>
          <w:sz w:val="14"/>
          <w:szCs w:val="14"/>
          <w:color w:val="auto"/>
        </w:rPr>
      </w:pPr>
    </w:p>
    <w:p>
      <w:pPr>
        <w:ind w:left="1880" w:hanging="214"/>
        <w:spacing w:after="0"/>
        <w:tabs>
          <w:tab w:leader="none" w:pos="188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shall vest and become exercisable in accordance with the Vesting Schedule set forth in the Grant Notice.</w:t>
      </w:r>
    </w:p>
    <w:p>
      <w:pPr>
        <w:spacing w:after="0" w:line="175" w:lineRule="exact"/>
        <w:rPr>
          <w:rFonts w:ascii="Times New Roman" w:cs="Times New Roman" w:eastAsia="Times New Roman" w:hAnsi="Times New Roman"/>
          <w:sz w:val="14"/>
          <w:szCs w:val="14"/>
          <w:color w:val="auto"/>
        </w:rPr>
      </w:pPr>
    </w:p>
    <w:p>
      <w:pPr>
        <w:ind w:firstLine="1155"/>
        <w:spacing w:after="0" w:line="283" w:lineRule="auto"/>
        <w:tabs>
          <w:tab w:leader="none" w:pos="1341"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24" w:lineRule="exact"/>
        <w:rPr>
          <w:rFonts w:ascii="Times New Roman" w:cs="Times New Roman" w:eastAsia="Times New Roman" w:hAnsi="Times New Roman"/>
          <w:sz w:val="14"/>
          <w:szCs w:val="14"/>
          <w:color w:val="auto"/>
        </w:rPr>
      </w:pPr>
    </w:p>
    <w:p>
      <w:pPr>
        <w:ind w:left="520" w:right="160" w:firstLine="1146"/>
        <w:spacing w:after="0" w:line="267" w:lineRule="auto"/>
        <w:tabs>
          <w:tab w:leader="none" w:pos="1838"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Due to Death or Disability</w:t>
      </w:r>
      <w:r>
        <w:rPr>
          <w:rFonts w:ascii="Times New Roman" w:cs="Times New Roman" w:eastAsia="Times New Roman" w:hAnsi="Times New Roman"/>
          <w:sz w:val="14"/>
          <w:szCs w:val="14"/>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35" w:lineRule="exact"/>
        <w:rPr>
          <w:rFonts w:ascii="Times New Roman" w:cs="Times New Roman" w:eastAsia="Times New Roman" w:hAnsi="Times New Roman"/>
          <w:sz w:val="14"/>
          <w:szCs w:val="14"/>
          <w:color w:val="auto"/>
        </w:rPr>
      </w:pPr>
    </w:p>
    <w:p>
      <w:pPr>
        <w:ind w:left="520" w:right="40" w:firstLine="1146"/>
        <w:spacing w:after="0" w:line="267" w:lineRule="auto"/>
        <w:tabs>
          <w:tab w:leader="none" w:pos="1877"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3 months from the date of termination or until the Expiration Date, if earlier;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if the Optionee’s Service Relationship is terminated for Cause, this Stock Option shall terminate immediately upon the date of such termination.</w:t>
      </w:r>
    </w:p>
    <w:p>
      <w:pPr>
        <w:spacing w:after="0" w:line="136" w:lineRule="exact"/>
        <w:rPr>
          <w:sz w:val="20"/>
          <w:szCs w:val="20"/>
          <w:color w:val="auto"/>
        </w:rPr>
      </w:pPr>
    </w:p>
    <w:p>
      <w:pPr>
        <w:ind w:right="140" w:firstLine="511"/>
        <w:spacing w:after="0" w:line="261" w:lineRule="auto"/>
        <w:rPr>
          <w:sz w:val="20"/>
          <w:szCs w:val="20"/>
          <w:color w:val="auto"/>
        </w:rPr>
      </w:pPr>
      <w:r>
        <w:rPr>
          <w:rFonts w:ascii="Times New Roman" w:cs="Times New Roman" w:eastAsia="Times New Roman" w:hAnsi="Times New Roman"/>
          <w:sz w:val="14"/>
          <w:szCs w:val="14"/>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 w:lineRule="exact"/>
        <w:rPr>
          <w:sz w:val="20"/>
          <w:szCs w:val="20"/>
          <w:color w:val="auto"/>
        </w:rPr>
      </w:pPr>
    </w:p>
    <w:p>
      <w:pPr>
        <w:ind w:firstLine="4"/>
        <w:spacing w:after="0" w:line="252" w:lineRule="auto"/>
        <w:tabs>
          <w:tab w:leader="none" w:pos="198"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46"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1"/>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Stock Option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40" w:firstLine="1162"/>
        <w:spacing w:after="0" w:line="261" w:lineRule="auto"/>
        <w:tabs>
          <w:tab w:leader="none" w:pos="1349" w:val="left"/>
        </w:tabs>
        <w:numPr>
          <w:ilvl w:val="2"/>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389" w:name="page390"/>
    <w:bookmarkEnd w:id="389"/>
    <w:p>
      <w:pPr>
        <w:ind w:left="1340" w:hanging="198"/>
        <w:spacing w:after="0"/>
        <w:tabs>
          <w:tab w:leader="none" w:pos="134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hereof or of the Plan, no portion of this Stock Option shall be exercisable after the Expiration Date.</w:t>
      </w:r>
    </w:p>
    <w:p>
      <w:pPr>
        <w:spacing w:after="0" w:line="175" w:lineRule="exact"/>
        <w:rPr>
          <w:rFonts w:ascii="Times New Roman" w:cs="Times New Roman" w:eastAsia="Times New Roman" w:hAnsi="Times New Roman"/>
          <w:sz w:val="14"/>
          <w:szCs w:val="14"/>
          <w:color w:val="auto"/>
        </w:rPr>
      </w:pPr>
    </w:p>
    <w:p>
      <w:pPr>
        <w:ind w:left="640" w:hanging="145"/>
        <w:spacing w:after="0"/>
        <w:tabs>
          <w:tab w:leader="none" w:pos="640"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w:t>
      </w:r>
      <w:r>
        <w:rPr>
          <w:rFonts w:ascii="Times New Roman" w:cs="Times New Roman" w:eastAsia="Times New Roman" w:hAnsi="Times New Roman"/>
          <w:sz w:val="14"/>
          <w:szCs w:val="14"/>
          <w:color w:val="auto"/>
        </w:rPr>
        <w:t>. Notwithstanding anything herein to the contrary, this Stock Option shall be subject to and governed by all the terms and conditions of the Plan.</w:t>
      </w:r>
    </w:p>
    <w:p>
      <w:pPr>
        <w:spacing w:after="0" w:line="175" w:lineRule="exact"/>
        <w:rPr>
          <w:rFonts w:ascii="Times New Roman" w:cs="Times New Roman" w:eastAsia="Times New Roman" w:hAnsi="Times New Roman"/>
          <w:sz w:val="14"/>
          <w:szCs w:val="14"/>
          <w:color w:val="auto"/>
        </w:rPr>
      </w:pPr>
    </w:p>
    <w:p>
      <w:pPr>
        <w:ind w:left="-20" w:right="120" w:firstLine="515"/>
        <w:spacing w:after="0" w:line="257" w:lineRule="auto"/>
        <w:tabs>
          <w:tab w:leader="none" w:pos="631"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 of Stock Option</w:t>
      </w:r>
      <w:r>
        <w:rPr>
          <w:rFonts w:ascii="Times New Roman" w:cs="Times New Roman" w:eastAsia="Times New Roman" w:hAnsi="Times New Roman"/>
          <w:sz w:val="14"/>
          <w:szCs w:val="14"/>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43" w:lineRule="exact"/>
        <w:rPr>
          <w:rFonts w:ascii="Times New Roman" w:cs="Times New Roman" w:eastAsia="Times New Roman" w:hAnsi="Times New Roman"/>
          <w:sz w:val="14"/>
          <w:szCs w:val="14"/>
          <w:color w:val="auto"/>
        </w:rPr>
      </w:pPr>
    </w:p>
    <w:p>
      <w:pPr>
        <w:ind w:left="-20" w:right="100" w:firstLine="515"/>
        <w:spacing w:after="0" w:line="283" w:lineRule="auto"/>
        <w:tabs>
          <w:tab w:leader="none" w:pos="631"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 The Shares acquired upon exercise of the Stock Option shall be subject to certain transfer restrictions and other limitations including, without limitation, the provisions contained in Section 9 of the Plan.</w:t>
      </w:r>
    </w:p>
    <w:p>
      <w:pPr>
        <w:spacing w:after="0" w:line="124" w:lineRule="exact"/>
        <w:rPr>
          <w:rFonts w:ascii="Times New Roman" w:cs="Times New Roman" w:eastAsia="Times New Roman" w:hAnsi="Times New Roman"/>
          <w:sz w:val="14"/>
          <w:szCs w:val="14"/>
          <w:color w:val="auto"/>
        </w:rPr>
      </w:pPr>
    </w:p>
    <w:p>
      <w:pPr>
        <w:ind w:left="640" w:hanging="145"/>
        <w:spacing w:after="0"/>
        <w:tabs>
          <w:tab w:leader="none" w:pos="640"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0" w:right="300" w:firstLine="1162"/>
        <w:spacing w:after="0" w:line="283" w:lineRule="auto"/>
        <w:tabs>
          <w:tab w:leader="none" w:pos="1328"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Equitable Relief</w:t>
      </w:r>
      <w:r>
        <w:rPr>
          <w:rFonts w:ascii="Times New Roman" w:cs="Times New Roman" w:eastAsia="Times New Roman" w:hAnsi="Times New Roman"/>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4" w:lineRule="exact"/>
        <w:rPr>
          <w:rFonts w:ascii="Times New Roman" w:cs="Times New Roman" w:eastAsia="Times New Roman" w:hAnsi="Times New Roman"/>
          <w:sz w:val="14"/>
          <w:szCs w:val="14"/>
          <w:color w:val="auto"/>
        </w:rPr>
      </w:pPr>
    </w:p>
    <w:p>
      <w:pPr>
        <w:ind w:left="-20" w:right="140" w:firstLine="1162"/>
        <w:spacing w:after="0" w:line="261" w:lineRule="auto"/>
        <w:tabs>
          <w:tab w:leader="none" w:pos="1336"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Changes in Capital Structure</w:t>
      </w:r>
      <w:r>
        <w:rPr>
          <w:rFonts w:ascii="Times New Roman" w:cs="Times New Roman" w:eastAsia="Times New Roman" w:hAnsi="Times New Roman"/>
          <w:sz w:val="14"/>
          <w:szCs w:val="14"/>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40" w:lineRule="exact"/>
        <w:rPr>
          <w:rFonts w:ascii="Times New Roman" w:cs="Times New Roman" w:eastAsia="Times New Roman" w:hAnsi="Times New Roman"/>
          <w:sz w:val="14"/>
          <w:szCs w:val="14"/>
          <w:color w:val="auto"/>
        </w:rPr>
      </w:pPr>
    </w:p>
    <w:p>
      <w:pPr>
        <w:ind w:left="-20" w:right="120" w:firstLine="1162"/>
        <w:spacing w:after="0" w:line="283" w:lineRule="auto"/>
        <w:tabs>
          <w:tab w:leader="none" w:pos="1328"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and Modifications</w:t>
      </w:r>
      <w:r>
        <w:rPr>
          <w:rFonts w:ascii="Times New Roman" w:cs="Times New Roman" w:eastAsia="Times New Roman" w:hAnsi="Times New Roman"/>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4" w:lineRule="exact"/>
        <w:rPr>
          <w:rFonts w:ascii="Times New Roman" w:cs="Times New Roman" w:eastAsia="Times New Roman" w:hAnsi="Times New Roman"/>
          <w:sz w:val="14"/>
          <w:szCs w:val="14"/>
          <w:color w:val="auto"/>
        </w:rPr>
      </w:pPr>
    </w:p>
    <w:p>
      <w:pPr>
        <w:ind w:left="-20" w:right="100" w:firstLine="1162"/>
        <w:spacing w:after="0" w:line="267" w:lineRule="auto"/>
        <w:tabs>
          <w:tab w:leader="none" w:pos="1336"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5" w:lineRule="exact"/>
        <w:rPr>
          <w:rFonts w:ascii="Times New Roman" w:cs="Times New Roman" w:eastAsia="Times New Roman" w:hAnsi="Times New Roman"/>
          <w:sz w:val="14"/>
          <w:szCs w:val="14"/>
          <w:color w:val="auto"/>
        </w:rPr>
      </w:pPr>
    </w:p>
    <w:p>
      <w:pPr>
        <w:ind w:left="-20" w:firstLine="1162"/>
        <w:spacing w:after="0" w:line="283" w:lineRule="auto"/>
        <w:tabs>
          <w:tab w:leader="none" w:pos="1328"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24" w:lineRule="exact"/>
        <w:rPr>
          <w:rFonts w:ascii="Times New Roman" w:cs="Times New Roman" w:eastAsia="Times New Roman" w:hAnsi="Times New Roman"/>
          <w:sz w:val="14"/>
          <w:szCs w:val="14"/>
          <w:color w:val="auto"/>
        </w:rPr>
      </w:pPr>
    </w:p>
    <w:p>
      <w:pPr>
        <w:ind w:left="-20" w:right="780" w:firstLine="1162"/>
        <w:spacing w:after="0" w:line="283" w:lineRule="auto"/>
        <w:tabs>
          <w:tab w:leader="none" w:pos="1313"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 Clause</w:t>
      </w:r>
      <w:r>
        <w:rPr>
          <w:rFonts w:ascii="Times New Roman" w:cs="Times New Roman" w:eastAsia="Times New Roman" w:hAnsi="Times New Roman"/>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24" w:lineRule="exact"/>
        <w:rPr>
          <w:rFonts w:ascii="Times New Roman" w:cs="Times New Roman" w:eastAsia="Times New Roman" w:hAnsi="Times New Roman"/>
          <w:sz w:val="14"/>
          <w:szCs w:val="14"/>
          <w:color w:val="auto"/>
        </w:rPr>
      </w:pPr>
    </w:p>
    <w:p>
      <w:pPr>
        <w:ind w:left="-20" w:right="120" w:firstLine="1162"/>
        <w:spacing w:after="0" w:line="267" w:lineRule="auto"/>
        <w:tabs>
          <w:tab w:leader="none" w:pos="1336"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35" w:lineRule="exact"/>
        <w:rPr>
          <w:rFonts w:ascii="Times New Roman" w:cs="Times New Roman" w:eastAsia="Times New Roman" w:hAnsi="Times New Roman"/>
          <w:sz w:val="14"/>
          <w:szCs w:val="14"/>
          <w:color w:val="auto"/>
        </w:rPr>
      </w:pPr>
    </w:p>
    <w:p>
      <w:pPr>
        <w:jc w:val="both"/>
        <w:ind w:left="-20" w:right="780" w:firstLine="1162"/>
        <w:spacing w:after="0" w:line="283" w:lineRule="auto"/>
        <w:tabs>
          <w:tab w:leader="none" w:pos="1336"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and Binding Effect</w:t>
      </w:r>
      <w:r>
        <w:rPr>
          <w:rFonts w:ascii="Times New Roman" w:cs="Times New Roman" w:eastAsia="Times New Roman" w:hAnsi="Times New Roman"/>
          <w:sz w:val="14"/>
          <w:szCs w:val="14"/>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24" w:lineRule="exact"/>
        <w:rPr>
          <w:rFonts w:ascii="Times New Roman" w:cs="Times New Roman" w:eastAsia="Times New Roman" w:hAnsi="Times New Roman"/>
          <w:sz w:val="14"/>
          <w:szCs w:val="14"/>
          <w:color w:val="auto"/>
        </w:rPr>
      </w:pPr>
    </w:p>
    <w:p>
      <w:pPr>
        <w:ind w:left="-20" w:right="300" w:firstLine="1162"/>
        <w:spacing w:after="0" w:line="283" w:lineRule="auto"/>
        <w:tabs>
          <w:tab w:leader="none" w:pos="1305"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24" w:lineRule="exact"/>
        <w:rPr>
          <w:rFonts w:ascii="Times New Roman" w:cs="Times New Roman" w:eastAsia="Times New Roman" w:hAnsi="Times New Roman"/>
          <w:sz w:val="14"/>
          <w:szCs w:val="14"/>
          <w:color w:val="auto"/>
        </w:rPr>
      </w:pPr>
    </w:p>
    <w:p>
      <w:pPr>
        <w:ind w:left="-20" w:right="100" w:firstLine="1162"/>
        <w:spacing w:after="0" w:line="283" w:lineRule="auto"/>
        <w:tabs>
          <w:tab w:leader="none" w:pos="1305"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Agreement constitutes the entire agreement between the parties with respect to this Stock Option and supersedes all prior agreements and discussions between the parties concerning such subject matter.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375285</wp:posOffset>
            </wp:positionV>
            <wp:extent cx="7188200"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20" w:top="986" w:right="319" w:bottom="1440" w:gutter="0" w:footer="0" w:header="0"/>
        </w:sectPr>
      </w:pPr>
    </w:p>
    <w:bookmarkStart w:id="390" w:name="page391"/>
    <w:bookmarkEnd w:id="390"/>
    <w:p>
      <w:pPr>
        <w:ind w:left="660" w:hanging="145"/>
        <w:spacing w:after="0"/>
        <w:tabs>
          <w:tab w:leader="none" w:pos="66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20" w:firstLine="1162"/>
        <w:spacing w:after="0" w:line="261" w:lineRule="auto"/>
        <w:tabs>
          <w:tab w:leader="none" w:pos="1349"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Suffolk County, Massachusetts.</w:t>
      </w:r>
    </w:p>
    <w:p>
      <w:pPr>
        <w:spacing w:after="0" w:line="140" w:lineRule="exact"/>
        <w:rPr>
          <w:rFonts w:ascii="Times New Roman" w:cs="Times New Roman" w:eastAsia="Times New Roman" w:hAnsi="Times New Roman"/>
          <w:sz w:val="14"/>
          <w:szCs w:val="14"/>
          <w:color w:val="auto"/>
        </w:rPr>
      </w:pPr>
    </w:p>
    <w:p>
      <w:pPr>
        <w:ind w:firstLine="1162"/>
        <w:spacing w:after="0" w:line="255" w:lineRule="auto"/>
        <w:tabs>
          <w:tab w:leader="none" w:pos="1357"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45" w:lineRule="exact"/>
        <w:rPr>
          <w:rFonts w:ascii="Times New Roman" w:cs="Times New Roman" w:eastAsia="Times New Roman" w:hAnsi="Times New Roman"/>
          <w:sz w:val="14"/>
          <w:szCs w:val="14"/>
          <w:color w:val="auto"/>
        </w:rPr>
      </w:pPr>
    </w:p>
    <w:p>
      <w:pPr>
        <w:ind w:right="240" w:firstLine="1162"/>
        <w:spacing w:after="0" w:line="267" w:lineRule="auto"/>
        <w:tabs>
          <w:tab w:leader="none" w:pos="1349"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35" w:lineRule="exact"/>
        <w:rPr>
          <w:rFonts w:ascii="Times New Roman" w:cs="Times New Roman" w:eastAsia="Times New Roman" w:hAnsi="Times New Roman"/>
          <w:sz w:val="14"/>
          <w:szCs w:val="14"/>
          <w:color w:val="auto"/>
        </w:rPr>
      </w:pPr>
    </w:p>
    <w:p>
      <w:pPr>
        <w:ind w:right="40" w:firstLine="1162"/>
        <w:spacing w:after="0" w:line="255" w:lineRule="auto"/>
        <w:tabs>
          <w:tab w:leader="none" w:pos="1357"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5" w:lineRule="exact"/>
        <w:rPr>
          <w:rFonts w:ascii="Times New Roman" w:cs="Times New Roman" w:eastAsia="Times New Roman" w:hAnsi="Times New Roman"/>
          <w:sz w:val="14"/>
          <w:szCs w:val="14"/>
          <w:color w:val="auto"/>
        </w:rPr>
      </w:pPr>
    </w:p>
    <w:p>
      <w:pPr>
        <w:ind w:firstLine="515"/>
        <w:spacing w:after="0" w:line="254" w:lineRule="auto"/>
        <w:tabs>
          <w:tab w:leader="none" w:pos="651"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391" w:name="page392"/>
    <w:bookmarkEnd w:id="391"/>
    <w:p>
      <w:pPr>
        <w:ind w:left="520"/>
        <w:spacing w:after="0"/>
        <w:rPr>
          <w:sz w:val="20"/>
          <w:szCs w:val="20"/>
          <w:color w:val="auto"/>
        </w:rPr>
      </w:pPr>
      <w:r>
        <w:rPr>
          <w:rFonts w:ascii="Times New Roman" w:cs="Times New Roman" w:eastAsia="Times New Roman" w:hAnsi="Times New Roman"/>
          <w:sz w:val="14"/>
          <w:szCs w:val="14"/>
          <w:color w:val="auto"/>
        </w:rPr>
        <w:t>The foregoing Agreement is hereby accepted and the terms and conditions thereof hereby agreed to by the undersigned as of the date first above written.</w:t>
      </w:r>
    </w:p>
    <w:p>
      <w:pPr>
        <w:spacing w:after="0" w:line="2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4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13970</wp:posOffset>
            </wp:positionV>
            <wp:extent cx="257683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Title:</w:t>
      </w:r>
    </w:p>
    <w:p>
      <w:pPr>
        <w:spacing w:after="0" w:line="2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527685</wp:posOffset>
            </wp:positionV>
            <wp:extent cx="286385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788035</wp:posOffset>
            </wp:positionV>
            <wp:extent cx="286385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1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2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527685</wp:posOffset>
            </wp:positionV>
            <wp:extent cx="286385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788035</wp:posOffset>
            </wp:positionV>
            <wp:extent cx="286385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987" w:right="3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4"/>
          <w:szCs w:val="14"/>
          <w:color w:val="auto"/>
        </w:rPr>
        <w:t>[SPOUSE’S CONSENT</w:t>
      </w:r>
      <w:r>
        <w:rPr>
          <w:rFonts w:ascii="Times New Roman" w:cs="Times New Roman" w:eastAsia="Times New Roman" w:hAnsi="Times New Roman"/>
          <w:sz w:val="18"/>
          <w:szCs w:val="18"/>
          <w:color w:val="auto"/>
          <w:vertAlign w:val="superscript"/>
        </w:rPr>
        <w:t>1</w:t>
      </w:r>
    </w:p>
    <w:p>
      <w:pPr>
        <w:spacing w:after="0"/>
        <w:rPr>
          <w:sz w:val="20"/>
          <w:szCs w:val="20"/>
          <w:color w:val="auto"/>
        </w:rPr>
      </w:pPr>
      <w:r>
        <w:rPr>
          <w:rFonts w:ascii="Times New Roman" w:cs="Times New Roman" w:eastAsia="Times New Roman" w:hAnsi="Times New Roman"/>
          <w:sz w:val="14"/>
          <w:szCs w:val="14"/>
          <w:color w:val="auto"/>
        </w:rPr>
        <w:t>I acknowledge that I have read the foregoing Incentive Stock Option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understand the contents thereof.</w:t>
      </w:r>
    </w:p>
    <w:p>
      <w:pPr>
        <w:spacing w:after="0" w:line="16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43649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3649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954405"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66" w:lineRule="exact"/>
        <w:rPr>
          <w:sz w:val="20"/>
          <w:szCs w:val="20"/>
          <w:color w:val="auto"/>
        </w:rPr>
      </w:pPr>
    </w:p>
    <w:p>
      <w:pPr>
        <w:ind w:left="520" w:hanging="516"/>
        <w:spacing w:after="0" w:line="222" w:lineRule="auto"/>
        <w:tabs>
          <w:tab w:leader="none" w:pos="289" w:val="left"/>
        </w:tabs>
        <w:numPr>
          <w:ilvl w:val="0"/>
          <w:numId w:val="3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spouse’s consent is recommended only if the Optionee’s state of residence is one of the following community property states: Arizona, California, Idaho, Louisiana, Nevada, New Mexico, Texas, Washington and Wisconsin.</w:t>
      </w:r>
    </w:p>
    <w:p>
      <w:pPr>
        <w:spacing w:after="0" w:line="1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920"/>
          </w:cols>
          <w:pgMar w:left="300" w:top="1132" w:right="679" w:bottom="1440" w:gutter="0" w:footer="0" w:header="0"/>
        </w:sectPr>
      </w:pPr>
    </w:p>
    <w:bookmarkStart w:id="393" w:name="page394"/>
    <w:bookmarkEnd w:id="393"/>
    <w:p>
      <w:pPr>
        <w:jc w:val="right"/>
        <w:ind w:right="1499"/>
        <w:spacing w:after="0"/>
        <w:rPr>
          <w:sz w:val="20"/>
          <w:szCs w:val="20"/>
          <w:color w:val="auto"/>
        </w:rPr>
      </w:pPr>
      <w:r>
        <w:rPr>
          <w:rFonts w:ascii="Times New Roman" w:cs="Times New Roman" w:eastAsia="Times New Roman" w:hAnsi="Times New Roman"/>
          <w:sz w:val="14"/>
          <w:szCs w:val="14"/>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227330</wp:posOffset>
            </wp:positionV>
            <wp:extent cx="2863850"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227330</wp:posOffset>
            </wp:positionV>
            <wp:extent cx="286385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447675</wp:posOffset>
            </wp:positionV>
            <wp:extent cx="2863850"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668020</wp:posOffset>
            </wp:positionV>
            <wp:extent cx="2863850"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55" w:right="1440"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Appendix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EXERCISE 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[____________________]</w:t>
      </w:r>
    </w:p>
    <w:tbl>
      <w:tblPr>
        <w:tblLayout w:type="fixed"/>
        <w:tblInd w:w="0" w:type="dxa"/>
        <w:tblCellMar>
          <w:top w:w="0" w:type="dxa"/>
          <w:left w:w="0" w:type="dxa"/>
          <w:bottom w:w="0" w:type="dxa"/>
          <w:right w:w="0" w:type="dxa"/>
        </w:tblCellMar>
      </w:tblPr>
      <w:tr>
        <w:trPr>
          <w:trHeight w:val="14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color w:val="auto"/>
                <w:w w:val="85"/>
              </w:rPr>
              <w:t> </w:t>
            </w:r>
          </w:p>
        </w:tc>
      </w:tr>
      <w:tr>
        <w:trPr>
          <w:trHeight w:val="148"/>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40"/>
              <w:spacing w:after="0" w:line="148" w:lineRule="exact"/>
              <w:rPr>
                <w:sz w:val="20"/>
                <w:szCs w:val="20"/>
                <w:color w:val="auto"/>
              </w:rPr>
            </w:pPr>
            <w:r>
              <w:rPr>
                <w:rFonts w:ascii="Times New Roman" w:cs="Times New Roman" w:eastAsia="Times New Roman" w:hAnsi="Times New Roman"/>
                <w:sz w:val="14"/>
                <w:szCs w:val="14"/>
                <w:color w:val="auto"/>
                <w:w w:val="85"/>
              </w:rPr>
              <w:t> </w:t>
            </w: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terms of the grant notice and stock option agreement between the undersigned and Parabilis Medicines, Inc. (the “Company”) dated __________ (the “Agreement”) under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Parabilis Medicines, Inc. 2026 Stock Option and Grant Plan, I, [Insert Name] ________________, hereby [Circle One] partially/fully exercise such option by including herein payment in the amount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 representing the purchase price for [Fill in number of Shares] _______ Shares. I have chosen the following form(s) of payment:</w:t>
      </w:r>
    </w:p>
    <w:p>
      <w:pPr>
        <w:spacing w:after="0" w:line="371"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Certified or bank check payable to Parabilis Medicines, Inc.</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7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Other (as referenced in the Agreement and described in the Plan (please describe))</w:t>
            </w:r>
          </w:p>
        </w:tc>
      </w:tr>
    </w:tbl>
    <w:p>
      <w:pPr>
        <w:ind w:left="1480"/>
        <w:spacing w:after="0"/>
        <w:tabs>
          <w:tab w:leader="none" w:pos="7940" w:val="left"/>
        </w:tabs>
        <w:rPr>
          <w:sz w:val="20"/>
          <w:szCs w:val="20"/>
          <w:color w:val="auto"/>
        </w:rPr>
      </w:pPr>
      <w:r>
        <w:rPr>
          <w:rFonts w:ascii="Times New Roman" w:cs="Times New Roman" w:eastAsia="Times New Roman" w:hAnsi="Times New Roman"/>
          <w:sz w:val="14"/>
          <w:szCs w:val="14"/>
          <w:color w:val="auto"/>
        </w:rPr>
        <w:t xml:space="preserve">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-14605</wp:posOffset>
            </wp:positionV>
            <wp:extent cx="4115435"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115435" cy="698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my exercise of the option as set forth above, I hereby represent and warrant to the Company as follows:</w:t>
      </w:r>
    </w:p>
    <w:p>
      <w:pPr>
        <w:spacing w:after="0" w:line="175" w:lineRule="exact"/>
        <w:rPr>
          <w:sz w:val="20"/>
          <w:szCs w:val="20"/>
          <w:color w:val="auto"/>
        </w:rPr>
      </w:pPr>
    </w:p>
    <w:p>
      <w:pPr>
        <w:ind w:left="1840" w:hanging="174"/>
        <w:spacing w:after="0"/>
        <w:tabs>
          <w:tab w:leader="none" w:pos="184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purchasing the Shares for my own account for investment only, and not for resale or with a view to the distribution thereof.</w:t>
      </w:r>
    </w:p>
    <w:p>
      <w:pPr>
        <w:spacing w:after="0" w:line="175" w:lineRule="exact"/>
        <w:rPr>
          <w:rFonts w:ascii="Times New Roman" w:cs="Times New Roman" w:eastAsia="Times New Roman" w:hAnsi="Times New Roman"/>
          <w:sz w:val="14"/>
          <w:szCs w:val="14"/>
          <w:color w:val="auto"/>
        </w:rPr>
      </w:pPr>
    </w:p>
    <w:p>
      <w:pPr>
        <w:ind w:left="520" w:right="120" w:firstLine="1146"/>
        <w:spacing w:after="0" w:line="283" w:lineRule="auto"/>
        <w:tabs>
          <w:tab w:leader="none" w:pos="1877"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24" w:lineRule="exact"/>
        <w:rPr>
          <w:rFonts w:ascii="Times New Roman" w:cs="Times New Roman" w:eastAsia="Times New Roman" w:hAnsi="Times New Roman"/>
          <w:sz w:val="14"/>
          <w:szCs w:val="14"/>
          <w:color w:val="auto"/>
        </w:rPr>
      </w:pPr>
    </w:p>
    <w:p>
      <w:pPr>
        <w:ind w:left="520" w:right="460" w:firstLine="1146"/>
        <w:spacing w:after="0" w:line="283" w:lineRule="auto"/>
        <w:tabs>
          <w:tab w:leader="none" w:pos="1916"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24"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 afford a complete loss of the value of the Shares and am able to bear the economic risk of holding such Shares for an indefinite period of time.</w:t>
      </w:r>
    </w:p>
    <w:p>
      <w:pPr>
        <w:spacing w:after="0" w:line="175" w:lineRule="exact"/>
        <w:rPr>
          <w:rFonts w:ascii="Times New Roman" w:cs="Times New Roman" w:eastAsia="Times New Roman" w:hAnsi="Times New Roman"/>
          <w:sz w:val="14"/>
          <w:szCs w:val="14"/>
          <w:color w:val="auto"/>
        </w:rPr>
      </w:pPr>
    </w:p>
    <w:p>
      <w:pPr>
        <w:jc w:val="both"/>
        <w:ind w:left="520" w:right="280" w:firstLine="1146"/>
        <w:spacing w:after="0" w:line="258" w:lineRule="auto"/>
        <w:tabs>
          <w:tab w:leader="none" w:pos="1869"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12" w:lineRule="exact"/>
        <w:rPr>
          <w:rFonts w:ascii="Times New Roman" w:cs="Times New Roman" w:eastAsia="Times New Roman" w:hAnsi="Times New Roman"/>
          <w:sz w:val="14"/>
          <w:szCs w:val="14"/>
          <w:color w:val="auto"/>
        </w:rPr>
      </w:pPr>
    </w:p>
    <w:p>
      <w:pPr>
        <w:ind w:left="520" w:right="240" w:firstLine="1146"/>
        <w:spacing w:after="0" w:line="283" w:lineRule="auto"/>
        <w:tabs>
          <w:tab w:leader="none" w:pos="1908"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24" w:lineRule="exact"/>
        <w:rPr>
          <w:rFonts w:ascii="Times New Roman" w:cs="Times New Roman" w:eastAsia="Times New Roman" w:hAnsi="Times New Roman"/>
          <w:sz w:val="14"/>
          <w:szCs w:val="14"/>
          <w:color w:val="auto"/>
        </w:rPr>
      </w:pPr>
    </w:p>
    <w:p>
      <w:pPr>
        <w:ind w:left="1940" w:hanging="274"/>
        <w:spacing w:after="0"/>
        <w:tabs>
          <w:tab w:leader="none" w:pos="194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a right of first refusal with respect to the Shares pursuant to Section 9(b) of the Plan.</w:t>
      </w:r>
    </w:p>
    <w:p>
      <w:pPr>
        <w:spacing w:after="0" w:line="175" w:lineRule="exact"/>
        <w:rPr>
          <w:rFonts w:ascii="Times New Roman" w:cs="Times New Roman" w:eastAsia="Times New Roman" w:hAnsi="Times New Roman"/>
          <w:sz w:val="14"/>
          <w:szCs w:val="14"/>
          <w:color w:val="auto"/>
        </w:rPr>
      </w:pPr>
    </w:p>
    <w:p>
      <w:pPr>
        <w:ind w:left="1980" w:hanging="314"/>
        <w:spacing w:after="0"/>
        <w:tabs>
          <w:tab w:leader="none" w:pos="19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certain repurchase rights with respect to the Shares pursuant to Section 9(c) of the Plan.</w:t>
      </w:r>
    </w:p>
    <w:p>
      <w:pPr>
        <w:spacing w:after="0" w:line="175" w:lineRule="exact"/>
        <w:rPr>
          <w:rFonts w:ascii="Times New Roman" w:cs="Times New Roman" w:eastAsia="Times New Roman" w:hAnsi="Times New Roman"/>
          <w:sz w:val="14"/>
          <w:szCs w:val="14"/>
          <w:color w:val="auto"/>
        </w:rPr>
      </w:pPr>
    </w:p>
    <w:p>
      <w:pPr>
        <w:ind w:left="520" w:right="260" w:firstLine="1146"/>
        <w:spacing w:after="0" w:line="283" w:lineRule="auto"/>
        <w:tabs>
          <w:tab w:leader="none" w:pos="1908"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I may not sell or otherwise transfer or dispose of the Shares for a period of time following the effective date of a public offering by the Company as described in Section 9(f) of the Plan.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395" w:name="page396"/>
    <w:bookmarkEnd w:id="395"/>
    <w:p>
      <w:pPr>
        <w:ind w:left="5640" w:right="2119" w:hanging="5107"/>
        <w:spacing w:after="0" w:line="998" w:lineRule="auto"/>
        <w:tabs>
          <w:tab w:leader="none" w:pos="738" w:val="left"/>
        </w:tabs>
        <w:numPr>
          <w:ilvl w:val="0"/>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understand and agree to the waiver of statutory information rights as set forth in Section 8 of the Agreement. 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-31750</wp:posOffset>
            </wp:positionV>
            <wp:extent cx="286385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287655</wp:posOffset>
            </wp:positionV>
            <wp:extent cx="286385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534670</wp:posOffset>
            </wp:positionV>
            <wp:extent cx="286385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808355</wp:posOffset>
            </wp:positionV>
            <wp:extent cx="286385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27305</wp:posOffset>
            </wp:positionV>
            <wp:extent cx="2409825"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409825"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987" w:right="1440" w:bottom="1440" w:gutter="0" w:footer="0" w:header="0"/>
        </w:sectPr>
      </w:pPr>
    </w:p>
    <w:bookmarkStart w:id="396" w:name="page397"/>
    <w:bookmarkEnd w:id="39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NON-QUALIFIED STOCK OPTION GRANT NOTICE</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4"/>
          <w:szCs w:val="14"/>
          <w:color w:val="auto"/>
        </w:rPr>
        <w:t>Pursuant to the Parabilis Medicines, Inc. 2026 Stock Option and Grant Plan (the “Plan”), Parabilis Medicines,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Name of Optionee:</w:t>
            </w: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“Optionee”)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 of Shares:</w:t>
            </w:r>
          </w:p>
        </w:tc>
        <w:tc>
          <w:tcPr>
            <w:tcW w:w="700" w:type="dxa"/>
            <w:vAlign w:val="bottom"/>
          </w:tcPr>
          <w:p>
            <w:pPr>
              <w:spacing w:after="0"/>
              <w:rPr>
                <w:sz w:val="22"/>
                <w:szCs w:val="22"/>
                <w:color w:val="auto"/>
              </w:rPr>
            </w:pPr>
          </w:p>
        </w:tc>
        <w:tc>
          <w:tcPr>
            <w:tcW w:w="77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Shares of Common Stock</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7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6200" w:type="dxa"/>
            <w:vAlign w:val="bottom"/>
          </w:tcPr>
          <w:p>
            <w:pPr>
              <w:spacing w:after="0"/>
              <w:rPr>
                <w:sz w:val="22"/>
                <w:szCs w:val="22"/>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Commencement Date:</w:t>
            </w: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“Vesting Commencement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“Expiration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Option Exercise Price/Share:</w:t>
            </w: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 Exercise Price”)</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Schedule:</w:t>
            </w: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[25] percent of the Shares shall vest and become exercisable on the first anniversary of the Vesting Commencement Date; provided that the Optionee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continues to have a Service Relationship with the Company at such time. Thereafter, the remaining [75] percent of the Shares shall vest and become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exercisable in [36] equal monthly installments following the first anniversary of the Vesting Commencement Date, provided the Optionee continues to</w:t>
            </w:r>
          </w:p>
        </w:tc>
      </w:tr>
      <w:tr>
        <w:trPr>
          <w:trHeight w:val="166"/>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have a Service Relationship with the Company on each vesting date. Notwithstanding anything in the Agreement to the contrary, in the case of a Sale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Event, this Stock Option and the Shares shall be treated as provided in Section 3(c) of the Plan</w:t>
            </w:r>
            <w:r>
              <w:rPr>
                <w:rFonts w:ascii="Times New Roman" w:cs="Times New Roman" w:eastAsia="Times New Roman" w:hAnsi="Times New Roman"/>
                <w:sz w:val="14"/>
                <w:szCs w:val="14"/>
                <w:b w:val="1"/>
                <w:bCs w:val="1"/>
                <w:color w:val="auto"/>
              </w:rPr>
              <w:t>[ provided; however INSERT ANY</w:t>
            </w:r>
          </w:p>
        </w:tc>
      </w:tr>
      <w:tr>
        <w:trPr>
          <w:trHeight w:val="185"/>
        </w:trPr>
        <w:tc>
          <w:tcPr>
            <w:tcW w:w="2840" w:type="dxa"/>
            <w:vAlign w:val="bottom"/>
          </w:tcPr>
          <w:p>
            <w:pPr>
              <w:spacing w:after="0"/>
              <w:rPr>
                <w:sz w:val="16"/>
                <w:szCs w:val="16"/>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ACCELERATED VESTING PROVISION HERE]</w:t>
            </w:r>
            <w:r>
              <w:rPr>
                <w:rFonts w:ascii="Times New Roman" w:cs="Times New Roman" w:eastAsia="Times New Roman" w:hAnsi="Times New Roman"/>
                <w:sz w:val="14"/>
                <w:szCs w:val="14"/>
                <w:color w:val="auto"/>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Attachments</w:t>
      </w:r>
      <w:r>
        <w:rPr>
          <w:rFonts w:ascii="Times New Roman" w:cs="Times New Roman" w:eastAsia="Times New Roman" w:hAnsi="Times New Roman"/>
          <w:sz w:val="14"/>
          <w:szCs w:val="14"/>
          <w:color w:val="auto"/>
        </w:rPr>
        <w:t>: Non-Qualified Stock Option Agreement, 2026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749935</wp:posOffset>
            </wp:positionV>
            <wp:extent cx="7188200"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397" w:name="page398"/>
    <w:bookmarkEnd w:id="39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NON-QUALIFIED STOCK OPTION AGREEMENT</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capitalized terms used herein and not otherwise defined shall have the respective meanings set forth in the Grant Notice and the Plan.</w:t>
      </w:r>
    </w:p>
    <w:p>
      <w:pPr>
        <w:spacing w:after="0" w:line="175" w:lineRule="exact"/>
        <w:rPr>
          <w:sz w:val="20"/>
          <w:szCs w:val="20"/>
          <w:color w:val="auto"/>
        </w:rPr>
      </w:pPr>
    </w:p>
    <w:p>
      <w:pPr>
        <w:ind w:left="660" w:hanging="145"/>
        <w:spacing w:after="0"/>
        <w:tabs>
          <w:tab w:leader="none" w:pos="66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Exercisability and Termination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portion of this Stock Option may be exercised until such portion shall have vested and become exercisable.</w:t>
      </w:r>
    </w:p>
    <w:p>
      <w:pPr>
        <w:spacing w:after="0" w:line="175" w:lineRule="exact"/>
        <w:rPr>
          <w:rFonts w:ascii="Times New Roman" w:cs="Times New Roman" w:eastAsia="Times New Roman" w:hAnsi="Times New Roman"/>
          <w:sz w:val="14"/>
          <w:szCs w:val="14"/>
          <w:color w:val="auto"/>
        </w:rPr>
      </w:pPr>
    </w:p>
    <w:p>
      <w:pPr>
        <w:ind w:right="60" w:firstLine="1155"/>
        <w:spacing w:after="0" w:line="283" w:lineRule="auto"/>
        <w:tabs>
          <w:tab w:leader="none" w:pos="1349"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24"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shall initially be unvested and unexercisable.</w:t>
      </w:r>
    </w:p>
    <w:p>
      <w:pPr>
        <w:spacing w:after="0" w:line="175" w:lineRule="exact"/>
        <w:rPr>
          <w:rFonts w:ascii="Times New Roman" w:cs="Times New Roman" w:eastAsia="Times New Roman" w:hAnsi="Times New Roman"/>
          <w:sz w:val="14"/>
          <w:szCs w:val="14"/>
          <w:color w:val="auto"/>
        </w:rPr>
      </w:pPr>
    </w:p>
    <w:p>
      <w:pPr>
        <w:ind w:left="1880" w:hanging="214"/>
        <w:spacing w:after="0"/>
        <w:tabs>
          <w:tab w:leader="none" w:pos="1880"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shall vest and become exercisable in accordance with the Vesting Schedule set forth in the Grant Notice.</w:t>
      </w:r>
    </w:p>
    <w:p>
      <w:pPr>
        <w:spacing w:after="0" w:line="175" w:lineRule="exact"/>
        <w:rPr>
          <w:rFonts w:ascii="Times New Roman" w:cs="Times New Roman" w:eastAsia="Times New Roman" w:hAnsi="Times New Roman"/>
          <w:sz w:val="14"/>
          <w:szCs w:val="14"/>
          <w:color w:val="auto"/>
        </w:rPr>
      </w:pPr>
    </w:p>
    <w:p>
      <w:pPr>
        <w:ind w:firstLine="1155"/>
        <w:spacing w:after="0" w:line="283" w:lineRule="auto"/>
        <w:tabs>
          <w:tab w:leader="none" w:pos="1341"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24" w:lineRule="exact"/>
        <w:rPr>
          <w:rFonts w:ascii="Times New Roman" w:cs="Times New Roman" w:eastAsia="Times New Roman" w:hAnsi="Times New Roman"/>
          <w:sz w:val="14"/>
          <w:szCs w:val="14"/>
          <w:color w:val="auto"/>
        </w:rPr>
      </w:pPr>
    </w:p>
    <w:p>
      <w:pPr>
        <w:ind w:left="520" w:right="160" w:firstLine="1146"/>
        <w:spacing w:after="0" w:line="267" w:lineRule="auto"/>
        <w:tabs>
          <w:tab w:leader="none" w:pos="1838"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Due to Death or Disability</w:t>
      </w:r>
      <w:r>
        <w:rPr>
          <w:rFonts w:ascii="Times New Roman" w:cs="Times New Roman" w:eastAsia="Times New Roman" w:hAnsi="Times New Roman"/>
          <w:sz w:val="14"/>
          <w:szCs w:val="14"/>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35" w:lineRule="exact"/>
        <w:rPr>
          <w:rFonts w:ascii="Times New Roman" w:cs="Times New Roman" w:eastAsia="Times New Roman" w:hAnsi="Times New Roman"/>
          <w:sz w:val="14"/>
          <w:szCs w:val="14"/>
          <w:color w:val="auto"/>
        </w:rPr>
      </w:pPr>
    </w:p>
    <w:p>
      <w:pPr>
        <w:ind w:left="520" w:right="40" w:firstLine="1146"/>
        <w:spacing w:after="0" w:line="267" w:lineRule="auto"/>
        <w:tabs>
          <w:tab w:leader="none" w:pos="1877"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3 months from the date of termination or until the Expiration Date, if earlier;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if the Optionee’s Service Relationship is terminated for Cause, this Stock Option shall terminate immediately upon the date of such termination.</w:t>
      </w:r>
    </w:p>
    <w:p>
      <w:pPr>
        <w:spacing w:after="0" w:line="136" w:lineRule="exact"/>
        <w:rPr>
          <w:sz w:val="20"/>
          <w:szCs w:val="20"/>
          <w:color w:val="auto"/>
        </w:rPr>
      </w:pPr>
    </w:p>
    <w:p>
      <w:pPr>
        <w:jc w:val="both"/>
        <w:ind w:right="400" w:firstLine="511"/>
        <w:spacing w:after="0" w:line="267" w:lineRule="auto"/>
        <w:rPr>
          <w:sz w:val="20"/>
          <w:szCs w:val="20"/>
          <w:color w:val="auto"/>
        </w:rPr>
      </w:pPr>
      <w:r>
        <w:rPr>
          <w:rFonts w:ascii="Times New Roman" w:cs="Times New Roman" w:eastAsia="Times New Roman" w:hAnsi="Times New Roman"/>
          <w:sz w:val="14"/>
          <w:szCs w:val="14"/>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104" w:lineRule="exact"/>
        <w:rPr>
          <w:sz w:val="20"/>
          <w:szCs w:val="20"/>
          <w:color w:val="auto"/>
        </w:rPr>
      </w:pPr>
    </w:p>
    <w:p>
      <w:pPr>
        <w:ind w:left="660" w:hanging="145"/>
        <w:spacing w:after="0"/>
        <w:tabs>
          <w:tab w:leader="none" w:pos="66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Stock Option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60" w:firstLine="1155"/>
        <w:spacing w:after="0" w:line="261" w:lineRule="auto"/>
        <w:tabs>
          <w:tab w:leader="none" w:pos="1341"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40"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hereof or of the Plan, no portion of this Stock Option shall be exercisable after the Expiration Date.</w:t>
      </w:r>
    </w:p>
    <w:p>
      <w:pPr>
        <w:spacing w:after="0" w:line="175"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w:t>
      </w:r>
      <w:r>
        <w:rPr>
          <w:rFonts w:ascii="Times New Roman" w:cs="Times New Roman" w:eastAsia="Times New Roman" w:hAnsi="Times New Roman"/>
          <w:sz w:val="14"/>
          <w:szCs w:val="14"/>
          <w:color w:val="auto"/>
        </w:rPr>
        <w:t>. Notwithstanding anything herein to the contrary, this Stock Option shall be subject to and governed by all the terms and conditions of the Plan.</w:t>
      </w:r>
    </w:p>
    <w:p>
      <w:pPr>
        <w:spacing w:after="0" w:line="175" w:lineRule="exact"/>
        <w:rPr>
          <w:rFonts w:ascii="Times New Roman" w:cs="Times New Roman" w:eastAsia="Times New Roman" w:hAnsi="Times New Roman"/>
          <w:sz w:val="14"/>
          <w:szCs w:val="14"/>
          <w:color w:val="auto"/>
        </w:rPr>
      </w:pPr>
    </w:p>
    <w:p>
      <w:pPr>
        <w:ind w:right="480" w:firstLine="515"/>
        <w:spacing w:after="0" w:line="267" w:lineRule="auto"/>
        <w:tabs>
          <w:tab w:leader="none" w:pos="651"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 of Stock Option</w:t>
      </w:r>
      <w:r>
        <w:rPr>
          <w:rFonts w:ascii="Times New Roman" w:cs="Times New Roman" w:eastAsia="Times New Roman" w:hAnsi="Times New Roman"/>
          <w:sz w:val="14"/>
          <w:szCs w:val="14"/>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398" w:name="page399"/>
    <w:bookmarkEnd w:id="398"/>
    <w:p>
      <w:pPr>
        <w:ind w:right="100"/>
        <w:spacing w:after="0" w:line="267" w:lineRule="auto"/>
        <w:rPr>
          <w:sz w:val="20"/>
          <w:szCs w:val="20"/>
          <w:color w:val="auto"/>
        </w:rPr>
      </w:pPr>
      <w:r>
        <w:rPr>
          <w:rFonts w:ascii="Times New Roman" w:cs="Times New Roman" w:eastAsia="Times New Roman" w:hAnsi="Times New Roman"/>
          <w:sz w:val="14"/>
          <w:szCs w:val="14"/>
          <w:color w:val="auto"/>
        </w:rPr>
        <w:t>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36" w:lineRule="exact"/>
        <w:rPr>
          <w:sz w:val="20"/>
          <w:szCs w:val="20"/>
          <w:color w:val="auto"/>
        </w:rPr>
      </w:pPr>
    </w:p>
    <w:p>
      <w:pPr>
        <w:ind w:right="100" w:firstLine="515"/>
        <w:spacing w:after="0" w:line="283" w:lineRule="auto"/>
        <w:tabs>
          <w:tab w:leader="none" w:pos="651"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 The Shares acquired upon exercise of the Stock Option shall be subject to certain transfer restrictions and other limitations including, without limitation, the provisions contained in Section 9 of the Plan.</w:t>
      </w:r>
    </w:p>
    <w:p>
      <w:pPr>
        <w:spacing w:after="0" w:line="124"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320" w:firstLine="1155"/>
        <w:spacing w:after="0" w:line="283" w:lineRule="auto"/>
        <w:tabs>
          <w:tab w:leader="none" w:pos="1341"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Equitable Relief</w:t>
      </w:r>
      <w:r>
        <w:rPr>
          <w:rFonts w:ascii="Times New Roman" w:cs="Times New Roman" w:eastAsia="Times New Roman" w:hAnsi="Times New Roman"/>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4" w:lineRule="exact"/>
        <w:rPr>
          <w:rFonts w:ascii="Times New Roman" w:cs="Times New Roman" w:eastAsia="Times New Roman" w:hAnsi="Times New Roman"/>
          <w:sz w:val="14"/>
          <w:szCs w:val="14"/>
          <w:color w:val="auto"/>
        </w:rPr>
      </w:pPr>
    </w:p>
    <w:p>
      <w:pPr>
        <w:ind w:right="140" w:firstLine="1155"/>
        <w:spacing w:after="0" w:line="261" w:lineRule="auto"/>
        <w:tabs>
          <w:tab w:leader="none" w:pos="1349"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Changes in Capital Structure</w:t>
      </w:r>
      <w:r>
        <w:rPr>
          <w:rFonts w:ascii="Times New Roman" w:cs="Times New Roman" w:eastAsia="Times New Roman" w:hAnsi="Times New Roman"/>
          <w:sz w:val="14"/>
          <w:szCs w:val="14"/>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40" w:lineRule="exact"/>
        <w:rPr>
          <w:rFonts w:ascii="Times New Roman" w:cs="Times New Roman" w:eastAsia="Times New Roman" w:hAnsi="Times New Roman"/>
          <w:sz w:val="14"/>
          <w:szCs w:val="14"/>
          <w:color w:val="auto"/>
        </w:rPr>
      </w:pPr>
    </w:p>
    <w:p>
      <w:pPr>
        <w:ind w:right="120" w:firstLine="1155"/>
        <w:spacing w:after="0" w:line="283" w:lineRule="auto"/>
        <w:tabs>
          <w:tab w:leader="none" w:pos="1341"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and Modifications</w:t>
      </w:r>
      <w:r>
        <w:rPr>
          <w:rFonts w:ascii="Times New Roman" w:cs="Times New Roman" w:eastAsia="Times New Roman" w:hAnsi="Times New Roman"/>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4" w:lineRule="exact"/>
        <w:rPr>
          <w:rFonts w:ascii="Times New Roman" w:cs="Times New Roman" w:eastAsia="Times New Roman" w:hAnsi="Times New Roman"/>
          <w:sz w:val="14"/>
          <w:szCs w:val="14"/>
          <w:color w:val="auto"/>
        </w:rPr>
      </w:pPr>
    </w:p>
    <w:p>
      <w:pPr>
        <w:ind w:right="100" w:firstLine="1155"/>
        <w:spacing w:after="0" w:line="267" w:lineRule="auto"/>
        <w:tabs>
          <w:tab w:leader="none" w:pos="1349"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5" w:lineRule="exact"/>
        <w:rPr>
          <w:rFonts w:ascii="Times New Roman" w:cs="Times New Roman" w:eastAsia="Times New Roman" w:hAnsi="Times New Roman"/>
          <w:sz w:val="14"/>
          <w:szCs w:val="14"/>
          <w:color w:val="auto"/>
        </w:rPr>
      </w:pPr>
    </w:p>
    <w:p>
      <w:pPr>
        <w:ind w:firstLine="1155"/>
        <w:spacing w:after="0" w:line="283" w:lineRule="auto"/>
        <w:tabs>
          <w:tab w:leader="none" w:pos="1341"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24" w:lineRule="exact"/>
        <w:rPr>
          <w:rFonts w:ascii="Times New Roman" w:cs="Times New Roman" w:eastAsia="Times New Roman" w:hAnsi="Times New Roman"/>
          <w:sz w:val="14"/>
          <w:szCs w:val="14"/>
          <w:color w:val="auto"/>
        </w:rPr>
      </w:pPr>
    </w:p>
    <w:p>
      <w:pPr>
        <w:ind w:right="800" w:firstLine="1155"/>
        <w:spacing w:after="0" w:line="283" w:lineRule="auto"/>
        <w:tabs>
          <w:tab w:leader="none" w:pos="1325"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 Clause</w:t>
      </w:r>
      <w:r>
        <w:rPr>
          <w:rFonts w:ascii="Times New Roman" w:cs="Times New Roman" w:eastAsia="Times New Roman" w:hAnsi="Times New Roman"/>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24" w:lineRule="exact"/>
        <w:rPr>
          <w:rFonts w:ascii="Times New Roman" w:cs="Times New Roman" w:eastAsia="Times New Roman" w:hAnsi="Times New Roman"/>
          <w:sz w:val="14"/>
          <w:szCs w:val="14"/>
          <w:color w:val="auto"/>
        </w:rPr>
      </w:pPr>
    </w:p>
    <w:p>
      <w:pPr>
        <w:ind w:right="120" w:firstLine="1155"/>
        <w:spacing w:after="0" w:line="267" w:lineRule="auto"/>
        <w:tabs>
          <w:tab w:leader="none" w:pos="1349"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35" w:lineRule="exact"/>
        <w:rPr>
          <w:rFonts w:ascii="Times New Roman" w:cs="Times New Roman" w:eastAsia="Times New Roman" w:hAnsi="Times New Roman"/>
          <w:sz w:val="14"/>
          <w:szCs w:val="14"/>
          <w:color w:val="auto"/>
        </w:rPr>
      </w:pPr>
    </w:p>
    <w:p>
      <w:pPr>
        <w:jc w:val="both"/>
        <w:ind w:right="800" w:firstLine="1155"/>
        <w:spacing w:after="0" w:line="283" w:lineRule="auto"/>
        <w:tabs>
          <w:tab w:leader="none" w:pos="1349"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and Binding Effect</w:t>
      </w:r>
      <w:r>
        <w:rPr>
          <w:rFonts w:ascii="Times New Roman" w:cs="Times New Roman" w:eastAsia="Times New Roman" w:hAnsi="Times New Roman"/>
          <w:sz w:val="14"/>
          <w:szCs w:val="14"/>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24" w:lineRule="exact"/>
        <w:rPr>
          <w:rFonts w:ascii="Times New Roman" w:cs="Times New Roman" w:eastAsia="Times New Roman" w:hAnsi="Times New Roman"/>
          <w:sz w:val="14"/>
          <w:szCs w:val="14"/>
          <w:color w:val="auto"/>
        </w:rPr>
      </w:pPr>
    </w:p>
    <w:p>
      <w:pPr>
        <w:ind w:right="320" w:firstLine="1155"/>
        <w:spacing w:after="0" w:line="283" w:lineRule="auto"/>
        <w:tabs>
          <w:tab w:leader="none" w:pos="1318"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24" w:lineRule="exact"/>
        <w:rPr>
          <w:rFonts w:ascii="Times New Roman" w:cs="Times New Roman" w:eastAsia="Times New Roman" w:hAnsi="Times New Roman"/>
          <w:sz w:val="14"/>
          <w:szCs w:val="14"/>
          <w:color w:val="auto"/>
        </w:rPr>
      </w:pPr>
    </w:p>
    <w:p>
      <w:pPr>
        <w:ind w:right="120" w:firstLine="1155"/>
        <w:spacing w:after="0" w:line="283" w:lineRule="auto"/>
        <w:tabs>
          <w:tab w:leader="none" w:pos="1318"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Agreement constitutes the entire agreement between the parties with respect to this Stock Option and supersedes all prior agreements and discussions between the parties concerning such subject matter.</w:t>
      </w:r>
    </w:p>
    <w:p>
      <w:pPr>
        <w:spacing w:after="0" w:line="124"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20" w:firstLine="1155"/>
        <w:spacing w:after="0" w:line="261" w:lineRule="auto"/>
        <w:tabs>
          <w:tab w:leader="none" w:pos="1341"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Suffolk County, Massachusetts.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99" w:name="page400"/>
    <w:bookmarkEnd w:id="399"/>
    <w:p>
      <w:pPr>
        <w:ind w:firstLine="1162"/>
        <w:spacing w:after="0" w:line="255" w:lineRule="auto"/>
        <w:tabs>
          <w:tab w:leader="none" w:pos="1357"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45" w:lineRule="exact"/>
        <w:rPr>
          <w:rFonts w:ascii="Times New Roman" w:cs="Times New Roman" w:eastAsia="Times New Roman" w:hAnsi="Times New Roman"/>
          <w:sz w:val="14"/>
          <w:szCs w:val="14"/>
          <w:color w:val="auto"/>
        </w:rPr>
      </w:pPr>
    </w:p>
    <w:p>
      <w:pPr>
        <w:ind w:right="240" w:firstLine="1162"/>
        <w:spacing w:after="0" w:line="267" w:lineRule="auto"/>
        <w:tabs>
          <w:tab w:leader="none" w:pos="1349"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35" w:lineRule="exact"/>
        <w:rPr>
          <w:rFonts w:ascii="Times New Roman" w:cs="Times New Roman" w:eastAsia="Times New Roman" w:hAnsi="Times New Roman"/>
          <w:sz w:val="14"/>
          <w:szCs w:val="14"/>
          <w:color w:val="auto"/>
        </w:rPr>
      </w:pPr>
    </w:p>
    <w:p>
      <w:pPr>
        <w:ind w:right="40" w:firstLine="1162"/>
        <w:spacing w:after="0" w:line="255" w:lineRule="auto"/>
        <w:tabs>
          <w:tab w:leader="none" w:pos="1357"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5" w:lineRule="exact"/>
        <w:rPr>
          <w:rFonts w:ascii="Times New Roman" w:cs="Times New Roman" w:eastAsia="Times New Roman" w:hAnsi="Times New Roman"/>
          <w:sz w:val="14"/>
          <w:szCs w:val="14"/>
          <w:color w:val="auto"/>
        </w:rPr>
      </w:pPr>
    </w:p>
    <w:p>
      <w:pPr>
        <w:ind w:firstLine="515"/>
        <w:spacing w:after="0" w:line="254" w:lineRule="auto"/>
        <w:tabs>
          <w:tab w:leader="none" w:pos="651"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400" w:name="page401"/>
    <w:bookmarkEnd w:id="400"/>
    <w:p>
      <w:pPr>
        <w:ind w:left="520"/>
        <w:spacing w:after="0"/>
        <w:rPr>
          <w:sz w:val="20"/>
          <w:szCs w:val="20"/>
          <w:color w:val="auto"/>
        </w:rPr>
      </w:pPr>
      <w:r>
        <w:rPr>
          <w:rFonts w:ascii="Times New Roman" w:cs="Times New Roman" w:eastAsia="Times New Roman" w:hAnsi="Times New Roman"/>
          <w:sz w:val="14"/>
          <w:szCs w:val="14"/>
          <w:color w:val="auto"/>
        </w:rPr>
        <w:t>The foregoing Agreement is hereby accepted and the terms and conditions thereof hereby agreed to by the undersigned as of the date first above written.</w:t>
      </w:r>
    </w:p>
    <w:p>
      <w:pPr>
        <w:spacing w:after="0" w:line="200" w:lineRule="exact"/>
        <w:rPr>
          <w:sz w:val="20"/>
          <w:szCs w:val="20"/>
          <w:color w:val="auto"/>
        </w:rPr>
      </w:pPr>
    </w:p>
    <w:p>
      <w:pPr>
        <w:spacing w:after="0" w:line="2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4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13970</wp:posOffset>
            </wp:positionV>
            <wp:extent cx="250317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03170" cy="6985"/>
                    </a:xfrm>
                    <a:prstGeom prst="rect">
                      <a:avLst/>
                    </a:prstGeom>
                    <a:noFill/>
                  </pic:spPr>
                </pic:pic>
              </a:graphicData>
            </a:graphic>
          </wp:anchor>
        </w:drawing>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Title:</w:t>
      </w:r>
    </w:p>
    <w:p>
      <w:pPr>
        <w:spacing w:after="0" w:line="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280670</wp:posOffset>
            </wp:positionV>
            <wp:extent cx="286385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154305</wp:posOffset>
            </wp:positionV>
            <wp:extent cx="2863850"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414655</wp:posOffset>
            </wp:positionV>
            <wp:extent cx="2863850"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260985</wp:posOffset>
            </wp:positionV>
            <wp:extent cx="286385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160655</wp:posOffset>
            </wp:positionV>
            <wp:extent cx="286385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300990</wp:posOffset>
            </wp:positionV>
            <wp:extent cx="286385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441325</wp:posOffset>
            </wp:positionV>
            <wp:extent cx="286385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819" w:right="39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4"/>
          <w:szCs w:val="14"/>
          <w:color w:val="auto"/>
        </w:rPr>
        <w:t>[SPOUSE’S CONSENT</w:t>
      </w:r>
      <w:r>
        <w:rPr>
          <w:rFonts w:ascii="Times New Roman" w:cs="Times New Roman" w:eastAsia="Times New Roman" w:hAnsi="Times New Roman"/>
          <w:sz w:val="18"/>
          <w:szCs w:val="18"/>
          <w:color w:val="auto"/>
          <w:vertAlign w:val="superscript"/>
        </w:rPr>
        <w:t>1</w:t>
      </w:r>
    </w:p>
    <w:p>
      <w:pPr>
        <w:spacing w:after="0"/>
        <w:rPr>
          <w:sz w:val="20"/>
          <w:szCs w:val="20"/>
          <w:color w:val="auto"/>
        </w:rPr>
      </w:pPr>
      <w:r>
        <w:rPr>
          <w:rFonts w:ascii="Times New Roman" w:cs="Times New Roman" w:eastAsia="Times New Roman" w:hAnsi="Times New Roman"/>
          <w:sz w:val="14"/>
          <w:szCs w:val="14"/>
          <w:color w:val="auto"/>
        </w:rPr>
        <w:t>I acknowledge that I have read the foregoing Non-Qualified Stock Option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and understand the contents thereof.</w:t>
      </w:r>
    </w:p>
    <w:p>
      <w:pPr>
        <w:spacing w:after="0" w:line="16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436495"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3649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954405"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55" w:lineRule="exact"/>
        <w:rPr>
          <w:sz w:val="20"/>
          <w:szCs w:val="20"/>
          <w:color w:val="auto"/>
        </w:rPr>
      </w:pPr>
    </w:p>
    <w:p>
      <w:pPr>
        <w:ind w:left="520" w:hanging="516"/>
        <w:spacing w:after="0" w:line="283" w:lineRule="auto"/>
        <w:tabs>
          <w:tab w:leader="none" w:pos="289" w:val="left"/>
        </w:tabs>
        <w:numPr>
          <w:ilvl w:val="0"/>
          <w:numId w:val="337"/>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A spouse’s consent is recommended only if the Optionee’s state of residence is one of the following community property states: Arizona, California, Idaho, Louisiana, Nevada, New Mexico, Texas, Washington and Wisconsin.</w:t>
      </w: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920"/>
          </w:cols>
          <w:pgMar w:left="300" w:top="1133" w:right="679" w:bottom="1440" w:gutter="0" w:footer="0" w:header="0"/>
        </w:sectPr>
      </w:pPr>
    </w:p>
    <w:bookmarkStart w:id="402" w:name="page403"/>
    <w:bookmarkEnd w:id="402"/>
    <w:p>
      <w:pPr>
        <w:jc w:val="right"/>
        <w:ind w:right="1499"/>
        <w:spacing w:after="0"/>
        <w:rPr>
          <w:sz w:val="20"/>
          <w:szCs w:val="20"/>
          <w:color w:val="auto"/>
        </w:rPr>
      </w:pPr>
      <w:r>
        <w:rPr>
          <w:rFonts w:ascii="Times New Roman" w:cs="Times New Roman" w:eastAsia="Times New Roman" w:hAnsi="Times New Roman"/>
          <w:sz w:val="14"/>
          <w:szCs w:val="14"/>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267335</wp:posOffset>
            </wp:positionV>
            <wp:extent cx="2863850"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140970</wp:posOffset>
            </wp:positionV>
            <wp:extent cx="286385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274320</wp:posOffset>
            </wp:positionV>
            <wp:extent cx="286385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407670</wp:posOffset>
            </wp:positionV>
            <wp:extent cx="286385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239" w:right="1440" w:bottom="1440" w:gutter="0" w:footer="0" w:header="0"/>
        </w:sectPr>
      </w:pPr>
    </w:p>
    <w:bookmarkStart w:id="403" w:name="page404"/>
    <w:bookmarkEnd w:id="403"/>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Appendix A</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 OPTION EXERCISE 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263652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63652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118110</wp:posOffset>
            </wp:positionV>
            <wp:extent cx="263652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636520" cy="698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-14605</wp:posOffset>
            </wp:positionV>
            <wp:extent cx="97853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978535"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terms of the grant notice and stock option agreement between the undersigned and Parabilis Medicines, Inc.(the “Company”) dated __________ (the “Agreement”) under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Parabilis Medicines, Inc. 2026 Stock Option and Grant Plan, I, [Insert Name] ________________, hereby [Circle One] partially/fully exercise such option by including herein payment in the amount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 representing the purchase price for [Fill in number of Shares] _______ Shares. I have chosen the following form(s) of payment:</w:t>
      </w:r>
    </w:p>
    <w:p>
      <w:pPr>
        <w:spacing w:after="0" w:line="371"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4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w:t>
            </w:r>
          </w:p>
        </w:tc>
      </w:t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4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Certified or bank check payable to Parabilis Medicines, Inc.</w:t>
            </w:r>
          </w:p>
        </w:tc>
      </w:t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47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Other (as referenced in the Agreement and described in the Plan (please describe))</w:t>
            </w:r>
          </w:p>
        </w:tc>
      </w:tr>
    </w:tbl>
    <w:p>
      <w:pPr>
        <w:ind w:left="1160"/>
        <w:spacing w:after="0"/>
        <w:rPr>
          <w:sz w:val="20"/>
          <w:szCs w:val="20"/>
          <w:color w:val="auto"/>
        </w:rPr>
      </w:pPr>
      <w:r>
        <w:rPr>
          <w:rFonts w:ascii="Times New Roman" w:cs="Times New Roman" w:eastAsia="Times New Roman" w:hAnsi="Times New Roman"/>
          <w:sz w:val="14"/>
          <w:szCs w:val="14"/>
          <w:color w:val="auto"/>
        </w:rPr>
        <w:t>_____________________________________________________.</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my exercise of the option as set forth above, I hereby represent and warrant to the Company as follows:</w:t>
      </w:r>
    </w:p>
    <w:p>
      <w:pPr>
        <w:spacing w:after="0" w:line="175" w:lineRule="exact"/>
        <w:rPr>
          <w:sz w:val="20"/>
          <w:szCs w:val="20"/>
          <w:color w:val="auto"/>
        </w:rPr>
      </w:pPr>
    </w:p>
    <w:p>
      <w:pPr>
        <w:ind w:left="1840" w:hanging="174"/>
        <w:spacing w:after="0"/>
        <w:tabs>
          <w:tab w:leader="none" w:pos="184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purchasing the Shares for my own account for investment only, and not for resale or with a view to the distribution thereof.</w:t>
      </w:r>
    </w:p>
    <w:p>
      <w:pPr>
        <w:spacing w:after="0" w:line="175" w:lineRule="exact"/>
        <w:rPr>
          <w:rFonts w:ascii="Times New Roman" w:cs="Times New Roman" w:eastAsia="Times New Roman" w:hAnsi="Times New Roman"/>
          <w:sz w:val="14"/>
          <w:szCs w:val="14"/>
          <w:color w:val="auto"/>
        </w:rPr>
      </w:pPr>
    </w:p>
    <w:p>
      <w:pPr>
        <w:ind w:left="520" w:right="120" w:firstLine="1146"/>
        <w:spacing w:after="0" w:line="283" w:lineRule="auto"/>
        <w:tabs>
          <w:tab w:leader="none" w:pos="1877"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24" w:lineRule="exact"/>
        <w:rPr>
          <w:rFonts w:ascii="Times New Roman" w:cs="Times New Roman" w:eastAsia="Times New Roman" w:hAnsi="Times New Roman"/>
          <w:sz w:val="14"/>
          <w:szCs w:val="14"/>
          <w:color w:val="auto"/>
        </w:rPr>
      </w:pPr>
    </w:p>
    <w:p>
      <w:pPr>
        <w:ind w:left="520" w:right="460" w:firstLine="1146"/>
        <w:spacing w:after="0" w:line="283" w:lineRule="auto"/>
        <w:tabs>
          <w:tab w:leader="none" w:pos="1916"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24"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 afford a complete loss of the value of the Shares and am able to bear the economic risk of holding such Shares for an indefinite period of time.</w:t>
      </w:r>
    </w:p>
    <w:p>
      <w:pPr>
        <w:spacing w:after="0" w:line="175" w:lineRule="exact"/>
        <w:rPr>
          <w:rFonts w:ascii="Times New Roman" w:cs="Times New Roman" w:eastAsia="Times New Roman" w:hAnsi="Times New Roman"/>
          <w:sz w:val="14"/>
          <w:szCs w:val="14"/>
          <w:color w:val="auto"/>
        </w:rPr>
      </w:pPr>
    </w:p>
    <w:p>
      <w:pPr>
        <w:jc w:val="both"/>
        <w:ind w:left="520" w:right="280" w:firstLine="1146"/>
        <w:spacing w:after="0" w:line="258" w:lineRule="auto"/>
        <w:tabs>
          <w:tab w:leader="none" w:pos="1869"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43" w:lineRule="exact"/>
        <w:rPr>
          <w:rFonts w:ascii="Times New Roman" w:cs="Times New Roman" w:eastAsia="Times New Roman" w:hAnsi="Times New Roman"/>
          <w:sz w:val="14"/>
          <w:szCs w:val="14"/>
          <w:color w:val="auto"/>
        </w:rPr>
      </w:pPr>
    </w:p>
    <w:p>
      <w:pPr>
        <w:ind w:left="520" w:right="240" w:firstLine="1146"/>
        <w:spacing w:after="0" w:line="283" w:lineRule="auto"/>
        <w:tabs>
          <w:tab w:leader="none" w:pos="1908"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24" w:lineRule="exact"/>
        <w:rPr>
          <w:rFonts w:ascii="Times New Roman" w:cs="Times New Roman" w:eastAsia="Times New Roman" w:hAnsi="Times New Roman"/>
          <w:sz w:val="14"/>
          <w:szCs w:val="14"/>
          <w:color w:val="auto"/>
        </w:rPr>
      </w:pPr>
    </w:p>
    <w:p>
      <w:pPr>
        <w:ind w:left="1940" w:hanging="274"/>
        <w:spacing w:after="0"/>
        <w:tabs>
          <w:tab w:leader="none" w:pos="194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a right of first refusal with respect to the Shares pursuant to Section 9(b) of the Plan.</w:t>
      </w:r>
    </w:p>
    <w:p>
      <w:pPr>
        <w:spacing w:after="0" w:line="175" w:lineRule="exact"/>
        <w:rPr>
          <w:rFonts w:ascii="Times New Roman" w:cs="Times New Roman" w:eastAsia="Times New Roman" w:hAnsi="Times New Roman"/>
          <w:sz w:val="14"/>
          <w:szCs w:val="14"/>
          <w:color w:val="auto"/>
        </w:rPr>
      </w:pPr>
    </w:p>
    <w:p>
      <w:pPr>
        <w:ind w:left="1980" w:hanging="314"/>
        <w:spacing w:after="0"/>
        <w:tabs>
          <w:tab w:leader="none" w:pos="19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certain repurchase rights with respect to the Shares pursuant to Section 9(c) of the Plan.</w:t>
      </w:r>
    </w:p>
    <w:p>
      <w:pPr>
        <w:spacing w:after="0" w:line="175" w:lineRule="exact"/>
        <w:rPr>
          <w:rFonts w:ascii="Times New Roman" w:cs="Times New Roman" w:eastAsia="Times New Roman" w:hAnsi="Times New Roman"/>
          <w:sz w:val="14"/>
          <w:szCs w:val="14"/>
          <w:color w:val="auto"/>
        </w:rPr>
      </w:pPr>
    </w:p>
    <w:p>
      <w:pPr>
        <w:ind w:left="520" w:right="260" w:firstLine="1146"/>
        <w:spacing w:after="0" w:line="283" w:lineRule="auto"/>
        <w:tabs>
          <w:tab w:leader="none" w:pos="1908"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I may not sell or otherwise transfer or dispose of the Shares for a period of time following the effective date of a public offering by the Company as described in Section 9(f) of the Plan.</w:t>
      </w:r>
    </w:p>
    <w:p>
      <w:pPr>
        <w:spacing w:after="0" w:line="124" w:lineRule="exact"/>
        <w:rPr>
          <w:rFonts w:ascii="Times New Roman" w:cs="Times New Roman" w:eastAsia="Times New Roman" w:hAnsi="Times New Roman"/>
          <w:sz w:val="14"/>
          <w:szCs w:val="14"/>
          <w:color w:val="auto"/>
        </w:rPr>
      </w:pPr>
    </w:p>
    <w:p>
      <w:pPr>
        <w:ind w:left="1860" w:hanging="194"/>
        <w:spacing w:after="0"/>
        <w:tabs>
          <w:tab w:leader="none" w:pos="186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to the waiver of statutory information rights as set forth in Section 8 of the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404" w:name="page405"/>
    <w:bookmarkEnd w:id="404"/>
    <w:p>
      <w:pPr>
        <w:jc w:val="right"/>
        <w:ind w:right="2479"/>
        <w:spacing w:after="0"/>
        <w:rPr>
          <w:sz w:val="20"/>
          <w:szCs w:val="20"/>
          <w:color w:val="auto"/>
        </w:rPr>
      </w:pPr>
      <w:r>
        <w:rPr>
          <w:rFonts w:ascii="Times New Roman" w:cs="Times New Roman" w:eastAsia="Times New Roman" w:hAnsi="Times New Roman"/>
          <w:sz w:val="14"/>
          <w:szCs w:val="14"/>
          <w:color w:val="auto"/>
        </w:rPr>
        <w:t>Sincerely yours,</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140970</wp:posOffset>
            </wp:positionV>
            <wp:extent cx="286385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274320</wp:posOffset>
            </wp:positionV>
            <wp:extent cx="286385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407670</wp:posOffset>
            </wp:positionV>
            <wp:extent cx="2863850"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13970</wp:posOffset>
            </wp:positionV>
            <wp:extent cx="2336165"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336165" cy="6985"/>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218" w:right="1440" w:bottom="1440" w:gutter="0" w:footer="0" w:header="0"/>
        </w:sectPr>
      </w:pPr>
    </w:p>
    <w:bookmarkStart w:id="405" w:name="page406"/>
    <w:bookmarkEnd w:id="40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EARLY EXERCISE</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NON-QUALIFIED STOCK OPTION GRANT NOTICE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4"/>
          <w:szCs w:val="14"/>
          <w:color w:val="auto"/>
        </w:rPr>
        <w:t>Pursuant to the Parabilis Medicines, Inc. 2026 Stock Option and Grant Plan (the “Plan”), Parabilis Medicines, Inc., a Delaware corporation (together with any successor thereto,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Early Exercise Non-Qualified Stock Option Grant Notice (the “Grant Notice”), the attached Early Exercise Non-Qualified Stock Option Agreement (the “Agreement”) and the Plan. This Stock Option is not intended to qualify as an “incentive stock option” as defined in Section 422(b) of the Internal Revenue Code of 1986, as amended from time to time (the “Code”).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Name of Optionee:</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“Optionee”)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 of Shares:</w:t>
            </w:r>
          </w:p>
        </w:tc>
        <w:tc>
          <w:tcPr>
            <w:tcW w:w="900" w:type="dxa"/>
            <w:vAlign w:val="bottom"/>
          </w:tcPr>
          <w:p>
            <w:pPr>
              <w:spacing w:after="0"/>
              <w:rPr>
                <w:sz w:val="22"/>
                <w:szCs w:val="22"/>
                <w:color w:val="auto"/>
              </w:rPr>
            </w:pPr>
          </w:p>
        </w:tc>
        <w:tc>
          <w:tcPr>
            <w:tcW w:w="75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Shares of Common Stock</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9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6200" w:type="dxa"/>
            <w:vAlign w:val="bottom"/>
          </w:tcPr>
          <w:p>
            <w:pPr>
              <w:spacing w:after="0"/>
              <w:rPr>
                <w:sz w:val="22"/>
                <w:szCs w:val="22"/>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Commencement Date:</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“Vesting Commencement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“Expiration Date”)</w:t>
            </w:r>
          </w:p>
        </w:tc>
      </w:tr>
      <w:tr>
        <w:trPr>
          <w:trHeight w:val="253"/>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Option Exercise Price/Share:</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(the “Option Exercise Price”)</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Vesting Schedule:</w:t>
            </w: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[25] percent of the Shares shall vest on the first anniversary of the Vesting Commencement Date; provided that the Optionee continues to have a</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Service Relationship with the Company at such time. Thereafter, the remaining [75] percent of the Shares shall vest in [36] equal monthly installments</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following the first anniversary of the Vesting Commencement Date, provided the Optionee continues to have a Service Relationship with the</w:t>
            </w:r>
          </w:p>
        </w:tc>
      </w:tr>
      <w:tr>
        <w:trPr>
          <w:trHeight w:val="166"/>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Company on each vesting date. Notwithstanding anything in the Agreement to the contrary, in the case of a Sale Event, this Stock Option and the</w:t>
            </w:r>
          </w:p>
        </w:tc>
      </w:tr>
      <w:tr>
        <w:trPr>
          <w:trHeight w:val="168"/>
        </w:trPr>
        <w:tc>
          <w:tcPr>
            <w:tcW w:w="2840" w:type="dxa"/>
            <w:vAlign w:val="bottom"/>
          </w:tcPr>
          <w:p>
            <w:pPr>
              <w:spacing w:after="0"/>
              <w:rPr>
                <w:sz w:val="14"/>
                <w:szCs w:val="14"/>
                <w:color w:val="auto"/>
              </w:rPr>
            </w:pPr>
          </w:p>
        </w:tc>
        <w:tc>
          <w:tcPr>
            <w:tcW w:w="8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Shares shall be treated as provided in Section 3(c) of the Plan</w:t>
            </w:r>
            <w:r>
              <w:rPr>
                <w:rFonts w:ascii="Times New Roman" w:cs="Times New Roman" w:eastAsia="Times New Roman" w:hAnsi="Times New Roman"/>
                <w:sz w:val="14"/>
                <w:szCs w:val="14"/>
                <w:b w:val="1"/>
                <w:bCs w:val="1"/>
                <w:color w:val="auto"/>
              </w:rPr>
              <w:t>[ provided; however INSERT ANY ACCELERATED VESTING PROVISION</w:t>
            </w:r>
          </w:p>
        </w:tc>
      </w:tr>
      <w:tr>
        <w:trPr>
          <w:trHeight w:val="185"/>
        </w:trPr>
        <w:tc>
          <w:tcPr>
            <w:tcW w:w="28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HERE]</w:t>
            </w: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0" w:type="dxa"/>
            <w:vAlign w:val="bottom"/>
          </w:tcPr>
          <w:p>
            <w:pPr>
              <w:spacing w:after="0"/>
              <w:rPr>
                <w:sz w:val="16"/>
                <w:szCs w:val="16"/>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Attachments</w:t>
      </w:r>
      <w:r>
        <w:rPr>
          <w:rFonts w:ascii="Times New Roman" w:cs="Times New Roman" w:eastAsia="Times New Roman" w:hAnsi="Times New Roman"/>
          <w:sz w:val="14"/>
          <w:szCs w:val="14"/>
          <w:color w:val="auto"/>
        </w:rPr>
        <w:t>: Early Exercise Non-Qualified Stock Option Agreement, Restricted Stock Agreement, 2026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483235</wp:posOffset>
            </wp:positionV>
            <wp:extent cx="7188200"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406" w:name="page407"/>
    <w:bookmarkEnd w:id="40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EARLY EXERCISE</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NON-QUALIFIED STOCK OPTION AGREEMENT</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capitalized terms used herein and not otherwise defined shall have the respective meanings set forth in the Grant Notice and the Plan.</w:t>
      </w:r>
    </w:p>
    <w:p>
      <w:pPr>
        <w:spacing w:after="0" w:line="175" w:lineRule="exact"/>
        <w:rPr>
          <w:sz w:val="20"/>
          <w:szCs w:val="20"/>
          <w:color w:val="auto"/>
        </w:rPr>
      </w:pPr>
    </w:p>
    <w:p>
      <w:pPr>
        <w:ind w:left="660" w:hanging="145"/>
        <w:spacing w:after="0"/>
        <w:tabs>
          <w:tab w:leader="none" w:pos="66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Exercisability and Termination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shall be immediately exercisable, regardless of whether the Shares are vested.</w:t>
      </w:r>
    </w:p>
    <w:p>
      <w:pPr>
        <w:spacing w:after="0" w:line="175" w:lineRule="exact"/>
        <w:rPr>
          <w:rFonts w:ascii="Times New Roman" w:cs="Times New Roman" w:eastAsia="Times New Roman" w:hAnsi="Times New Roman"/>
          <w:sz w:val="14"/>
          <w:szCs w:val="14"/>
          <w:color w:val="auto"/>
        </w:rPr>
      </w:pPr>
    </w:p>
    <w:p>
      <w:pPr>
        <w:ind w:right="80" w:firstLine="1155"/>
        <w:spacing w:after="0" w:line="283" w:lineRule="auto"/>
        <w:tabs>
          <w:tab w:leader="none" w:pos="1349"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below, and subject to the determination of the Committee in its sole discretion to accelerate the vesting schedule hereunder, the Shares shall be vested on the respective dates indicated below:</w:t>
      </w:r>
    </w:p>
    <w:p>
      <w:pPr>
        <w:spacing w:after="0" w:line="40"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shall initially be unvested.</w:t>
      </w:r>
    </w:p>
    <w:p>
      <w:pPr>
        <w:spacing w:after="0" w:line="91" w:lineRule="exact"/>
        <w:rPr>
          <w:rFonts w:ascii="Times New Roman" w:cs="Times New Roman" w:eastAsia="Times New Roman" w:hAnsi="Times New Roman"/>
          <w:sz w:val="14"/>
          <w:szCs w:val="14"/>
          <w:color w:val="auto"/>
        </w:rPr>
      </w:pPr>
    </w:p>
    <w:p>
      <w:pPr>
        <w:ind w:left="1880" w:hanging="214"/>
        <w:spacing w:after="0"/>
        <w:tabs>
          <w:tab w:leader="none" w:pos="1880"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shall vest in accordance with the Vesting Schedule set forth in the Grant Notice.</w:t>
      </w:r>
    </w:p>
    <w:p>
      <w:pPr>
        <w:spacing w:after="0" w:line="175" w:lineRule="exact"/>
        <w:rPr>
          <w:rFonts w:ascii="Times New Roman" w:cs="Times New Roman" w:eastAsia="Times New Roman" w:hAnsi="Times New Roman"/>
          <w:sz w:val="14"/>
          <w:szCs w:val="14"/>
          <w:color w:val="auto"/>
        </w:rPr>
      </w:pPr>
    </w:p>
    <w:p>
      <w:pPr>
        <w:ind w:firstLine="1155"/>
        <w:spacing w:after="0" w:line="283" w:lineRule="auto"/>
        <w:tabs>
          <w:tab w:leader="none" w:pos="1341"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40" w:lineRule="exact"/>
        <w:rPr>
          <w:rFonts w:ascii="Times New Roman" w:cs="Times New Roman" w:eastAsia="Times New Roman" w:hAnsi="Times New Roman"/>
          <w:sz w:val="14"/>
          <w:szCs w:val="14"/>
          <w:color w:val="auto"/>
        </w:rPr>
      </w:pPr>
    </w:p>
    <w:p>
      <w:pPr>
        <w:ind w:left="520" w:right="140" w:firstLine="1146"/>
        <w:spacing w:after="0" w:line="267" w:lineRule="auto"/>
        <w:tabs>
          <w:tab w:leader="none" w:pos="1838"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Due to Death or Disability</w:t>
      </w:r>
      <w:r>
        <w:rPr>
          <w:rFonts w:ascii="Times New Roman" w:cs="Times New Roman" w:eastAsia="Times New Roman" w:hAnsi="Times New Roman"/>
          <w:sz w:val="14"/>
          <w:szCs w:val="14"/>
          <w:color w:val="auto"/>
        </w:rPr>
        <w:t>. If the Optionee’s Service Relationship terminates by reason of such Optionee’s death or Disability, this Stock Option may continue to be exercised, to the extent the Shares are vested on the date of termination, by the Optionee, the Optionee’s legal representative or legatee for a period of 12 months from the date of death or Disability or until the Expiration Date, if earlier.</w:t>
      </w:r>
    </w:p>
    <w:p>
      <w:pPr>
        <w:spacing w:after="0" w:line="51" w:lineRule="exact"/>
        <w:rPr>
          <w:rFonts w:ascii="Times New Roman" w:cs="Times New Roman" w:eastAsia="Times New Roman" w:hAnsi="Times New Roman"/>
          <w:sz w:val="14"/>
          <w:szCs w:val="14"/>
          <w:color w:val="auto"/>
        </w:rPr>
      </w:pPr>
    </w:p>
    <w:p>
      <w:pPr>
        <w:jc w:val="both"/>
        <w:ind w:left="520" w:firstLine="1146"/>
        <w:spacing w:after="0" w:line="267" w:lineRule="auto"/>
        <w:tabs>
          <w:tab w:leader="none" w:pos="1877"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xml:space="preserve">. If the Optionee’s Service Relationship terminates for any reason other than death or Disability, and unless otherwise determined by the Committee, this Stock Option may continue to be exercised, to the extent the Shares are vested on the date of termination, for a period of 3 months from the date of termination or until the Expiration Date, if earlier;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if the Optionee’s Service Relationship is terminated for Cause, this Stock Option shall terminate immediately upon the date of such termination.</w:t>
      </w:r>
    </w:p>
    <w:p>
      <w:pPr>
        <w:spacing w:after="0" w:line="136" w:lineRule="exact"/>
        <w:rPr>
          <w:sz w:val="20"/>
          <w:szCs w:val="20"/>
          <w:color w:val="auto"/>
        </w:rPr>
      </w:pPr>
    </w:p>
    <w:p>
      <w:pPr>
        <w:ind w:right="460" w:firstLine="511"/>
        <w:spacing w:after="0" w:line="267" w:lineRule="auto"/>
        <w:rPr>
          <w:sz w:val="20"/>
          <w:szCs w:val="20"/>
          <w:color w:val="auto"/>
        </w:rPr>
      </w:pPr>
      <w:r>
        <w:rPr>
          <w:rFonts w:ascii="Times New Roman" w:cs="Times New Roman" w:eastAsia="Times New Roman" w:hAnsi="Times New Roman"/>
          <w:sz w:val="14"/>
          <w:szCs w:val="14"/>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with respect to Shares that are not vested and exercisable on the date of termination of the Service Relationship shall terminate immediately and be null and void.</w:t>
      </w:r>
    </w:p>
    <w:p>
      <w:pPr>
        <w:spacing w:after="0" w:line="104" w:lineRule="exact"/>
        <w:rPr>
          <w:sz w:val="20"/>
          <w:szCs w:val="20"/>
          <w:color w:val="auto"/>
        </w:rPr>
      </w:pPr>
    </w:p>
    <w:p>
      <w:pPr>
        <w:ind w:left="660" w:hanging="145"/>
        <w:spacing w:after="0"/>
        <w:tabs>
          <w:tab w:leader="none" w:pos="66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Stock Option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60" w:firstLine="1155"/>
        <w:spacing w:after="0" w:line="258" w:lineRule="auto"/>
        <w:tabs>
          <w:tab w:leader="none" w:pos="1341"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hereto indicating his or her election to purchase some or all of the Shares. Such notice shall specify the number of Shares to be purchased. To the extent this Stock Option is only partially exercised, such exercise shall first be with respect to the Shares, if any, that have previously vested, and then with respect to the Shares that will next vest, with the Shares that vest at the latest date being exercised last.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43" w:lineRule="exact"/>
        <w:rPr>
          <w:rFonts w:ascii="Times New Roman" w:cs="Times New Roman" w:eastAsia="Times New Roman" w:hAnsi="Times New Roman"/>
          <w:sz w:val="14"/>
          <w:szCs w:val="14"/>
          <w:color w:val="auto"/>
        </w:rPr>
      </w:pPr>
    </w:p>
    <w:p>
      <w:pPr>
        <w:ind w:right="360" w:firstLine="1155"/>
        <w:spacing w:after="0" w:line="283" w:lineRule="auto"/>
        <w:tabs>
          <w:tab w:leader="none" w:pos="1349"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the Optionee exercises a portion of this Stock Option with respect to Shares that have not vested, the Optionee shall also deliver a Restricted Stock Agreement covering such unvested Shares in the form of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hereto (the “Restricted Stock Agreement”) with the same vesting schedule for such Shares as set forth for such Shares herein.</w:t>
      </w:r>
    </w:p>
    <w:p>
      <w:pPr>
        <w:spacing w:after="0" w:line="124"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hereof or of the Plan, no portion of this Stock Option shall be exercisable after the Expiration Date.</w:t>
      </w:r>
    </w:p>
    <w:p>
      <w:pPr>
        <w:spacing w:after="0" w:line="175"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w:t>
      </w:r>
      <w:r>
        <w:rPr>
          <w:rFonts w:ascii="Times New Roman" w:cs="Times New Roman" w:eastAsia="Times New Roman" w:hAnsi="Times New Roman"/>
          <w:sz w:val="14"/>
          <w:szCs w:val="14"/>
          <w:color w:val="auto"/>
        </w:rPr>
        <w:t>. Notwithstanding anything herein to the contrary, this Stock Option shall be subject to and governed by all the terms and conditions of the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07" w:name="page408"/>
    <w:bookmarkEnd w:id="407"/>
    <w:p>
      <w:pPr>
        <w:ind w:left="-20" w:right="120" w:firstLine="515"/>
        <w:spacing w:after="0" w:line="257" w:lineRule="auto"/>
        <w:tabs>
          <w:tab w:leader="none" w:pos="631"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 of Stock Option</w:t>
      </w:r>
      <w:r>
        <w:rPr>
          <w:rFonts w:ascii="Times New Roman" w:cs="Times New Roman" w:eastAsia="Times New Roman" w:hAnsi="Times New Roman"/>
          <w:sz w:val="14"/>
          <w:szCs w:val="14"/>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43" w:lineRule="exact"/>
        <w:rPr>
          <w:rFonts w:ascii="Times New Roman" w:cs="Times New Roman" w:eastAsia="Times New Roman" w:hAnsi="Times New Roman"/>
          <w:sz w:val="14"/>
          <w:szCs w:val="14"/>
          <w:color w:val="auto"/>
        </w:rPr>
      </w:pPr>
    </w:p>
    <w:p>
      <w:pPr>
        <w:ind w:left="-20" w:right="100" w:firstLine="515"/>
        <w:spacing w:after="0" w:line="283" w:lineRule="auto"/>
        <w:tabs>
          <w:tab w:leader="none" w:pos="631"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 The Shares acquired upon exercise of the Stock Option shall be subject to certain transfer restrictions and other limitations including, without limitation, the provisions contained in Section 9 of the Plan and, if applicable, the Restricted Stock Agreement.</w:t>
      </w:r>
    </w:p>
    <w:p>
      <w:pPr>
        <w:spacing w:after="0" w:line="124" w:lineRule="exact"/>
        <w:rPr>
          <w:rFonts w:ascii="Times New Roman" w:cs="Times New Roman" w:eastAsia="Times New Roman" w:hAnsi="Times New Roman"/>
          <w:sz w:val="14"/>
          <w:szCs w:val="14"/>
          <w:color w:val="auto"/>
        </w:rPr>
      </w:pPr>
    </w:p>
    <w:p>
      <w:pPr>
        <w:ind w:left="640" w:hanging="145"/>
        <w:spacing w:after="0"/>
        <w:tabs>
          <w:tab w:leader="none" w:pos="64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0" w:right="320" w:firstLine="1155"/>
        <w:spacing w:after="0" w:line="283" w:lineRule="auto"/>
        <w:tabs>
          <w:tab w:leader="none" w:pos="1321"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Equitable Relief</w:t>
      </w:r>
      <w:r>
        <w:rPr>
          <w:rFonts w:ascii="Times New Roman" w:cs="Times New Roman" w:eastAsia="Times New Roman" w:hAnsi="Times New Roman"/>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4" w:lineRule="exact"/>
        <w:rPr>
          <w:rFonts w:ascii="Times New Roman" w:cs="Times New Roman" w:eastAsia="Times New Roman" w:hAnsi="Times New Roman"/>
          <w:sz w:val="14"/>
          <w:szCs w:val="14"/>
          <w:color w:val="auto"/>
        </w:rPr>
      </w:pPr>
    </w:p>
    <w:p>
      <w:pPr>
        <w:ind w:left="-20" w:right="140" w:firstLine="1155"/>
        <w:spacing w:after="0" w:line="261" w:lineRule="auto"/>
        <w:tabs>
          <w:tab w:leader="none" w:pos="132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Changes in Capital Structure</w:t>
      </w:r>
      <w:r>
        <w:rPr>
          <w:rFonts w:ascii="Times New Roman" w:cs="Times New Roman" w:eastAsia="Times New Roman" w:hAnsi="Times New Roman"/>
          <w:sz w:val="14"/>
          <w:szCs w:val="14"/>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40" w:lineRule="exact"/>
        <w:rPr>
          <w:rFonts w:ascii="Times New Roman" w:cs="Times New Roman" w:eastAsia="Times New Roman" w:hAnsi="Times New Roman"/>
          <w:sz w:val="14"/>
          <w:szCs w:val="14"/>
          <w:color w:val="auto"/>
        </w:rPr>
      </w:pPr>
    </w:p>
    <w:p>
      <w:pPr>
        <w:ind w:left="-20" w:right="120" w:firstLine="1155"/>
        <w:spacing w:after="0" w:line="283" w:lineRule="auto"/>
        <w:tabs>
          <w:tab w:leader="none" w:pos="1321"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and Modifications</w:t>
      </w:r>
      <w:r>
        <w:rPr>
          <w:rFonts w:ascii="Times New Roman" w:cs="Times New Roman" w:eastAsia="Times New Roman" w:hAnsi="Times New Roman"/>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4" w:lineRule="exact"/>
        <w:rPr>
          <w:rFonts w:ascii="Times New Roman" w:cs="Times New Roman" w:eastAsia="Times New Roman" w:hAnsi="Times New Roman"/>
          <w:sz w:val="14"/>
          <w:szCs w:val="14"/>
          <w:color w:val="auto"/>
        </w:rPr>
      </w:pPr>
    </w:p>
    <w:p>
      <w:pPr>
        <w:ind w:left="-20" w:right="100" w:firstLine="1155"/>
        <w:spacing w:after="0" w:line="267" w:lineRule="auto"/>
        <w:tabs>
          <w:tab w:leader="none" w:pos="132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5" w:lineRule="exact"/>
        <w:rPr>
          <w:rFonts w:ascii="Times New Roman" w:cs="Times New Roman" w:eastAsia="Times New Roman" w:hAnsi="Times New Roman"/>
          <w:sz w:val="14"/>
          <w:szCs w:val="14"/>
          <w:color w:val="auto"/>
        </w:rPr>
      </w:pPr>
    </w:p>
    <w:p>
      <w:pPr>
        <w:ind w:left="-20" w:firstLine="1155"/>
        <w:spacing w:after="0" w:line="283" w:lineRule="auto"/>
        <w:tabs>
          <w:tab w:leader="none" w:pos="1321"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24" w:lineRule="exact"/>
        <w:rPr>
          <w:rFonts w:ascii="Times New Roman" w:cs="Times New Roman" w:eastAsia="Times New Roman" w:hAnsi="Times New Roman"/>
          <w:sz w:val="14"/>
          <w:szCs w:val="14"/>
          <w:color w:val="auto"/>
        </w:rPr>
      </w:pPr>
    </w:p>
    <w:p>
      <w:pPr>
        <w:ind w:left="-20" w:right="800" w:firstLine="1155"/>
        <w:spacing w:after="0" w:line="283" w:lineRule="auto"/>
        <w:tabs>
          <w:tab w:leader="none" w:pos="1305"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 Clause</w:t>
      </w:r>
      <w:r>
        <w:rPr>
          <w:rFonts w:ascii="Times New Roman" w:cs="Times New Roman" w:eastAsia="Times New Roman" w:hAnsi="Times New Roman"/>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24" w:lineRule="exact"/>
        <w:rPr>
          <w:rFonts w:ascii="Times New Roman" w:cs="Times New Roman" w:eastAsia="Times New Roman" w:hAnsi="Times New Roman"/>
          <w:sz w:val="14"/>
          <w:szCs w:val="14"/>
          <w:color w:val="auto"/>
        </w:rPr>
      </w:pPr>
    </w:p>
    <w:p>
      <w:pPr>
        <w:ind w:left="-20" w:right="120" w:firstLine="1155"/>
        <w:spacing w:after="0" w:line="267" w:lineRule="auto"/>
        <w:tabs>
          <w:tab w:leader="none" w:pos="132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35" w:lineRule="exact"/>
        <w:rPr>
          <w:rFonts w:ascii="Times New Roman" w:cs="Times New Roman" w:eastAsia="Times New Roman" w:hAnsi="Times New Roman"/>
          <w:sz w:val="14"/>
          <w:szCs w:val="14"/>
          <w:color w:val="auto"/>
        </w:rPr>
      </w:pPr>
    </w:p>
    <w:p>
      <w:pPr>
        <w:jc w:val="both"/>
        <w:ind w:left="-20" w:right="800" w:firstLine="1155"/>
        <w:spacing w:after="0" w:line="283" w:lineRule="auto"/>
        <w:tabs>
          <w:tab w:leader="none" w:pos="1329"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and Binding Effect</w:t>
      </w:r>
      <w:r>
        <w:rPr>
          <w:rFonts w:ascii="Times New Roman" w:cs="Times New Roman" w:eastAsia="Times New Roman" w:hAnsi="Times New Roman"/>
          <w:sz w:val="14"/>
          <w:szCs w:val="14"/>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24" w:lineRule="exact"/>
        <w:rPr>
          <w:rFonts w:ascii="Times New Roman" w:cs="Times New Roman" w:eastAsia="Times New Roman" w:hAnsi="Times New Roman"/>
          <w:sz w:val="14"/>
          <w:szCs w:val="14"/>
          <w:color w:val="auto"/>
        </w:rPr>
      </w:pPr>
    </w:p>
    <w:p>
      <w:pPr>
        <w:ind w:left="-20" w:right="320" w:firstLine="1155"/>
        <w:spacing w:after="0" w:line="283" w:lineRule="auto"/>
        <w:tabs>
          <w:tab w:leader="none" w:pos="1298"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24" w:lineRule="exact"/>
        <w:rPr>
          <w:rFonts w:ascii="Times New Roman" w:cs="Times New Roman" w:eastAsia="Times New Roman" w:hAnsi="Times New Roman"/>
          <w:sz w:val="14"/>
          <w:szCs w:val="14"/>
          <w:color w:val="auto"/>
        </w:rPr>
      </w:pPr>
    </w:p>
    <w:p>
      <w:pPr>
        <w:ind w:left="-20" w:right="120" w:firstLine="1155"/>
        <w:spacing w:after="0" w:line="283" w:lineRule="auto"/>
        <w:tabs>
          <w:tab w:leader="none" w:pos="1298"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Agreement constitutes the entire agreement between the parties with respect to this Stock Option and supersedes all prior agreements and discussions between the parties concerning such subject matter.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375285</wp:posOffset>
            </wp:positionV>
            <wp:extent cx="7188200"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20" w:top="987" w:right="319" w:bottom="1440" w:gutter="0" w:footer="0" w:header="0"/>
        </w:sectPr>
      </w:pPr>
    </w:p>
    <w:bookmarkStart w:id="408" w:name="page409"/>
    <w:bookmarkEnd w:id="408"/>
    <w:p>
      <w:pPr>
        <w:ind w:left="660" w:hanging="145"/>
        <w:spacing w:after="0"/>
        <w:tabs>
          <w:tab w:leader="none" w:pos="66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220" w:firstLine="1162"/>
        <w:spacing w:after="0" w:line="261" w:lineRule="auto"/>
        <w:tabs>
          <w:tab w:leader="none" w:pos="1349"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Suffolk County, Massachusetts.</w:t>
      </w:r>
    </w:p>
    <w:p>
      <w:pPr>
        <w:spacing w:after="0" w:line="140" w:lineRule="exact"/>
        <w:rPr>
          <w:rFonts w:ascii="Times New Roman" w:cs="Times New Roman" w:eastAsia="Times New Roman" w:hAnsi="Times New Roman"/>
          <w:sz w:val="14"/>
          <w:szCs w:val="14"/>
          <w:color w:val="auto"/>
        </w:rPr>
      </w:pPr>
    </w:p>
    <w:p>
      <w:pPr>
        <w:ind w:firstLine="1155"/>
        <w:spacing w:after="0" w:line="255" w:lineRule="auto"/>
        <w:tabs>
          <w:tab w:leader="none" w:pos="1349"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45" w:lineRule="exact"/>
        <w:rPr>
          <w:rFonts w:ascii="Times New Roman" w:cs="Times New Roman" w:eastAsia="Times New Roman" w:hAnsi="Times New Roman"/>
          <w:sz w:val="14"/>
          <w:szCs w:val="14"/>
          <w:color w:val="auto"/>
        </w:rPr>
      </w:pPr>
    </w:p>
    <w:p>
      <w:pPr>
        <w:ind w:right="240" w:firstLine="1155"/>
        <w:spacing w:after="0" w:line="267" w:lineRule="auto"/>
        <w:tabs>
          <w:tab w:leader="none" w:pos="1341"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35" w:lineRule="exact"/>
        <w:rPr>
          <w:rFonts w:ascii="Times New Roman" w:cs="Times New Roman" w:eastAsia="Times New Roman" w:hAnsi="Times New Roman"/>
          <w:sz w:val="14"/>
          <w:szCs w:val="14"/>
          <w:color w:val="auto"/>
        </w:rPr>
      </w:pPr>
    </w:p>
    <w:p>
      <w:pPr>
        <w:ind w:right="40" w:firstLine="1155"/>
        <w:spacing w:after="0" w:line="255" w:lineRule="auto"/>
        <w:tabs>
          <w:tab w:leader="none" w:pos="1349"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5" w:lineRule="exact"/>
        <w:rPr>
          <w:rFonts w:ascii="Times New Roman" w:cs="Times New Roman" w:eastAsia="Times New Roman" w:hAnsi="Times New Roman"/>
          <w:sz w:val="14"/>
          <w:szCs w:val="14"/>
          <w:color w:val="auto"/>
        </w:rPr>
      </w:pPr>
    </w:p>
    <w:p>
      <w:pPr>
        <w:ind w:firstLine="515"/>
        <w:spacing w:after="0" w:line="254" w:lineRule="auto"/>
        <w:tabs>
          <w:tab w:leader="none" w:pos="651"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09" w:name="page410"/>
    <w:bookmarkEnd w:id="409"/>
    <w:p>
      <w:pPr>
        <w:ind w:left="520"/>
        <w:spacing w:after="0"/>
        <w:rPr>
          <w:sz w:val="20"/>
          <w:szCs w:val="20"/>
          <w:color w:val="auto"/>
        </w:rPr>
      </w:pPr>
      <w:r>
        <w:rPr>
          <w:rFonts w:ascii="Times New Roman" w:cs="Times New Roman" w:eastAsia="Times New Roman" w:hAnsi="Times New Roman"/>
          <w:sz w:val="14"/>
          <w:szCs w:val="14"/>
          <w:color w:val="auto"/>
        </w:rPr>
        <w:t>The foregoing Agreement is hereby accepted and the terms and conditions thereof hereby agreed to by the undersigned as of the date first above written.</w:t>
      </w:r>
    </w:p>
    <w:p>
      <w:pPr>
        <w:spacing w:after="0" w:line="2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24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13970</wp:posOffset>
            </wp:positionV>
            <wp:extent cx="2576830"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1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Title:</w:t>
      </w:r>
    </w:p>
    <w:p>
      <w:pPr>
        <w:spacing w:after="0" w:line="1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140970</wp:posOffset>
            </wp:positionV>
            <wp:extent cx="286385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274320</wp:posOffset>
            </wp:positionV>
            <wp:extent cx="286385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407670</wp:posOffset>
            </wp:positionV>
            <wp:extent cx="2863850"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19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281940</wp:posOffset>
            </wp:positionV>
            <wp:extent cx="286385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1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140970</wp:posOffset>
            </wp:positionV>
            <wp:extent cx="286385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274320</wp:posOffset>
            </wp:positionV>
            <wp:extent cx="2863850"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407670</wp:posOffset>
            </wp:positionV>
            <wp:extent cx="286385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818" w:right="3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4"/>
          <w:szCs w:val="14"/>
          <w:color w:val="auto"/>
        </w:rPr>
        <w:t>[SPOUSE’S CONSENT</w:t>
      </w:r>
      <w:r>
        <w:rPr>
          <w:rFonts w:ascii="Times New Roman" w:cs="Times New Roman" w:eastAsia="Times New Roman" w:hAnsi="Times New Roman"/>
          <w:sz w:val="18"/>
          <w:szCs w:val="18"/>
          <w:color w:val="auto"/>
          <w:vertAlign w:val="superscript"/>
        </w:rPr>
        <w:t>1</w:t>
      </w:r>
    </w:p>
    <w:p>
      <w:pPr>
        <w:spacing w:after="0"/>
        <w:rPr>
          <w:sz w:val="20"/>
          <w:szCs w:val="20"/>
          <w:color w:val="auto"/>
        </w:rPr>
      </w:pPr>
      <w:r>
        <w:rPr>
          <w:rFonts w:ascii="Times New Roman" w:cs="Times New Roman" w:eastAsia="Times New Roman" w:hAnsi="Times New Roman"/>
          <w:sz w:val="14"/>
          <w:szCs w:val="14"/>
          <w:color w:val="auto"/>
        </w:rPr>
        <w:t>I acknowledge that I have read the foregoing Non-Qualified Stock Option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and understand the contents thereof.</w:t>
      </w:r>
    </w:p>
    <w:p>
      <w:pPr>
        <w:spacing w:after="0" w:line="3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436495"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43649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954405"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55" w:lineRule="exact"/>
        <w:rPr>
          <w:sz w:val="20"/>
          <w:szCs w:val="20"/>
          <w:color w:val="auto"/>
        </w:rPr>
      </w:pPr>
    </w:p>
    <w:p>
      <w:pPr>
        <w:ind w:left="520" w:hanging="516"/>
        <w:spacing w:after="0" w:line="283" w:lineRule="auto"/>
        <w:tabs>
          <w:tab w:leader="none" w:pos="289" w:val="left"/>
        </w:tabs>
        <w:numPr>
          <w:ilvl w:val="0"/>
          <w:numId w:val="343"/>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A spouse’s consent is recommended only if the Optionee’s state of residence is one of the following community property states: Arizona, California, Idaho, Louisiana, Nevada, New Mexico, Texas, Washington and Wisconsin.</w:t>
      </w: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920"/>
          </w:cols>
          <w:pgMar w:left="300" w:top="1132" w:right="679" w:bottom="1440" w:gutter="0" w:footer="0" w:header="0"/>
        </w:sectPr>
      </w:pPr>
    </w:p>
    <w:bookmarkStart w:id="411" w:name="page412"/>
    <w:bookmarkEnd w:id="411"/>
    <w:p>
      <w:pPr>
        <w:jc w:val="right"/>
        <w:ind w:right="1499"/>
        <w:spacing w:after="0"/>
        <w:rPr>
          <w:sz w:val="20"/>
          <w:szCs w:val="20"/>
          <w:color w:val="auto"/>
        </w:rPr>
      </w:pPr>
      <w:r>
        <w:rPr>
          <w:rFonts w:ascii="Times New Roman" w:cs="Times New Roman" w:eastAsia="Times New Roman" w:hAnsi="Times New Roman"/>
          <w:sz w:val="14"/>
          <w:szCs w:val="14"/>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280670</wp:posOffset>
            </wp:positionV>
            <wp:extent cx="286385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140970</wp:posOffset>
            </wp:positionV>
            <wp:extent cx="2863850"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274320</wp:posOffset>
            </wp:positionV>
            <wp:extent cx="2863850"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407670</wp:posOffset>
            </wp:positionV>
            <wp:extent cx="2863850"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239" w:right="1440"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Appendix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EXERCISE 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[____________________]</w:t>
      </w:r>
    </w:p>
    <w:tbl>
      <w:tblPr>
        <w:tblLayout w:type="fixed"/>
        <w:tblInd w:w="0" w:type="dxa"/>
        <w:tblCellMar>
          <w:top w:w="0" w:type="dxa"/>
          <w:left w:w="0" w:type="dxa"/>
          <w:bottom w:w="0" w:type="dxa"/>
          <w:right w:w="0" w:type="dxa"/>
        </w:tblCellMar>
      </w:tblPr>
      <w:tr>
        <w:trPr>
          <w:trHeight w:val="159"/>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40"/>
              <w:spacing w:after="0" w:line="159" w:lineRule="exact"/>
              <w:rPr>
                <w:sz w:val="20"/>
                <w:szCs w:val="20"/>
                <w:color w:val="auto"/>
              </w:rPr>
            </w:pPr>
            <w:r>
              <w:rPr>
                <w:rFonts w:ascii="Times New Roman" w:cs="Times New Roman" w:eastAsia="Times New Roman" w:hAnsi="Times New Roman"/>
                <w:sz w:val="14"/>
                <w:szCs w:val="14"/>
                <w:color w:val="auto"/>
                <w:w w:val="85"/>
              </w:rPr>
              <w:t> </w:t>
            </w:r>
          </w:p>
        </w:tc>
      </w:tr>
      <w:tr>
        <w:trPr>
          <w:trHeight w:val="148"/>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40"/>
              <w:spacing w:after="0" w:line="148" w:lineRule="exact"/>
              <w:rPr>
                <w:sz w:val="20"/>
                <w:szCs w:val="20"/>
                <w:color w:val="auto"/>
              </w:rPr>
            </w:pPr>
            <w:r>
              <w:rPr>
                <w:rFonts w:ascii="Times New Roman" w:cs="Times New Roman" w:eastAsia="Times New Roman" w:hAnsi="Times New Roman"/>
                <w:sz w:val="14"/>
                <w:szCs w:val="14"/>
                <w:color w:val="auto"/>
                <w:w w:val="85"/>
              </w:rPr>
              <w:t> </w:t>
            </w: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terms of the grant notice and stock option agreement between the undersigned and Parabilis Medicines, Inc. (the “Company”) dated __________ (the “Agreement”) under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Parabilis Medicines, Inc. 2026 Stock Option and Grant Plan, I, [Insert Name] ________________, hereby [Circle One] partially/fully exercise such option by including herein payment in the amount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 representing the purchase price for [Fill in number of Shares] _______ Shares. I have chosen the following form(s) of payment:</w:t>
      </w:r>
    </w:p>
    <w:p>
      <w:pPr>
        <w:spacing w:after="0" w:line="371"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Certified or bank check payable to Parabilis Medicines, Inc.</w:t>
            </w:r>
          </w:p>
        </w:tc>
      </w:tr>
      <w:tr>
        <w:trPr>
          <w:trHeight w:val="252"/>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Other (as referenced in the Agreement and described in the Plan (please describe)) _____________________________________________________.</w:t>
            </w:r>
          </w:p>
        </w:tc>
      </w:tr>
    </w:tbl>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my exercise of the option as set forth above, I hereby represent and warrant to the Company as follows:</w:t>
      </w:r>
    </w:p>
    <w:p>
      <w:pPr>
        <w:spacing w:after="0" w:line="175" w:lineRule="exact"/>
        <w:rPr>
          <w:sz w:val="20"/>
          <w:szCs w:val="20"/>
          <w:color w:val="auto"/>
        </w:rPr>
      </w:pPr>
    </w:p>
    <w:p>
      <w:pPr>
        <w:ind w:left="1840" w:hanging="174"/>
        <w:spacing w:after="0"/>
        <w:tabs>
          <w:tab w:leader="none" w:pos="184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purchasing the Shares for my own account for investment only, and not for resale or with a view to the distribution thereof.</w:t>
      </w:r>
    </w:p>
    <w:p>
      <w:pPr>
        <w:spacing w:after="0" w:line="175" w:lineRule="exact"/>
        <w:rPr>
          <w:rFonts w:ascii="Times New Roman" w:cs="Times New Roman" w:eastAsia="Times New Roman" w:hAnsi="Times New Roman"/>
          <w:sz w:val="14"/>
          <w:szCs w:val="14"/>
          <w:color w:val="auto"/>
        </w:rPr>
      </w:pPr>
    </w:p>
    <w:p>
      <w:pPr>
        <w:ind w:left="520" w:right="120" w:firstLine="1146"/>
        <w:spacing w:after="0" w:line="283" w:lineRule="auto"/>
        <w:tabs>
          <w:tab w:leader="none" w:pos="1877"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24" w:lineRule="exact"/>
        <w:rPr>
          <w:rFonts w:ascii="Times New Roman" w:cs="Times New Roman" w:eastAsia="Times New Roman" w:hAnsi="Times New Roman"/>
          <w:sz w:val="14"/>
          <w:szCs w:val="14"/>
          <w:color w:val="auto"/>
        </w:rPr>
      </w:pPr>
    </w:p>
    <w:p>
      <w:pPr>
        <w:ind w:left="520" w:right="460" w:firstLine="1146"/>
        <w:spacing w:after="0" w:line="283" w:lineRule="auto"/>
        <w:tabs>
          <w:tab w:leader="none" w:pos="1916"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24"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 afford a complete loss of the value of the Shares and am able to bear the economic risk of holding such Shares for an indefinite period of time.</w:t>
      </w:r>
    </w:p>
    <w:p>
      <w:pPr>
        <w:spacing w:after="0" w:line="175" w:lineRule="exact"/>
        <w:rPr>
          <w:rFonts w:ascii="Times New Roman" w:cs="Times New Roman" w:eastAsia="Times New Roman" w:hAnsi="Times New Roman"/>
          <w:sz w:val="14"/>
          <w:szCs w:val="14"/>
          <w:color w:val="auto"/>
        </w:rPr>
      </w:pPr>
    </w:p>
    <w:p>
      <w:pPr>
        <w:jc w:val="both"/>
        <w:ind w:left="520" w:right="280" w:firstLine="1146"/>
        <w:spacing w:after="0" w:line="258" w:lineRule="auto"/>
        <w:tabs>
          <w:tab w:leader="none" w:pos="1869"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43"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required, I have executed and delivered to the Company the Restricted Stock Agreement attached as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to the Agreement.</w:t>
      </w:r>
    </w:p>
    <w:p>
      <w:pPr>
        <w:spacing w:after="0" w:line="175" w:lineRule="exact"/>
        <w:rPr>
          <w:rFonts w:ascii="Times New Roman" w:cs="Times New Roman" w:eastAsia="Times New Roman" w:hAnsi="Times New Roman"/>
          <w:sz w:val="14"/>
          <w:szCs w:val="14"/>
          <w:color w:val="auto"/>
        </w:rPr>
      </w:pPr>
    </w:p>
    <w:p>
      <w:pPr>
        <w:ind w:left="520" w:right="200" w:firstLine="1146"/>
        <w:spacing w:after="0" w:line="283" w:lineRule="auto"/>
        <w:tabs>
          <w:tab w:leader="none" w:pos="1947"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24" w:lineRule="exact"/>
        <w:rPr>
          <w:rFonts w:ascii="Times New Roman" w:cs="Times New Roman" w:eastAsia="Times New Roman" w:hAnsi="Times New Roman"/>
          <w:sz w:val="14"/>
          <w:szCs w:val="14"/>
          <w:color w:val="auto"/>
        </w:rPr>
      </w:pPr>
    </w:p>
    <w:p>
      <w:pPr>
        <w:ind w:left="1980" w:hanging="314"/>
        <w:spacing w:after="0"/>
        <w:tabs>
          <w:tab w:leader="none" w:pos="198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a right of first refusal with respect to the Shares pursuant to Section 9(b) of the Plan.</w:t>
      </w:r>
    </w:p>
    <w:p>
      <w:pPr>
        <w:spacing w:after="0" w:line="175"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the Company has certain repurchase rights with respect to the Shares pursuant to Section 9(c) of the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413" w:name="page414"/>
    <w:bookmarkEnd w:id="413"/>
    <w:p>
      <w:pPr>
        <w:ind w:firstLine="1153"/>
        <w:spacing w:after="0" w:line="283" w:lineRule="auto"/>
        <w:tabs>
          <w:tab w:leader="none" w:pos="1356"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that I may not sell or otherwise transfer or dispose of the Shares for a period of time following the effective date of a public offering by the Company as described in Section 9(f) of the Plan.</w:t>
      </w:r>
    </w:p>
    <w:p>
      <w:pPr>
        <w:spacing w:after="0" w:line="124" w:lineRule="exact"/>
        <w:rPr>
          <w:rFonts w:ascii="Times New Roman" w:cs="Times New Roman" w:eastAsia="Times New Roman" w:hAnsi="Times New Roman"/>
          <w:sz w:val="14"/>
          <w:szCs w:val="14"/>
          <w:color w:val="auto"/>
        </w:rPr>
      </w:pPr>
    </w:p>
    <w:p>
      <w:pPr>
        <w:ind w:left="1380" w:hanging="234"/>
        <w:spacing w:after="0"/>
        <w:tabs>
          <w:tab w:leader="none" w:pos="138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understand and agree to the waiver of statutory information rights as set forth in Section 8 of the Agreement.</w:t>
      </w:r>
    </w:p>
    <w:p>
      <w:pPr>
        <w:spacing w:after="0" w:line="22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280670</wp:posOffset>
            </wp:positionV>
            <wp:extent cx="286385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w:t>
      </w:r>
    </w:p>
    <w:p>
      <w:pPr>
        <w:spacing w:after="0" w:line="1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140970</wp:posOffset>
            </wp:positionV>
            <wp:extent cx="2863850"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274320</wp:posOffset>
            </wp:positionV>
            <wp:extent cx="2863850"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407670</wp:posOffset>
            </wp:positionV>
            <wp:extent cx="2863850"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13970</wp:posOffset>
            </wp:positionV>
            <wp:extent cx="238950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389505" cy="69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440"/>
          </w:cols>
          <w:pgMar w:left="820" w:top="987" w:right="639" w:bottom="1440" w:gutter="0" w:footer="0" w:header="0"/>
        </w:sectPr>
      </w:pPr>
    </w:p>
    <w:bookmarkStart w:id="414" w:name="page415"/>
    <w:bookmarkEnd w:id="414"/>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Appendix B</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RESTRICTED STOCK AGREEMENT FOR EARLY EXERCISE OPTION</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4"/>
          <w:szCs w:val="14"/>
          <w:color w:val="auto"/>
        </w:rPr>
        <w:t>All capitalized terms used herein and not otherwise defined shall have the respective meanings set forth in the Early Exercise Non-Qualified Stock Option Grant Notice (the “Grant Notice”) and Early Exercise Non-Qualified Stock Option Agreement (the “Option Agreement”) between Parabilis Medicines, Inc. (the “Company”) and _______________ (the “Grantee”)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 Shares of Common Stock with a Grant Date of ___________, ______ under the Parabilis Medicines, Inc. 2026 Stock Option and Grant Plan (the “Plan”).</w:t>
      </w:r>
    </w:p>
    <w:p>
      <w:pPr>
        <w:spacing w:after="0" w:line="161" w:lineRule="exact"/>
        <w:rPr>
          <w:sz w:val="20"/>
          <w:szCs w:val="20"/>
          <w:color w:val="auto"/>
        </w:rPr>
      </w:pPr>
    </w:p>
    <w:p>
      <w:pPr>
        <w:ind w:left="660" w:hanging="145"/>
        <w:spacing w:after="0"/>
        <w:tabs>
          <w:tab w:leader="none" w:pos="660"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 of Shares; Vesting</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220" w:firstLine="1155"/>
        <w:spacing w:after="0" w:line="267" w:lineRule="auto"/>
        <w:tabs>
          <w:tab w:leader="none" w:pos="1341"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w:t>
      </w:r>
      <w:r>
        <w:rPr>
          <w:rFonts w:ascii="Times New Roman" w:cs="Times New Roman" w:eastAsia="Times New Roman" w:hAnsi="Times New Roman"/>
          <w:sz w:val="14"/>
          <w:szCs w:val="14"/>
          <w:color w:val="auto"/>
        </w:rPr>
        <w:t>. The Company hereby sells to the Grantee, and the Grantee hereby purchases from the Company, on ________________, 20[__],the number of Shares set forth in the Stock Option Exercise Notice (_______ Shares) dated __________ , pursuant to the Grant Notice and Option Agreement, for the aggregate Option Exercise Price for the Shares so purchased.</w:t>
      </w:r>
    </w:p>
    <w:p>
      <w:pPr>
        <w:spacing w:after="0" w:line="13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The risk of forfeiture shall lapse with respect to the Shares, and such Shares shall become vested, on the respective dates indicated on the Vesting Schedule set forth in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Notice.</w:t>
      </w:r>
    </w:p>
    <w:p>
      <w:pPr>
        <w:spacing w:after="0" w:line="160" w:lineRule="exact"/>
        <w:rPr>
          <w:rFonts w:ascii="Times New Roman" w:cs="Times New Roman" w:eastAsia="Times New Roman" w:hAnsi="Times New Roman"/>
          <w:sz w:val="14"/>
          <w:szCs w:val="14"/>
          <w:color w:val="auto"/>
        </w:rPr>
      </w:pPr>
    </w:p>
    <w:p>
      <w:pPr>
        <w:ind w:right="160" w:firstLine="515"/>
        <w:spacing w:after="0" w:line="283" w:lineRule="auto"/>
        <w:tabs>
          <w:tab w:leader="none" w:pos="651"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Right</w:t>
      </w:r>
      <w:r>
        <w:rPr>
          <w:rFonts w:ascii="Times New Roman" w:cs="Times New Roman" w:eastAsia="Times New Roman" w:hAnsi="Times New Roman"/>
          <w:sz w:val="14"/>
          <w:szCs w:val="14"/>
          <w:color w:val="auto"/>
        </w:rPr>
        <w:t>. Upon a Termination Event, the Company shall have the right to repurchase Shares of Restricted Stock that are unvested as of the date of such Termination Event as set forth in Section 9(c) of the Plan.</w:t>
      </w:r>
    </w:p>
    <w:p>
      <w:pPr>
        <w:spacing w:after="0" w:line="124" w:lineRule="exact"/>
        <w:rPr>
          <w:rFonts w:ascii="Times New Roman" w:cs="Times New Roman" w:eastAsia="Times New Roman" w:hAnsi="Times New Roman"/>
          <w:sz w:val="14"/>
          <w:szCs w:val="14"/>
          <w:color w:val="auto"/>
        </w:rPr>
      </w:pPr>
    </w:p>
    <w:p>
      <w:pPr>
        <w:ind w:right="380" w:firstLine="515"/>
        <w:spacing w:after="0" w:line="283" w:lineRule="auto"/>
        <w:tabs>
          <w:tab w:leader="none" w:pos="651"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 The Shares (whether or not vested) shall be subject to certain transfer restrictions and other limitations including, without limitation, the provisions contained in Section 9 of the Plan</w:t>
      </w:r>
    </w:p>
    <w:p>
      <w:pPr>
        <w:spacing w:after="0" w:line="124"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w:t>
      </w:r>
      <w:r>
        <w:rPr>
          <w:rFonts w:ascii="Times New Roman" w:cs="Times New Roman" w:eastAsia="Times New Roman" w:hAnsi="Times New Roman"/>
          <w:sz w:val="14"/>
          <w:szCs w:val="14"/>
          <w:color w:val="auto"/>
        </w:rPr>
        <w:t>. Notwithstanding anything herein to the contrary, this Restricted Stock Agreement shall be subject to and governed by all the terms and conditions of the Plan.</w:t>
      </w:r>
    </w:p>
    <w:p>
      <w:pPr>
        <w:spacing w:after="0" w:line="175"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100" w:firstLine="1155"/>
        <w:spacing w:after="0" w:line="267" w:lineRule="auto"/>
        <w:tabs>
          <w:tab w:leader="none" w:pos="1341"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Record Owner; Dividends</w:t>
      </w:r>
      <w:r>
        <w:rPr>
          <w:rFonts w:ascii="Times New Roman" w:cs="Times New Roman" w:eastAsia="Times New Roman" w:hAnsi="Times New Roman"/>
          <w:sz w:val="14"/>
          <w:szCs w:val="14"/>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is under no duty to declare any such dividends or to make any such distribution.</w:t>
      </w:r>
    </w:p>
    <w:p>
      <w:pPr>
        <w:spacing w:after="0" w:line="135" w:lineRule="exact"/>
        <w:rPr>
          <w:rFonts w:ascii="Times New Roman" w:cs="Times New Roman" w:eastAsia="Times New Roman" w:hAnsi="Times New Roman"/>
          <w:sz w:val="14"/>
          <w:szCs w:val="14"/>
          <w:color w:val="auto"/>
        </w:rPr>
      </w:pPr>
    </w:p>
    <w:p>
      <w:pPr>
        <w:ind w:right="20" w:firstLine="1155"/>
        <w:spacing w:after="0" w:line="261" w:lineRule="auto"/>
        <w:tabs>
          <w:tab w:leader="none" w:pos="1349"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83(b) Election</w:t>
      </w:r>
      <w:r>
        <w:rPr>
          <w:rFonts w:ascii="Times New Roman" w:cs="Times New Roman" w:eastAsia="Times New Roman" w:hAnsi="Times New Roman"/>
          <w:sz w:val="14"/>
          <w:szCs w:val="14"/>
          <w:color w:val="auto"/>
        </w:rPr>
        <w:t>. The Grantee shall consult with the Grantee’s tax advisor to determine whether it would be appropriate for the Grantee to make an election under Section 83(b) of the Code with respect to the Shares. Any such election must be filed with the Internal Revenue Service within 30 days of the date of exercise. If the Grantee makes an election under Section 83(b) of the Code, the Grantee shall give prompt notice to the Company (and provide a copy of such election to the Company). A sample Section 83(b) election is attached to this Agreement as Exhibit A.</w:t>
      </w:r>
    </w:p>
    <w:p>
      <w:pPr>
        <w:spacing w:after="0" w:line="140" w:lineRule="exact"/>
        <w:rPr>
          <w:rFonts w:ascii="Times New Roman" w:cs="Times New Roman" w:eastAsia="Times New Roman" w:hAnsi="Times New Roman"/>
          <w:sz w:val="14"/>
          <w:szCs w:val="14"/>
          <w:color w:val="auto"/>
        </w:rPr>
      </w:pPr>
    </w:p>
    <w:p>
      <w:pPr>
        <w:ind w:right="300" w:firstLine="1155"/>
        <w:spacing w:after="0" w:line="283" w:lineRule="auto"/>
        <w:tabs>
          <w:tab w:leader="none" w:pos="1341"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Equitable Relief</w:t>
      </w:r>
      <w:r>
        <w:rPr>
          <w:rFonts w:ascii="Times New Roman" w:cs="Times New Roman" w:eastAsia="Times New Roman" w:hAnsi="Times New Roman"/>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4" w:lineRule="exact"/>
        <w:rPr>
          <w:rFonts w:ascii="Times New Roman" w:cs="Times New Roman" w:eastAsia="Times New Roman" w:hAnsi="Times New Roman"/>
          <w:sz w:val="14"/>
          <w:szCs w:val="14"/>
          <w:color w:val="auto"/>
        </w:rPr>
      </w:pPr>
    </w:p>
    <w:p>
      <w:pPr>
        <w:ind w:right="100" w:firstLine="1155"/>
        <w:spacing w:after="0" w:line="283" w:lineRule="auto"/>
        <w:tabs>
          <w:tab w:leader="none" w:pos="1349"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and Modifications</w:t>
      </w:r>
      <w:r>
        <w:rPr>
          <w:rFonts w:ascii="Times New Roman" w:cs="Times New Roman" w:eastAsia="Times New Roman" w:hAnsi="Times New Roman"/>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24" w:lineRule="exact"/>
        <w:rPr>
          <w:rFonts w:ascii="Times New Roman" w:cs="Times New Roman" w:eastAsia="Times New Roman" w:hAnsi="Times New Roman"/>
          <w:sz w:val="14"/>
          <w:szCs w:val="14"/>
          <w:color w:val="auto"/>
        </w:rPr>
      </w:pPr>
    </w:p>
    <w:p>
      <w:pPr>
        <w:ind w:right="80" w:firstLine="1155"/>
        <w:spacing w:after="0" w:line="267" w:lineRule="auto"/>
        <w:tabs>
          <w:tab w:leader="none" w:pos="1341"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5" w:lineRule="exact"/>
        <w:rPr>
          <w:rFonts w:ascii="Times New Roman" w:cs="Times New Roman" w:eastAsia="Times New Roman" w:hAnsi="Times New Roman"/>
          <w:sz w:val="14"/>
          <w:szCs w:val="14"/>
          <w:color w:val="auto"/>
        </w:rPr>
      </w:pPr>
    </w:p>
    <w:p>
      <w:pPr>
        <w:ind w:firstLine="1155"/>
        <w:spacing w:after="0" w:line="283" w:lineRule="auto"/>
        <w:tabs>
          <w:tab w:leader="none" w:pos="1325" w:val="left"/>
        </w:tabs>
        <w:numPr>
          <w:ilvl w:val="1"/>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449580</wp:posOffset>
            </wp:positionV>
            <wp:extent cx="7188200"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795" w:right="339" w:bottom="1440" w:gutter="0" w:footer="0" w:header="0"/>
        </w:sectPr>
      </w:pPr>
    </w:p>
    <w:bookmarkStart w:id="415" w:name="page416"/>
    <w:bookmarkEnd w:id="415"/>
    <w:p>
      <w:pPr>
        <w:ind w:left="-20" w:right="760" w:firstLine="1162"/>
        <w:spacing w:after="0" w:line="283" w:lineRule="auto"/>
        <w:tabs>
          <w:tab w:leader="none" w:pos="1336"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 Clause</w:t>
      </w:r>
      <w:r>
        <w:rPr>
          <w:rFonts w:ascii="Times New Roman" w:cs="Times New Roman" w:eastAsia="Times New Roman" w:hAnsi="Times New Roman"/>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24" w:lineRule="exact"/>
        <w:rPr>
          <w:rFonts w:ascii="Times New Roman" w:cs="Times New Roman" w:eastAsia="Times New Roman" w:hAnsi="Times New Roman"/>
          <w:sz w:val="14"/>
          <w:szCs w:val="14"/>
          <w:color w:val="auto"/>
        </w:rPr>
      </w:pPr>
    </w:p>
    <w:p>
      <w:pPr>
        <w:ind w:left="-20" w:right="180" w:firstLine="1155"/>
        <w:spacing w:after="0" w:line="267" w:lineRule="auto"/>
        <w:tabs>
          <w:tab w:leader="none" w:pos="1329"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35" w:lineRule="exact"/>
        <w:rPr>
          <w:rFonts w:ascii="Times New Roman" w:cs="Times New Roman" w:eastAsia="Times New Roman" w:hAnsi="Times New Roman"/>
          <w:sz w:val="14"/>
          <w:szCs w:val="14"/>
          <w:color w:val="auto"/>
        </w:rPr>
      </w:pPr>
    </w:p>
    <w:p>
      <w:pPr>
        <w:jc w:val="both"/>
        <w:ind w:left="-20" w:right="820" w:firstLine="1155"/>
        <w:spacing w:after="0" w:line="283" w:lineRule="auto"/>
        <w:tabs>
          <w:tab w:leader="none" w:pos="1298"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and Binding Effect</w:t>
      </w:r>
      <w:r>
        <w:rPr>
          <w:rFonts w:ascii="Times New Roman" w:cs="Times New Roman" w:eastAsia="Times New Roman" w:hAnsi="Times New Roman"/>
          <w:sz w:val="14"/>
          <w:szCs w:val="14"/>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24" w:lineRule="exact"/>
        <w:rPr>
          <w:rFonts w:ascii="Times New Roman" w:cs="Times New Roman" w:eastAsia="Times New Roman" w:hAnsi="Times New Roman"/>
          <w:sz w:val="14"/>
          <w:szCs w:val="14"/>
          <w:color w:val="auto"/>
        </w:rPr>
      </w:pPr>
    </w:p>
    <w:p>
      <w:pPr>
        <w:ind w:left="-20" w:right="320" w:firstLine="1155"/>
        <w:spacing w:after="0" w:line="283" w:lineRule="auto"/>
        <w:tabs>
          <w:tab w:leader="none" w:pos="1298"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24" w:lineRule="exact"/>
        <w:rPr>
          <w:rFonts w:ascii="Times New Roman" w:cs="Times New Roman" w:eastAsia="Times New Roman" w:hAnsi="Times New Roman"/>
          <w:sz w:val="14"/>
          <w:szCs w:val="14"/>
          <w:color w:val="auto"/>
        </w:rPr>
      </w:pPr>
    </w:p>
    <w:p>
      <w:pPr>
        <w:ind w:left="640" w:hanging="145"/>
        <w:spacing w:after="0"/>
        <w:tabs>
          <w:tab w:leader="none" w:pos="64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0" w:right="100" w:firstLine="1155"/>
        <w:spacing w:after="0" w:line="261" w:lineRule="auto"/>
        <w:tabs>
          <w:tab w:leader="none" w:pos="1321"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Suffolk County, Massachusetts.</w:t>
      </w:r>
    </w:p>
    <w:p>
      <w:pPr>
        <w:spacing w:after="0" w:line="140" w:lineRule="exact"/>
        <w:rPr>
          <w:rFonts w:ascii="Times New Roman" w:cs="Times New Roman" w:eastAsia="Times New Roman" w:hAnsi="Times New Roman"/>
          <w:sz w:val="14"/>
          <w:szCs w:val="14"/>
          <w:color w:val="auto"/>
        </w:rPr>
      </w:pPr>
    </w:p>
    <w:p>
      <w:pPr>
        <w:ind w:left="-20" w:right="20" w:firstLine="1155"/>
        <w:spacing w:after="0" w:line="255" w:lineRule="auto"/>
        <w:tabs>
          <w:tab w:leader="none" w:pos="1329"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45" w:lineRule="exact"/>
        <w:rPr>
          <w:rFonts w:ascii="Times New Roman" w:cs="Times New Roman" w:eastAsia="Times New Roman" w:hAnsi="Times New Roman"/>
          <w:sz w:val="14"/>
          <w:szCs w:val="14"/>
          <w:color w:val="auto"/>
        </w:rPr>
      </w:pPr>
    </w:p>
    <w:p>
      <w:pPr>
        <w:ind w:left="-20" w:firstLine="1155"/>
        <w:spacing w:after="0" w:line="267" w:lineRule="auto"/>
        <w:tabs>
          <w:tab w:leader="none" w:pos="1321"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35" w:lineRule="exact"/>
        <w:rPr>
          <w:rFonts w:ascii="Times New Roman" w:cs="Times New Roman" w:eastAsia="Times New Roman" w:hAnsi="Times New Roman"/>
          <w:sz w:val="14"/>
          <w:szCs w:val="14"/>
          <w:color w:val="auto"/>
        </w:rPr>
      </w:pPr>
    </w:p>
    <w:p>
      <w:pPr>
        <w:ind w:left="-20" w:right="60" w:firstLine="1155"/>
        <w:spacing w:after="0" w:line="255" w:lineRule="auto"/>
        <w:tabs>
          <w:tab w:leader="none" w:pos="1329"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375285</wp:posOffset>
            </wp:positionV>
            <wp:extent cx="7188200"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20" w:top="987" w:right="319" w:bottom="1440" w:gutter="0" w:footer="0" w:header="0"/>
        </w:sectPr>
      </w:pPr>
    </w:p>
    <w:bookmarkStart w:id="416" w:name="page417"/>
    <w:bookmarkEnd w:id="416"/>
    <w:p>
      <w:pPr>
        <w:ind w:firstLine="515"/>
        <w:spacing w:after="0" w:line="254" w:lineRule="auto"/>
        <w:tabs>
          <w:tab w:leader="none" w:pos="651"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417" w:name="page418"/>
    <w:bookmarkEnd w:id="417"/>
    <w:p>
      <w:pPr>
        <w:ind w:left="520"/>
        <w:spacing w:after="0"/>
        <w:rPr>
          <w:sz w:val="20"/>
          <w:szCs w:val="20"/>
          <w:color w:val="auto"/>
        </w:rPr>
      </w:pPr>
      <w:r>
        <w:rPr>
          <w:rFonts w:ascii="Times New Roman" w:cs="Times New Roman" w:eastAsia="Times New Roman" w:hAnsi="Times New Roman"/>
          <w:sz w:val="14"/>
          <w:szCs w:val="14"/>
          <w:color w:val="auto"/>
        </w:rPr>
        <w:t>The foregoing Restricted Stock Agreement is hereby accepted and the terms and conditions thereof are hereby agreed to by the undersigned as of the date written in Section 1(a) above.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-101600</wp:posOffset>
            </wp:positionV>
            <wp:extent cx="264985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ind w:left="712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227330</wp:posOffset>
            </wp:positionV>
            <wp:extent cx="286385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461010</wp:posOffset>
            </wp:positionV>
            <wp:extent cx="286385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681355</wp:posOffset>
            </wp:positionV>
            <wp:extent cx="286385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undersigned hereby acknowledges receiving and reviewing a copy of the Plan, including, without limitation, Section 9 thereof and understands that the Shares purchased hereby are subject to the terms of the Plan, the Grant Notice, and this Agreement. This Agreement is hereby accepted, and the terms and conditions of the Plan, the Grant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17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GRANTEE:</w:t>
      </w:r>
    </w:p>
    <w:p>
      <w:pPr>
        <w:spacing w:after="0" w:line="35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-99060</wp:posOffset>
            </wp:positionV>
            <wp:extent cx="286385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1376045</wp:posOffset>
            </wp:positionV>
            <wp:extent cx="7188200"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527685</wp:posOffset>
            </wp:positionV>
            <wp:extent cx="286385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795020</wp:posOffset>
            </wp:positionV>
            <wp:extent cx="286385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ectPr>
          <w:pgSz w:w="11900" w:h="16838" w:orient="portrait"/>
          <w:cols w:equalWidth="0" w:num="1">
            <w:col w:w="11140"/>
          </w:cols>
          <w:pgMar w:left="300" w:top="797"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4"/>
          <w:szCs w:val="14"/>
          <w:color w:val="auto"/>
        </w:rPr>
        <w:t>[SPOUSE’S CONSENT</w:t>
      </w:r>
      <w:r>
        <w:rPr>
          <w:rFonts w:ascii="Times New Roman" w:cs="Times New Roman" w:eastAsia="Times New Roman" w:hAnsi="Times New Roman"/>
          <w:sz w:val="18"/>
          <w:szCs w:val="18"/>
          <w:color w:val="auto"/>
          <w:vertAlign w:val="superscript"/>
        </w:rPr>
        <w:t>2</w:t>
      </w:r>
    </w:p>
    <w:p>
      <w:pPr>
        <w:spacing w:after="0"/>
        <w:rPr>
          <w:sz w:val="20"/>
          <w:szCs w:val="20"/>
          <w:color w:val="auto"/>
        </w:rPr>
      </w:pPr>
      <w:r>
        <w:rPr>
          <w:rFonts w:ascii="Times New Roman" w:cs="Times New Roman" w:eastAsia="Times New Roman" w:hAnsi="Times New Roman"/>
          <w:sz w:val="14"/>
          <w:szCs w:val="14"/>
          <w:color w:val="auto"/>
        </w:rPr>
        <w:t>I acknowledge that I have read the foregoing Restricted Stock Agreement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understand the contents thereof.</w:t>
      </w:r>
    </w:p>
    <w:p>
      <w:pPr>
        <w:spacing w:after="0" w:line="200" w:lineRule="exact"/>
        <w:rPr>
          <w:sz w:val="20"/>
          <w:szCs w:val="20"/>
          <w:color w:val="auto"/>
        </w:rPr>
      </w:pPr>
    </w:p>
    <w:p>
      <w:pPr>
        <w:spacing w:after="0" w:line="2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43649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43649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95440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55" w:lineRule="exact"/>
        <w:rPr>
          <w:sz w:val="20"/>
          <w:szCs w:val="20"/>
          <w:color w:val="auto"/>
        </w:rPr>
      </w:pPr>
    </w:p>
    <w:p>
      <w:pPr>
        <w:ind w:left="520" w:hanging="516"/>
        <w:spacing w:after="0" w:line="283" w:lineRule="auto"/>
        <w:tabs>
          <w:tab w:leader="none" w:pos="289" w:val="left"/>
        </w:tabs>
        <w:numPr>
          <w:ilvl w:val="0"/>
          <w:numId w:val="350"/>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A spouse’s consent is required only if the Grantee’s state of residence is one of the following community property states: Arizona, California, Idaho, Louisiana, New Mexico, Nevada, Texas, Washington and Wisconsin.</w:t>
      </w:r>
    </w:p>
    <w:p>
      <w:pPr>
        <w:spacing w:after="0" w:line="3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940"/>
          </w:cols>
          <w:pgMar w:left="300" w:top="1132" w:right="659" w:bottom="1440" w:gutter="0" w:footer="0" w:header="0"/>
        </w:sectPr>
      </w:pPr>
    </w:p>
    <w:bookmarkStart w:id="419" w:name="page420"/>
    <w:bookmarkEnd w:id="41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83(b) Election</w:t>
      </w:r>
    </w:p>
    <w:p>
      <w:pPr>
        <w:spacing w:after="0" w:line="161"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125" w:lineRule="exact"/>
        <w:rPr>
          <w:sz w:val="20"/>
          <w:szCs w:val="20"/>
          <w:color w:val="auto"/>
        </w:rPr>
      </w:pPr>
    </w:p>
    <w:p>
      <w:pPr>
        <w:ind w:left="660" w:hanging="656"/>
        <w:spacing w:after="0"/>
        <w:tabs>
          <w:tab w:leader="none" w:pos="66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taxpayer identification number, address of the undersigned, and the taxable year for which this election is being made are: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13970</wp:posOffset>
            </wp:positionV>
            <wp:extent cx="2717165"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717165" cy="69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20320</wp:posOffset>
            </wp:positionV>
            <wp:extent cx="2717165"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717165" cy="698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167640</wp:posOffset>
            </wp:positionV>
            <wp:extent cx="2717165"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717165" cy="698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13970</wp:posOffset>
            </wp:positionV>
            <wp:extent cx="2717165"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717165" cy="698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Taxable Year: Calendar Year 20__</w:t>
      </w:r>
    </w:p>
    <w:p>
      <w:pPr>
        <w:spacing w:after="0" w:line="196" w:lineRule="exact"/>
        <w:rPr>
          <w:sz w:val="20"/>
          <w:szCs w:val="20"/>
          <w:color w:val="auto"/>
        </w:rPr>
      </w:pPr>
    </w:p>
    <w:p>
      <w:pPr>
        <w:ind w:left="660" w:hanging="656"/>
        <w:spacing w:after="0"/>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which is the subject of this election is [number of unvested shares] shares of common stock of Parabilis Medicines, Inc.</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was transferred to the undersigned on [date of purchase/transfer].</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is subject to the following restrictions:</w:t>
      </w:r>
    </w:p>
    <w:p>
      <w:pPr>
        <w:spacing w:after="0" w:line="17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subject to restrictions on transfer and risk of forfeiture upon termination of service relationship and in certain other events.</w:t>
      </w:r>
    </w:p>
    <w:p>
      <w:pPr>
        <w:spacing w:after="0" w:line="175" w:lineRule="exact"/>
        <w:rPr>
          <w:rFonts w:ascii="Times New Roman" w:cs="Times New Roman" w:eastAsia="Times New Roman" w:hAnsi="Times New Roman"/>
          <w:sz w:val="14"/>
          <w:szCs w:val="14"/>
          <w:color w:val="auto"/>
        </w:rPr>
      </w:pPr>
    </w:p>
    <w:p>
      <w:pPr>
        <w:ind w:left="660" w:right="660" w:hanging="656"/>
        <w:spacing w:after="0" w:line="283" w:lineRule="auto"/>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124"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property transferred, the undersigned paid $[exercise price] per share x [number of unvested shares] shares = $_________________.</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include in gross income is $[amount reported in Item 5 minus the amount reported in Item 6].</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including a check or money order . . .” given in </w:t>
      </w:r>
      <w:r>
        <w:rPr>
          <w:rFonts w:ascii="Times New Roman" w:cs="Times New Roman" w:eastAsia="Times New Roman" w:hAnsi="Times New Roman"/>
          <w:sz w:val="14"/>
          <w:szCs w:val="14"/>
          <w:i w:val="1"/>
          <w:iCs w:val="1"/>
          <w:color w:val="auto"/>
        </w:rPr>
        <w:t>Where Do You File</w:t>
      </w:r>
      <w:r>
        <w:rPr>
          <w:rFonts w:ascii="Times New Roman" w:cs="Times New Roman" w:eastAsia="Times New Roman" w:hAnsi="Times New Roman"/>
          <w:sz w:val="14"/>
          <w:szCs w:val="14"/>
          <w:color w:val="auto"/>
        </w:rPr>
        <w:t xml:space="preserve"> in the Instructions for Form 1040 and the Instructions for Form 1040A (which information can also be found at: Where to file paper tax returns with or without a payment | Internal Revenue Service). A copy of the election will also be furnished to the person for whom the services were performed. The undersigned is the person performing services in connection with which the property was transferred.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13970</wp:posOffset>
            </wp:positionV>
            <wp:extent cx="3578225"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578225" cy="6985"/>
                    </a:xfrm>
                    <a:prstGeom prst="rect">
                      <a:avLst/>
                    </a:prstGeom>
                    <a:noFill/>
                  </pic:spPr>
                </pic:pic>
              </a:graphicData>
            </a:graphic>
          </wp:anchor>
        </w:drawing>
      </w:r>
    </w:p>
    <w:p>
      <w:pPr>
        <w:spacing w:after="0" w:line="7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color w:val="auto"/>
        </w:rPr>
        <w:t>Taxpayer</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420" w:name="page421"/>
    <w:bookmarkEnd w:id="420"/>
    <w:p>
      <w:pPr>
        <w:ind w:left="4320"/>
        <w:spacing w:after="0"/>
        <w:rPr>
          <w:sz w:val="20"/>
          <w:szCs w:val="20"/>
          <w:color w:val="auto"/>
        </w:rPr>
      </w:pPr>
      <w:r>
        <w:rPr>
          <w:rFonts w:ascii="Times New Roman" w:cs="Times New Roman" w:eastAsia="Times New Roman" w:hAnsi="Times New Roman"/>
          <w:sz w:val="14"/>
          <w:szCs w:val="14"/>
          <w:b w:val="1"/>
          <w:bCs w:val="1"/>
          <w:color w:val="auto"/>
        </w:rPr>
        <w:t>RESTRICTED STOCK AWARD NOTICE</w:t>
      </w:r>
    </w:p>
    <w:p>
      <w:pPr>
        <w:spacing w:after="0" w:line="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color w:val="auto"/>
        </w:rPr>
        <w:t>Pursuant to the Parabilis Medicines, Inc. 2026 Stock Option and Grant Plan (the “Plan”), Parabilis Medicines,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Times New Roman" w:cs="Times New Roman" w:eastAsia="Times New Roman" w:hAnsi="Times New Roman"/>
          <w:sz w:val="14"/>
          <w:szCs w:val="14"/>
          <w:b w:val="1"/>
          <w:bCs w:val="1"/>
          <w:color w:val="auto"/>
        </w:rPr>
        <w:t>[_______]</w:t>
      </w:r>
      <w:r>
        <w:rPr>
          <w:rFonts w:ascii="Times New Roman" w:cs="Times New Roman" w:eastAsia="Times New Roman" w:hAnsi="Times New Roman"/>
          <w:sz w:val="14"/>
          <w:szCs w:val="14"/>
          <w:color w:val="auto"/>
        </w:rPr>
        <w:t xml:space="preserve"> in full payment for the Shares. All references to share prices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ectPr>
          <w:pgSz w:w="11900" w:h="16838" w:orient="portrait"/>
          <w:cols w:equalWidth="0" w:num="1">
            <w:col w:w="11280"/>
          </w:cols>
          <w:pgMar w:left="300" w:top="795" w:right="319" w:bottom="1440" w:gutter="0" w:footer="0" w:header="0"/>
        </w:sect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of Grantee: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 (the “Grantee”)</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No.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_________ Shares of Common Stock (the “Shares”)</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____________ __, ____</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Date of Purchase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____________ __, ____</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____________ __, ____ (the “Vesting Commencement Date”)</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Per Share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 (the “Per Share Purchase Price”)</w:t>
      </w:r>
    </w:p>
    <w:p>
      <w:pPr>
        <w:spacing w:after="0" w:line="113"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Vesting Schedule: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4"/>
          <w:szCs w:val="14"/>
          <w:color w:val="auto"/>
        </w:rPr>
        <w:t xml:space="preserve">[25] percent of the Shares shall vest on the [first] anniversary of the Vesting Commencement Date; provided that the Grantee continues to have a Service Relationship with the Company at such time. Thereafter, the remaining [75] percent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 of the Plan </w:t>
      </w:r>
      <w:r>
        <w:rPr>
          <w:rFonts w:ascii="Times New Roman" w:cs="Times New Roman" w:eastAsia="Times New Roman" w:hAnsi="Times New Roman"/>
          <w:sz w:val="14"/>
          <w:szCs w:val="14"/>
          <w:b w:val="1"/>
          <w:bCs w:val="1"/>
          <w:color w:val="auto"/>
        </w:rPr>
        <w:t>[provided; however INSERT ANY ACCELERATED VESTING PROVISION HERE]</w:t>
      </w:r>
      <w:r>
        <w:rPr>
          <w:rFonts w:ascii="Times New Roman" w:cs="Times New Roman" w:eastAsia="Times New Roman" w:hAnsi="Times New Roman"/>
          <w:sz w:val="9"/>
          <w:szCs w:val="9"/>
          <w:color w:val="auto"/>
        </w:rPr>
        <w:t>.</w:t>
      </w:r>
    </w:p>
    <w:p>
      <w:pPr>
        <w:spacing w:after="0" w:line="165" w:lineRule="exact"/>
        <w:rPr>
          <w:sz w:val="20"/>
          <w:szCs w:val="20"/>
          <w:color w:val="auto"/>
        </w:rPr>
      </w:pPr>
    </w:p>
    <w:p>
      <w:pPr>
        <w:sectPr>
          <w:pgSz w:w="11900" w:h="16838" w:orient="portrait"/>
          <w:cols w:equalWidth="0" w:num="2">
            <w:col w:w="2120" w:space="720"/>
            <w:col w:w="8440"/>
          </w:cols>
          <w:pgMar w:left="300" w:top="79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Attachments: Restricted Stock Agreement, 2026 Stock Option and Grant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488315</wp:posOffset>
            </wp:positionV>
            <wp:extent cx="7188200"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type w:val="continuous"/>
        </w:sectPr>
      </w:pPr>
    </w:p>
    <w:bookmarkStart w:id="421" w:name="page422"/>
    <w:bookmarkEnd w:id="42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RESTRICTED STOCK AGREEMENT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UNDER THE PARABILIS MEDICINES,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2026 STOCK OPTION AND GRANT PLAN</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capitalized terms used herein and not otherwise defined shall have the respective meanings set forth in the Award Notice and the Plan.</w:t>
      </w:r>
    </w:p>
    <w:p>
      <w:pPr>
        <w:spacing w:after="0" w:line="175" w:lineRule="exact"/>
        <w:rPr>
          <w:sz w:val="20"/>
          <w:szCs w:val="20"/>
          <w:color w:val="auto"/>
        </w:rPr>
      </w:pPr>
    </w:p>
    <w:p>
      <w:pPr>
        <w:ind w:left="660" w:hanging="145"/>
        <w:spacing w:after="0"/>
        <w:tabs>
          <w:tab w:leader="none" w:pos="660"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 of Shares; Vesting; Investment Representations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40" w:firstLine="1155"/>
        <w:spacing w:after="0" w:line="283" w:lineRule="auto"/>
        <w:tabs>
          <w:tab w:leader="none" w:pos="1341"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w:t>
      </w:r>
      <w:r>
        <w:rPr>
          <w:rFonts w:ascii="Times New Roman" w:cs="Times New Roman" w:eastAsia="Times New Roman" w:hAnsi="Times New Roman"/>
          <w:sz w:val="14"/>
          <w:szCs w:val="14"/>
          <w:color w:val="auto"/>
        </w:rPr>
        <w:t>. The Company hereby sells to the Grantee, and the Grantee hereby purchases from the Company, the number of Shares set forth in the Award Notice for the Per Share Purchase Price.</w:t>
      </w:r>
    </w:p>
    <w:p>
      <w:pPr>
        <w:spacing w:after="0" w:line="124" w:lineRule="exact"/>
        <w:rPr>
          <w:rFonts w:ascii="Times New Roman" w:cs="Times New Roman" w:eastAsia="Times New Roman" w:hAnsi="Times New Roman"/>
          <w:sz w:val="14"/>
          <w:szCs w:val="14"/>
          <w:color w:val="auto"/>
        </w:rPr>
      </w:pPr>
    </w:p>
    <w:p>
      <w:pPr>
        <w:ind w:right="140" w:firstLine="1155"/>
        <w:spacing w:after="0" w:line="283" w:lineRule="auto"/>
        <w:tabs>
          <w:tab w:leader="none" w:pos="1349"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24"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Representations</w:t>
      </w:r>
      <w:r>
        <w:rPr>
          <w:rFonts w:ascii="Times New Roman" w:cs="Times New Roman" w:eastAsia="Times New Roman" w:hAnsi="Times New Roman"/>
          <w:sz w:val="14"/>
          <w:szCs w:val="14"/>
          <w:color w:val="auto"/>
        </w:rPr>
        <w:t>. In connection with the purchase and sale of the Shares contemplated by Section 1(a) above, the Grantee hereby represents and warrants to the</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as follows:</w:t>
      </w:r>
    </w:p>
    <w:p>
      <w:pPr>
        <w:spacing w:after="0" w:line="160"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is purchasing the Shares for the Grantee’s own account for investment only, and not for resale or with a view to the distribution thereof.</w:t>
      </w:r>
    </w:p>
    <w:p>
      <w:pPr>
        <w:spacing w:after="0" w:line="175" w:lineRule="exact"/>
        <w:rPr>
          <w:rFonts w:ascii="Times New Roman" w:cs="Times New Roman" w:eastAsia="Times New Roman" w:hAnsi="Times New Roman"/>
          <w:sz w:val="14"/>
          <w:szCs w:val="14"/>
          <w:color w:val="auto"/>
        </w:rPr>
      </w:pPr>
    </w:p>
    <w:p>
      <w:pPr>
        <w:ind w:left="520" w:right="320" w:firstLine="1146"/>
        <w:spacing w:after="0" w:line="283" w:lineRule="auto"/>
        <w:tabs>
          <w:tab w:leader="none" w:pos="1877"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124" w:lineRule="exact"/>
        <w:rPr>
          <w:rFonts w:ascii="Times New Roman" w:cs="Times New Roman" w:eastAsia="Times New Roman" w:hAnsi="Times New Roman"/>
          <w:sz w:val="14"/>
          <w:szCs w:val="14"/>
          <w:color w:val="auto"/>
        </w:rPr>
      </w:pPr>
    </w:p>
    <w:p>
      <w:pPr>
        <w:ind w:left="520" w:firstLine="1146"/>
        <w:spacing w:after="0" w:line="283" w:lineRule="auto"/>
        <w:tabs>
          <w:tab w:leader="none" w:pos="1916"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124" w:lineRule="exact"/>
        <w:rPr>
          <w:rFonts w:ascii="Times New Roman" w:cs="Times New Roman" w:eastAsia="Times New Roman" w:hAnsi="Times New Roman"/>
          <w:sz w:val="14"/>
          <w:szCs w:val="14"/>
          <w:color w:val="auto"/>
        </w:rPr>
      </w:pPr>
    </w:p>
    <w:p>
      <w:pPr>
        <w:ind w:left="1900" w:hanging="234"/>
        <w:spacing w:after="0"/>
        <w:tabs>
          <w:tab w:leader="none" w:pos="1900"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can afford a complete loss of the value of the Shares and is able to bear the economic risk of holding such Shares for an indefinite period.</w:t>
      </w:r>
    </w:p>
    <w:p>
      <w:pPr>
        <w:spacing w:after="0" w:line="175" w:lineRule="exact"/>
        <w:rPr>
          <w:rFonts w:ascii="Times New Roman" w:cs="Times New Roman" w:eastAsia="Times New Roman" w:hAnsi="Times New Roman"/>
          <w:sz w:val="14"/>
          <w:szCs w:val="14"/>
          <w:color w:val="auto"/>
        </w:rPr>
      </w:pPr>
    </w:p>
    <w:p>
      <w:pPr>
        <w:jc w:val="both"/>
        <w:ind w:left="520" w:right="180" w:firstLine="1146"/>
        <w:spacing w:after="0" w:line="287" w:lineRule="auto"/>
        <w:tabs>
          <w:tab w:leader="none" w:pos="1869" w:val="left"/>
        </w:tabs>
        <w:numPr>
          <w:ilvl w:val="2"/>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125" w:lineRule="exact"/>
        <w:rPr>
          <w:rFonts w:ascii="Times New Roman" w:cs="Times New Roman" w:eastAsia="Times New Roman" w:hAnsi="Times New Roman"/>
          <w:sz w:val="13"/>
          <w:szCs w:val="13"/>
          <w:color w:val="auto"/>
        </w:rPr>
      </w:pPr>
    </w:p>
    <w:p>
      <w:pPr>
        <w:ind w:left="520" w:right="260" w:firstLine="1146"/>
        <w:spacing w:after="0" w:line="283" w:lineRule="auto"/>
        <w:tabs>
          <w:tab w:leader="none" w:pos="1908"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has read and understands the Plan and acknowledges and agrees that the Shares are subject to all of the relevant terms of the Plan, including without limitation, the transfer restrictions set forth in Section 9 of the Plan.</w:t>
      </w:r>
    </w:p>
    <w:p>
      <w:pPr>
        <w:spacing w:after="0" w:line="124" w:lineRule="exact"/>
        <w:rPr>
          <w:rFonts w:ascii="Times New Roman" w:cs="Times New Roman" w:eastAsia="Times New Roman" w:hAnsi="Times New Roman"/>
          <w:sz w:val="14"/>
          <w:szCs w:val="14"/>
          <w:color w:val="auto"/>
        </w:rPr>
      </w:pPr>
    </w:p>
    <w:p>
      <w:pPr>
        <w:ind w:left="1940" w:hanging="274"/>
        <w:spacing w:after="0"/>
        <w:tabs>
          <w:tab w:leader="none" w:pos="1940"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understands and agrees that the Company has a right of first refusal with respect to the Shares pursuant to Section 9(b) of the Plan.</w:t>
      </w:r>
    </w:p>
    <w:p>
      <w:pPr>
        <w:spacing w:after="0" w:line="175" w:lineRule="exact"/>
        <w:rPr>
          <w:rFonts w:ascii="Times New Roman" w:cs="Times New Roman" w:eastAsia="Times New Roman" w:hAnsi="Times New Roman"/>
          <w:sz w:val="14"/>
          <w:szCs w:val="14"/>
          <w:color w:val="auto"/>
        </w:rPr>
      </w:pPr>
    </w:p>
    <w:p>
      <w:pPr>
        <w:ind w:left="1980" w:hanging="314"/>
        <w:spacing w:after="0"/>
        <w:tabs>
          <w:tab w:leader="none" w:pos="1980"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understands and agree that the Company has certain repurchase rights with respect to the Shares pursuant to Section 9(c) of the Plan.</w:t>
      </w:r>
    </w:p>
    <w:p>
      <w:pPr>
        <w:spacing w:after="0" w:line="175" w:lineRule="exact"/>
        <w:rPr>
          <w:rFonts w:ascii="Times New Roman" w:cs="Times New Roman" w:eastAsia="Times New Roman" w:hAnsi="Times New Roman"/>
          <w:sz w:val="14"/>
          <w:szCs w:val="14"/>
          <w:color w:val="auto"/>
        </w:rPr>
      </w:pPr>
    </w:p>
    <w:p>
      <w:pPr>
        <w:ind w:left="520" w:right="100" w:firstLine="1146"/>
        <w:spacing w:after="0" w:line="283" w:lineRule="auto"/>
        <w:tabs>
          <w:tab w:leader="none" w:pos="1908"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24" w:lineRule="exact"/>
        <w:rPr>
          <w:rFonts w:ascii="Times New Roman" w:cs="Times New Roman" w:eastAsia="Times New Roman" w:hAnsi="Times New Roman"/>
          <w:sz w:val="14"/>
          <w:szCs w:val="14"/>
          <w:color w:val="auto"/>
        </w:rPr>
      </w:pPr>
    </w:p>
    <w:p>
      <w:pPr>
        <w:ind w:right="100" w:firstLine="515"/>
        <w:spacing w:after="0" w:line="283" w:lineRule="auto"/>
        <w:tabs>
          <w:tab w:leader="none" w:pos="651"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Right</w:t>
      </w:r>
      <w:r>
        <w:rPr>
          <w:rFonts w:ascii="Times New Roman" w:cs="Times New Roman" w:eastAsia="Times New Roman" w:hAnsi="Times New Roman"/>
          <w:sz w:val="14"/>
          <w:szCs w:val="14"/>
          <w:color w:val="auto"/>
        </w:rPr>
        <w:t>. Upon a Termination Event, the Company shall have the right to repurchase Shares of Restricted Stock that are unvested as of the date of such Termination Event as set forth in Section 9(c) of the Plan.</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817" w:right="399" w:bottom="1440" w:gutter="0" w:footer="0" w:header="0"/>
        </w:sectPr>
      </w:pPr>
    </w:p>
    <w:bookmarkStart w:id="422" w:name="page423"/>
    <w:bookmarkEnd w:id="422"/>
    <w:p>
      <w:pPr>
        <w:ind w:left="-40" w:right="380" w:firstLine="515"/>
        <w:spacing w:after="0" w:line="283" w:lineRule="auto"/>
        <w:tabs>
          <w:tab w:leader="none" w:pos="611"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of Shares</w:t>
      </w:r>
      <w:r>
        <w:rPr>
          <w:rFonts w:ascii="Times New Roman" w:cs="Times New Roman" w:eastAsia="Times New Roman" w:hAnsi="Times New Roman"/>
          <w:sz w:val="14"/>
          <w:szCs w:val="14"/>
          <w:color w:val="auto"/>
        </w:rPr>
        <w:t>. The Shares (whether or not vested) shall be subject to certain transfer restrictions and other limitations including, without limitation, the provisions contained in Section 9 of the Plan</w:t>
      </w:r>
    </w:p>
    <w:p>
      <w:pPr>
        <w:spacing w:after="0" w:line="124" w:lineRule="exact"/>
        <w:rPr>
          <w:rFonts w:ascii="Times New Roman" w:cs="Times New Roman" w:eastAsia="Times New Roman" w:hAnsi="Times New Roman"/>
          <w:sz w:val="14"/>
          <w:szCs w:val="14"/>
          <w:color w:val="auto"/>
        </w:rPr>
      </w:pPr>
    </w:p>
    <w:p>
      <w:pPr>
        <w:ind w:left="620" w:hanging="145"/>
        <w:spacing w:after="0"/>
        <w:tabs>
          <w:tab w:leader="none" w:pos="62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Plan</w:t>
      </w:r>
      <w:r>
        <w:rPr>
          <w:rFonts w:ascii="Times New Roman" w:cs="Times New Roman" w:eastAsia="Times New Roman" w:hAnsi="Times New Roman"/>
          <w:sz w:val="14"/>
          <w:szCs w:val="14"/>
          <w:color w:val="auto"/>
        </w:rPr>
        <w:t>. Notwithstanding anything herein to the contrary, this Restricted Stock Award shall be subject to and governed by all the terms and conditions of the Plan.</w:t>
      </w:r>
    </w:p>
    <w:p>
      <w:pPr>
        <w:spacing w:after="0" w:line="175" w:lineRule="exact"/>
        <w:rPr>
          <w:rFonts w:ascii="Times New Roman" w:cs="Times New Roman" w:eastAsia="Times New Roman" w:hAnsi="Times New Roman"/>
          <w:sz w:val="14"/>
          <w:szCs w:val="14"/>
          <w:color w:val="auto"/>
        </w:rPr>
      </w:pPr>
    </w:p>
    <w:p>
      <w:pPr>
        <w:ind w:left="620" w:hanging="145"/>
        <w:spacing w:after="0"/>
        <w:tabs>
          <w:tab w:leader="none" w:pos="62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40" w:right="100" w:firstLine="1155"/>
        <w:spacing w:after="0" w:line="267" w:lineRule="auto"/>
        <w:tabs>
          <w:tab w:leader="none" w:pos="1301"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Record Owner; Dividends</w:t>
      </w:r>
      <w:r>
        <w:rPr>
          <w:rFonts w:ascii="Times New Roman" w:cs="Times New Roman" w:eastAsia="Times New Roman" w:hAnsi="Times New Roman"/>
          <w:sz w:val="14"/>
          <w:szCs w:val="14"/>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is under no duty to declare any such dividends or to make any such distribution.</w:t>
      </w:r>
    </w:p>
    <w:p>
      <w:pPr>
        <w:spacing w:after="0" w:line="135" w:lineRule="exact"/>
        <w:rPr>
          <w:rFonts w:ascii="Times New Roman" w:cs="Times New Roman" w:eastAsia="Times New Roman" w:hAnsi="Times New Roman"/>
          <w:sz w:val="14"/>
          <w:szCs w:val="14"/>
          <w:color w:val="auto"/>
        </w:rPr>
      </w:pPr>
    </w:p>
    <w:p>
      <w:pPr>
        <w:ind w:left="-40" w:right="20" w:firstLine="1155"/>
        <w:spacing w:after="0" w:line="261" w:lineRule="auto"/>
        <w:tabs>
          <w:tab w:leader="none" w:pos="1309"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83(b) Election</w:t>
      </w:r>
      <w:r>
        <w:rPr>
          <w:rFonts w:ascii="Times New Roman" w:cs="Times New Roman" w:eastAsia="Times New Roman" w:hAnsi="Times New Roman"/>
          <w:sz w:val="14"/>
          <w:szCs w:val="14"/>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A sample Section 83(b) election is attached to this Agreement as Exhibit A.</w:t>
      </w:r>
    </w:p>
    <w:p>
      <w:pPr>
        <w:spacing w:after="0" w:line="140" w:lineRule="exact"/>
        <w:rPr>
          <w:rFonts w:ascii="Times New Roman" w:cs="Times New Roman" w:eastAsia="Times New Roman" w:hAnsi="Times New Roman"/>
          <w:sz w:val="14"/>
          <w:szCs w:val="14"/>
          <w:color w:val="auto"/>
        </w:rPr>
      </w:pPr>
    </w:p>
    <w:p>
      <w:pPr>
        <w:ind w:left="-40" w:right="300" w:firstLine="1155"/>
        <w:spacing w:after="0" w:line="283" w:lineRule="auto"/>
        <w:tabs>
          <w:tab w:leader="none" w:pos="1301"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Equitable Relief</w:t>
      </w:r>
      <w:r>
        <w:rPr>
          <w:rFonts w:ascii="Times New Roman" w:cs="Times New Roman" w:eastAsia="Times New Roman" w:hAnsi="Times New Roman"/>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24" w:lineRule="exact"/>
        <w:rPr>
          <w:rFonts w:ascii="Times New Roman" w:cs="Times New Roman" w:eastAsia="Times New Roman" w:hAnsi="Times New Roman"/>
          <w:sz w:val="14"/>
          <w:szCs w:val="14"/>
          <w:color w:val="auto"/>
        </w:rPr>
      </w:pPr>
    </w:p>
    <w:p>
      <w:pPr>
        <w:ind w:left="-40" w:right="100" w:firstLine="1155"/>
        <w:spacing w:after="0" w:line="283" w:lineRule="auto"/>
        <w:tabs>
          <w:tab w:leader="none" w:pos="1309"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and Modifications</w:t>
      </w:r>
      <w:r>
        <w:rPr>
          <w:rFonts w:ascii="Times New Roman" w:cs="Times New Roman" w:eastAsia="Times New Roman" w:hAnsi="Times New Roman"/>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24" w:lineRule="exact"/>
        <w:rPr>
          <w:rFonts w:ascii="Times New Roman" w:cs="Times New Roman" w:eastAsia="Times New Roman" w:hAnsi="Times New Roman"/>
          <w:sz w:val="14"/>
          <w:szCs w:val="14"/>
          <w:color w:val="auto"/>
        </w:rPr>
      </w:pPr>
    </w:p>
    <w:p>
      <w:pPr>
        <w:ind w:left="-40" w:right="80" w:firstLine="1155"/>
        <w:spacing w:after="0" w:line="267" w:lineRule="auto"/>
        <w:tabs>
          <w:tab w:leader="none" w:pos="1301"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35" w:lineRule="exact"/>
        <w:rPr>
          <w:rFonts w:ascii="Times New Roman" w:cs="Times New Roman" w:eastAsia="Times New Roman" w:hAnsi="Times New Roman"/>
          <w:sz w:val="14"/>
          <w:szCs w:val="14"/>
          <w:color w:val="auto"/>
        </w:rPr>
      </w:pPr>
    </w:p>
    <w:p>
      <w:pPr>
        <w:ind w:left="-40" w:firstLine="1155"/>
        <w:spacing w:after="0" w:line="283" w:lineRule="auto"/>
        <w:tabs>
          <w:tab w:leader="none" w:pos="1285"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24" w:lineRule="exact"/>
        <w:rPr>
          <w:rFonts w:ascii="Times New Roman" w:cs="Times New Roman" w:eastAsia="Times New Roman" w:hAnsi="Times New Roman"/>
          <w:sz w:val="14"/>
          <w:szCs w:val="14"/>
          <w:color w:val="auto"/>
        </w:rPr>
      </w:pPr>
    </w:p>
    <w:p>
      <w:pPr>
        <w:ind w:left="-40" w:right="760" w:firstLine="1155"/>
        <w:spacing w:after="0" w:line="283" w:lineRule="auto"/>
        <w:tabs>
          <w:tab w:leader="none" w:pos="1309"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 Clause</w:t>
      </w:r>
      <w:r>
        <w:rPr>
          <w:rFonts w:ascii="Times New Roman" w:cs="Times New Roman" w:eastAsia="Times New Roman" w:hAnsi="Times New Roman"/>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24" w:lineRule="exact"/>
        <w:rPr>
          <w:rFonts w:ascii="Times New Roman" w:cs="Times New Roman" w:eastAsia="Times New Roman" w:hAnsi="Times New Roman"/>
          <w:sz w:val="14"/>
          <w:szCs w:val="14"/>
          <w:color w:val="auto"/>
        </w:rPr>
      </w:pPr>
    </w:p>
    <w:p>
      <w:pPr>
        <w:ind w:left="-40" w:right="160" w:firstLine="1155"/>
        <w:spacing w:after="0" w:line="267" w:lineRule="auto"/>
        <w:tabs>
          <w:tab w:leader="none" w:pos="1309"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35" w:lineRule="exact"/>
        <w:rPr>
          <w:rFonts w:ascii="Times New Roman" w:cs="Times New Roman" w:eastAsia="Times New Roman" w:hAnsi="Times New Roman"/>
          <w:sz w:val="14"/>
          <w:szCs w:val="14"/>
          <w:color w:val="auto"/>
        </w:rPr>
      </w:pPr>
    </w:p>
    <w:p>
      <w:pPr>
        <w:jc w:val="both"/>
        <w:ind w:left="-40" w:right="800" w:firstLine="1155"/>
        <w:spacing w:after="0" w:line="283" w:lineRule="auto"/>
        <w:tabs>
          <w:tab w:leader="none" w:pos="1278"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and Binding Effect</w:t>
      </w:r>
      <w:r>
        <w:rPr>
          <w:rFonts w:ascii="Times New Roman" w:cs="Times New Roman" w:eastAsia="Times New Roman" w:hAnsi="Times New Roman"/>
          <w:sz w:val="14"/>
          <w:szCs w:val="14"/>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24" w:lineRule="exact"/>
        <w:rPr>
          <w:rFonts w:ascii="Times New Roman" w:cs="Times New Roman" w:eastAsia="Times New Roman" w:hAnsi="Times New Roman"/>
          <w:sz w:val="14"/>
          <w:szCs w:val="14"/>
          <w:color w:val="auto"/>
        </w:rPr>
      </w:pPr>
    </w:p>
    <w:p>
      <w:pPr>
        <w:ind w:left="-40" w:right="300" w:firstLine="1155"/>
        <w:spacing w:after="0" w:line="283" w:lineRule="auto"/>
        <w:tabs>
          <w:tab w:leader="none" w:pos="1278"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24" w:lineRule="exact"/>
        <w:rPr>
          <w:rFonts w:ascii="Times New Roman" w:cs="Times New Roman" w:eastAsia="Times New Roman" w:hAnsi="Times New Roman"/>
          <w:sz w:val="14"/>
          <w:szCs w:val="14"/>
          <w:color w:val="auto"/>
        </w:rPr>
      </w:pPr>
    </w:p>
    <w:p>
      <w:pPr>
        <w:ind w:left="-40" w:right="220" w:firstLine="1155"/>
        <w:spacing w:after="0" w:line="283" w:lineRule="auto"/>
        <w:tabs>
          <w:tab w:leader="none" w:pos="1309"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Agreement constitutes the entire agreement between the parties with respect to this Award and supersedes all prior agreements and discussions between the parties concerning such subject matter.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375285</wp:posOffset>
            </wp:positionV>
            <wp:extent cx="7188200"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40" w:top="987" w:right="339" w:bottom="1440" w:gutter="0" w:footer="0" w:header="0"/>
        </w:sectPr>
      </w:pPr>
    </w:p>
    <w:bookmarkStart w:id="423" w:name="page424"/>
    <w:bookmarkEnd w:id="423"/>
    <w:p>
      <w:pPr>
        <w:ind w:left="1300" w:hanging="138"/>
        <w:spacing w:after="0"/>
        <w:tabs>
          <w:tab w:leader="none" w:pos="1300"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100" w:firstLine="1162"/>
        <w:spacing w:after="0" w:line="261" w:lineRule="auto"/>
        <w:tabs>
          <w:tab w:leader="none" w:pos="1349"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Suffolk County, Massachusetts.</w:t>
      </w:r>
    </w:p>
    <w:p>
      <w:pPr>
        <w:spacing w:after="0" w:line="140" w:lineRule="exact"/>
        <w:rPr>
          <w:rFonts w:ascii="Times New Roman" w:cs="Times New Roman" w:eastAsia="Times New Roman" w:hAnsi="Times New Roman"/>
          <w:sz w:val="14"/>
          <w:szCs w:val="14"/>
          <w:color w:val="auto"/>
        </w:rPr>
      </w:pPr>
    </w:p>
    <w:p>
      <w:pPr>
        <w:ind w:right="20" w:firstLine="1155"/>
        <w:spacing w:after="0" w:line="255" w:lineRule="auto"/>
        <w:tabs>
          <w:tab w:leader="none" w:pos="1349"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45" w:lineRule="exact"/>
        <w:rPr>
          <w:rFonts w:ascii="Times New Roman" w:cs="Times New Roman" w:eastAsia="Times New Roman" w:hAnsi="Times New Roman"/>
          <w:sz w:val="14"/>
          <w:szCs w:val="14"/>
          <w:color w:val="auto"/>
        </w:rPr>
      </w:pPr>
    </w:p>
    <w:p>
      <w:pPr>
        <w:ind w:firstLine="1155"/>
        <w:spacing w:after="0" w:line="267" w:lineRule="auto"/>
        <w:tabs>
          <w:tab w:leader="none" w:pos="1341"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35" w:lineRule="exact"/>
        <w:rPr>
          <w:rFonts w:ascii="Times New Roman" w:cs="Times New Roman" w:eastAsia="Times New Roman" w:hAnsi="Times New Roman"/>
          <w:sz w:val="14"/>
          <w:szCs w:val="14"/>
          <w:color w:val="auto"/>
        </w:rPr>
      </w:pPr>
    </w:p>
    <w:p>
      <w:pPr>
        <w:ind w:right="60" w:firstLine="1155"/>
        <w:spacing w:after="0" w:line="255" w:lineRule="auto"/>
        <w:tabs>
          <w:tab w:leader="none" w:pos="1349"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5" w:lineRule="exact"/>
        <w:rPr>
          <w:rFonts w:ascii="Times New Roman" w:cs="Times New Roman" w:eastAsia="Times New Roman" w:hAnsi="Times New Roman"/>
          <w:sz w:val="14"/>
          <w:szCs w:val="14"/>
          <w:color w:val="auto"/>
        </w:rPr>
      </w:pPr>
    </w:p>
    <w:p>
      <w:pPr>
        <w:ind w:right="20" w:firstLine="515"/>
        <w:spacing w:after="0" w:line="254" w:lineRule="auto"/>
        <w:tabs>
          <w:tab w:leader="none" w:pos="651"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24" w:name="page425"/>
    <w:bookmarkEnd w:id="424"/>
    <w:p>
      <w:pPr>
        <w:ind w:left="520"/>
        <w:spacing w:after="0"/>
        <w:rPr>
          <w:sz w:val="20"/>
          <w:szCs w:val="20"/>
          <w:color w:val="auto"/>
        </w:rPr>
      </w:pPr>
      <w:r>
        <w:rPr>
          <w:rFonts w:ascii="Times New Roman" w:cs="Times New Roman" w:eastAsia="Times New Roman" w:hAnsi="Times New Roman"/>
          <w:sz w:val="14"/>
          <w:szCs w:val="14"/>
          <w:color w:val="auto"/>
        </w:rPr>
        <w:t>The foregoing Restricted Stock Agreement is hereby accepted and the terms and conditions thereof are hereby agreed to by the undersigned as of the date of purchase of Shares above written.</w:t>
      </w:r>
    </w:p>
    <w:p>
      <w:pPr>
        <w:spacing w:after="0" w:line="3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PARABILIS MEDICINES, INC.</w:t>
      </w:r>
    </w:p>
    <w:p>
      <w:pPr>
        <w:spacing w:after="0" w:line="1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227330</wp:posOffset>
            </wp:positionV>
            <wp:extent cx="286385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447675</wp:posOffset>
            </wp:positionV>
            <wp:extent cx="2863850"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668020</wp:posOffset>
            </wp:positionV>
            <wp:extent cx="2863850"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1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267335</wp:posOffset>
            </wp:positionV>
            <wp:extent cx="2863850"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527685</wp:posOffset>
            </wp:positionV>
            <wp:extent cx="286385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863850"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768350</wp:posOffset>
            </wp:positionV>
            <wp:extent cx="2863850"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863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818" w:right="37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4"/>
          <w:szCs w:val="14"/>
          <w:color w:val="auto"/>
        </w:rPr>
        <w:t>[SPOUSE’S CONSENT</w:t>
      </w:r>
      <w:r>
        <w:rPr>
          <w:rFonts w:ascii="Times New Roman" w:cs="Times New Roman" w:eastAsia="Times New Roman" w:hAnsi="Times New Roman"/>
          <w:sz w:val="18"/>
          <w:szCs w:val="18"/>
          <w:color w:val="auto"/>
          <w:vertAlign w:val="superscript"/>
        </w:rPr>
        <w:t>1</w:t>
      </w:r>
    </w:p>
    <w:p>
      <w:pPr>
        <w:spacing w:after="0"/>
        <w:rPr>
          <w:sz w:val="20"/>
          <w:szCs w:val="20"/>
          <w:color w:val="auto"/>
        </w:rPr>
      </w:pPr>
      <w:r>
        <w:rPr>
          <w:rFonts w:ascii="Times New Roman" w:cs="Times New Roman" w:eastAsia="Times New Roman" w:hAnsi="Times New Roman"/>
          <w:sz w:val="14"/>
          <w:szCs w:val="14"/>
          <w:color w:val="auto"/>
        </w:rPr>
        <w:t>I acknowledge that I have read the foregoing Restricted Stock Agreement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understand the contents thereof.</w:t>
      </w:r>
    </w:p>
    <w:p>
      <w:pPr>
        <w:spacing w:after="0" w:line="16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436495"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43649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954405"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954405" cy="6985"/>
                    </a:xfrm>
                    <a:prstGeom prst="rect">
                      <a:avLst/>
                    </a:prstGeom>
                    <a:noFill/>
                  </pic:spPr>
                </pic:pic>
              </a:graphicData>
            </a:graphic>
          </wp:anchor>
        </w:drawing>
      </w:r>
    </w:p>
    <w:p>
      <w:pPr>
        <w:spacing w:after="0" w:line="155" w:lineRule="exact"/>
        <w:rPr>
          <w:sz w:val="20"/>
          <w:szCs w:val="20"/>
          <w:color w:val="auto"/>
        </w:rPr>
      </w:pPr>
    </w:p>
    <w:p>
      <w:pPr>
        <w:ind w:left="520" w:hanging="516"/>
        <w:spacing w:after="0" w:line="283" w:lineRule="auto"/>
        <w:tabs>
          <w:tab w:leader="none" w:pos="289" w:val="left"/>
        </w:tabs>
        <w:numPr>
          <w:ilvl w:val="0"/>
          <w:numId w:val="358"/>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A spouse’s consent is required only if the Grantee’s state of residence is one of the following community property states: Arizona, California, Idaho, Louisiana, New Mexico, Nevada, Texas, Washington and Wisconsin.</w:t>
      </w:r>
    </w:p>
    <w:p>
      <w:pPr>
        <w:spacing w:after="0" w:line="3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940"/>
          </w:cols>
          <w:pgMar w:left="300" w:top="1132" w:right="659" w:bottom="1440" w:gutter="0" w:footer="0" w:header="0"/>
        </w:sectPr>
      </w:pPr>
    </w:p>
    <w:bookmarkStart w:id="426" w:name="page427"/>
    <w:bookmarkEnd w:id="42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 83(b) Election</w:t>
      </w:r>
    </w:p>
    <w:p>
      <w:pPr>
        <w:spacing w:after="0" w:line="161" w:lineRule="exact"/>
        <w:rPr>
          <w:sz w:val="20"/>
          <w:szCs w:val="20"/>
          <w:color w:val="auto"/>
        </w:rPr>
      </w:pPr>
    </w:p>
    <w:p>
      <w:pPr>
        <w:ind w:right="260" w:firstLine="511"/>
        <w:spacing w:after="0" w:line="283" w:lineRule="auto"/>
        <w:rPr>
          <w:sz w:val="20"/>
          <w:szCs w:val="20"/>
          <w:color w:val="auto"/>
        </w:rPr>
      </w:pPr>
      <w:r>
        <w:rPr>
          <w:rFonts w:ascii="Times New Roman" w:cs="Times New Roman" w:eastAsia="Times New Roman" w:hAnsi="Times New Roman"/>
          <w:sz w:val="14"/>
          <w:szCs w:val="14"/>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93" w:lineRule="exact"/>
        <w:rPr>
          <w:sz w:val="20"/>
          <w:szCs w:val="20"/>
          <w:color w:val="auto"/>
        </w:rPr>
      </w:pPr>
    </w:p>
    <w:p>
      <w:pPr>
        <w:ind w:left="660" w:hanging="656"/>
        <w:spacing w:after="0"/>
        <w:tabs>
          <w:tab w:leader="none" w:pos="660"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taxpayer identification number, address of the undersigned, and the taxable year for which this election is being made are:</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13970</wp:posOffset>
            </wp:positionV>
            <wp:extent cx="1969135"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969135" cy="6985"/>
                    </a:xfrm>
                    <a:prstGeom prst="rect">
                      <a:avLst/>
                    </a:prstGeom>
                    <a:noFill/>
                  </pic:spPr>
                </pic:pic>
              </a:graphicData>
            </a:graphic>
          </wp:anchor>
        </w:drawing>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20320</wp:posOffset>
            </wp:positionV>
            <wp:extent cx="1969135"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969135" cy="6985"/>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154305</wp:posOffset>
            </wp:positionV>
            <wp:extent cx="1969135"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969135" cy="6985"/>
                    </a:xfrm>
                    <a:prstGeom prst="rect">
                      <a:avLst/>
                    </a:prstGeom>
                    <a:noFill/>
                  </pic:spPr>
                </pic:pic>
              </a:graphicData>
            </a:graphic>
          </wp:anchor>
        </w:drawing>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13970</wp:posOffset>
            </wp:positionV>
            <wp:extent cx="1969135"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969135" cy="698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Taxable Year: Calendar Year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13970</wp:posOffset>
            </wp:positionV>
            <wp:extent cx="1969135"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969135" cy="6985"/>
                    </a:xfrm>
                    <a:prstGeom prst="rect">
                      <a:avLst/>
                    </a:prstGeom>
                    <a:noFill/>
                  </pic:spPr>
                </pic:pic>
              </a:graphicData>
            </a:graphic>
          </wp:anchor>
        </w:drawing>
      </w:r>
    </w:p>
    <w:p>
      <w:pPr>
        <w:spacing w:after="0" w:line="187" w:lineRule="exact"/>
        <w:rPr>
          <w:sz w:val="20"/>
          <w:szCs w:val="20"/>
          <w:color w:val="auto"/>
        </w:rPr>
      </w:pPr>
    </w:p>
    <w:p>
      <w:pPr>
        <w:ind w:left="660" w:hanging="656"/>
        <w:spacing w:after="0"/>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which is the subject of this election is [number of unvested shares] shares of common stock of Parabilis Medicines, Inc.</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was transferred to the undersigned on [date of purchase/transfer].</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is subject to the following restrictions:</w:t>
      </w:r>
    </w:p>
    <w:p>
      <w:pPr>
        <w:spacing w:after="0" w:line="17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subject to restrictions on transfer and risk of forfeiture upon termination of service relationship and in certain other events.</w:t>
      </w:r>
    </w:p>
    <w:p>
      <w:pPr>
        <w:spacing w:after="0" w:line="175" w:lineRule="exact"/>
        <w:rPr>
          <w:rFonts w:ascii="Times New Roman" w:cs="Times New Roman" w:eastAsia="Times New Roman" w:hAnsi="Times New Roman"/>
          <w:sz w:val="14"/>
          <w:szCs w:val="14"/>
          <w:color w:val="auto"/>
        </w:rPr>
      </w:pPr>
    </w:p>
    <w:p>
      <w:pPr>
        <w:ind w:left="660" w:right="680" w:hanging="656"/>
        <w:spacing w:after="0" w:line="283" w:lineRule="auto"/>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124"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property transferred, the undersigned paid $[exercise price] per share x [number of unvested shares] shares = $_________________.</w:t>
      </w:r>
    </w:p>
    <w:p>
      <w:pPr>
        <w:spacing w:after="0" w:line="175" w:lineRule="exact"/>
        <w:rPr>
          <w:rFonts w:ascii="Times New Roman" w:cs="Times New Roman" w:eastAsia="Times New Roman" w:hAnsi="Times New Roman"/>
          <w:sz w:val="14"/>
          <w:szCs w:val="14"/>
          <w:color w:val="auto"/>
        </w:rPr>
      </w:pPr>
    </w:p>
    <w:p>
      <w:pPr>
        <w:ind w:left="660" w:hanging="656"/>
        <w:spacing w:after="0"/>
        <w:tabs>
          <w:tab w:leader="none" w:pos="66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include in gross income is $[amount reported in Item 5 minus the amount reported in Item 6].</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including a check or money order . . .” given in </w:t>
      </w:r>
      <w:r>
        <w:rPr>
          <w:rFonts w:ascii="Times New Roman" w:cs="Times New Roman" w:eastAsia="Times New Roman" w:hAnsi="Times New Roman"/>
          <w:sz w:val="14"/>
          <w:szCs w:val="14"/>
          <w:i w:val="1"/>
          <w:iCs w:val="1"/>
          <w:color w:val="auto"/>
        </w:rPr>
        <w:t>Where Do You File</w:t>
      </w:r>
      <w:r>
        <w:rPr>
          <w:rFonts w:ascii="Times New Roman" w:cs="Times New Roman" w:eastAsia="Times New Roman" w:hAnsi="Times New Roman"/>
          <w:sz w:val="14"/>
          <w:szCs w:val="14"/>
          <w:color w:val="auto"/>
        </w:rPr>
        <w:t xml:space="preserve"> in the Instructions for Form 1040 and the Instructions for Form 1040A (which information can also be found at Where to file paper tax returns with or without a payment | Internal Revenue Service). A copy of the election will also be furnished to the person for whom the services were performed. The undersigned is the person performing services in connection with which the property was transferred.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__________________, 20__</w:t>
      </w:r>
    </w:p>
    <w:p>
      <w:pPr>
        <w:spacing w:after="0" w:line="2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-101600</wp:posOffset>
            </wp:positionV>
            <wp:extent cx="3604895"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604895" cy="6985"/>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27" w:name="page428"/>
    <w:bookmarkEnd w:id="427"/>
    <w:p>
      <w:pPr>
        <w:ind w:left="10560"/>
        <w:spacing w:after="0"/>
        <w:rPr>
          <w:sz w:val="20"/>
          <w:szCs w:val="20"/>
          <w:color w:val="auto"/>
        </w:rPr>
      </w:pPr>
      <w:r>
        <w:rPr>
          <w:rFonts w:ascii="Times New Roman" w:cs="Times New Roman" w:eastAsia="Times New Roman" w:hAnsi="Times New Roman"/>
          <w:sz w:val="13"/>
          <w:szCs w:val="13"/>
          <w:b w:val="1"/>
          <w:bCs w:val="1"/>
          <w:color w:val="auto"/>
        </w:rPr>
        <w:t>Exhibit 10.9</w:t>
      </w:r>
    </w:p>
    <w:p>
      <w:pPr>
        <w:spacing w:after="0" w:line="1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4"/>
          <w:szCs w:val="14"/>
          <w:b w:val="1"/>
          <w:bCs w:val="1"/>
          <w:color w:val="auto"/>
        </w:rPr>
        <w:t>CERTAIN CONFIDENTIAL INFORMATION CONTAINED IN THIS DOCUMENT, MARKED BY [***], HAS BEEN OMITTED BECAUSE IT IS NOT MATERIAL AND IS THE TYPE THAT THE REGISTRANT TREATS AS PRIVATE OR CONFIDENTIAL.</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LICENSE AGREEMENT</w:t>
      </w:r>
    </w:p>
    <w:p>
      <w:pPr>
        <w:spacing w:after="0" w:line="183" w:lineRule="exact"/>
        <w:rPr>
          <w:sz w:val="20"/>
          <w:szCs w:val="20"/>
          <w:color w:val="auto"/>
        </w:rPr>
      </w:pPr>
    </w:p>
    <w:p>
      <w:pPr>
        <w:ind w:right="200" w:firstLine="511"/>
        <w:spacing w:after="0" w:line="241" w:lineRule="auto"/>
        <w:rPr>
          <w:sz w:val="20"/>
          <w:szCs w:val="20"/>
          <w:color w:val="auto"/>
        </w:rPr>
      </w:pPr>
      <w:r>
        <w:rPr>
          <w:rFonts w:ascii="Times New Roman" w:cs="Times New Roman" w:eastAsia="Times New Roman" w:hAnsi="Times New Roman"/>
          <w:sz w:val="14"/>
          <w:szCs w:val="14"/>
          <w:color w:val="auto"/>
        </w:rPr>
        <w:t>This License Agreement (this “Agreement”) is entered into as of this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August, 2017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xml:space="preserve">”), by and between </w:t>
      </w:r>
      <w:r>
        <w:rPr>
          <w:rFonts w:ascii="Times New Roman" w:cs="Times New Roman" w:eastAsia="Times New Roman" w:hAnsi="Times New Roman"/>
          <w:sz w:val="14"/>
          <w:szCs w:val="14"/>
          <w:b w:val="1"/>
          <w:bCs w:val="1"/>
          <w:color w:val="auto"/>
        </w:rPr>
        <w:t>FOG Pharmaceuticals, Inc</w:t>
      </w:r>
      <w:r>
        <w:rPr>
          <w:rFonts w:ascii="Times New Roman" w:cs="Times New Roman" w:eastAsia="Times New Roman" w:hAnsi="Times New Roman"/>
          <w:sz w:val="14"/>
          <w:szCs w:val="14"/>
          <w:color w:val="auto"/>
        </w:rPr>
        <w:t>., a corporation existing under the laws Delaware, having a place of business at 100 Acom Park Drive, Sixth Floor, Cambridge, MA 02140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President and Fellows of Harvard College</w:t>
      </w:r>
      <w:r>
        <w:rPr>
          <w:rFonts w:ascii="Times New Roman" w:cs="Times New Roman" w:eastAsia="Times New Roman" w:hAnsi="Times New Roman"/>
          <w:sz w:val="14"/>
          <w:szCs w:val="14"/>
          <w:color w:val="auto"/>
        </w:rPr>
        <w:t>, an educational and charitable corporation existing under the laws and the constitution of the Commonwealth of Massachusetts, having a place of business at Richard A. and Susan F. Smith Campus Center, Suite 727, 1350 Massachusetts Avenue, Cambridge, Massachusetts 02138 (“</w:t>
      </w:r>
      <w:r>
        <w:rPr>
          <w:rFonts w:ascii="Times New Roman" w:cs="Times New Roman" w:eastAsia="Times New Roman" w:hAnsi="Times New Roman"/>
          <w:sz w:val="14"/>
          <w:szCs w:val="14"/>
          <w:b w:val="1"/>
          <w:bCs w:val="1"/>
          <w:color w:val="auto"/>
        </w:rPr>
        <w:t>Harvard</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technology claimed in the Patent Rights (as defined below) was developed in research conducted by Dr. Greg Verdine and other Harvard researchers;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Licensee wishes to obtain a license under the Patent Rights;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desires to have products based on the inventions described in the Patent Rights developed and commercialized to benefit the public;</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such products and/or services may be applicable to the improvement of the health of individuals throughout the world; and</w:t>
      </w:r>
    </w:p>
    <w:p>
      <w:pPr>
        <w:spacing w:after="0" w:line="175" w:lineRule="exact"/>
        <w:rPr>
          <w:sz w:val="20"/>
          <w:szCs w:val="20"/>
          <w:color w:val="auto"/>
        </w:rPr>
      </w:pPr>
    </w:p>
    <w:p>
      <w:pPr>
        <w:ind w:right="2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Licensee has represented to Harvard, in order to induce Harvard to enter into this Agreement, that Licensee shall commit itself to commercially reasonable efforts to develop,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obtain any applicable regulatory approval for and commercialize such products, and thereafter make them available in both Developed Countries and Developing Countries, each as defined below.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parties hereto, intending to be legally bound, hereby agree as follows:</w:t>
      </w:r>
    </w:p>
    <w:p>
      <w:pPr>
        <w:spacing w:after="0" w:line="260" w:lineRule="exact"/>
        <w:rPr>
          <w:sz w:val="20"/>
          <w:szCs w:val="20"/>
          <w:color w:val="auto"/>
        </w:rPr>
      </w:pPr>
    </w:p>
    <w:p>
      <w:pPr>
        <w:ind w:left="280" w:hanging="276"/>
        <w:spacing w:after="0"/>
        <w:tabs>
          <w:tab w:leader="none" w:pos="280" w:val="left"/>
        </w:tabs>
        <w:numPr>
          <w:ilvl w:val="0"/>
          <w:numId w:val="3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93" w:lineRule="exact"/>
        <w:rPr>
          <w:sz w:val="20"/>
          <w:szCs w:val="20"/>
          <w:color w:val="auto"/>
        </w:rPr>
      </w:pPr>
    </w:p>
    <w:p>
      <w:pPr>
        <w:ind w:right="260" w:firstLine="511"/>
        <w:spacing w:after="0" w:line="283" w:lineRule="auto"/>
        <w:rPr>
          <w:sz w:val="20"/>
          <w:szCs w:val="20"/>
          <w:color w:val="auto"/>
        </w:rPr>
      </w:pPr>
      <w:r>
        <w:rPr>
          <w:rFonts w:ascii="Times New Roman" w:cs="Times New Roman" w:eastAsia="Times New Roman" w:hAnsi="Times New Roman"/>
          <w:sz w:val="14"/>
          <w:szCs w:val="14"/>
          <w:color w:val="auto"/>
        </w:rPr>
        <w:t>As used in this Agreement, the terms with initial letters capitalized, whether used in the singular or plural form, shall have the meanings set forth in this Article 1 or, if not listed below, the meaning designated in places throughout this Agreement.</w:t>
      </w:r>
    </w:p>
    <w:p>
      <w:pPr>
        <w:spacing w:after="0" w:line="123"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with respect to a person, organization or entity, any person, organization or entity controlling, controlled by or under common control with, such person, organization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 or more of the outstanding voting stock or other ownership interest of the other organization or entity or (b) possesses, directly or indirectly, the power to elect or appoint [***] or more of the members of the governing body of the other organization or entity. The parties acknowledge that in the case of certain entities organized under the laws of certain countries outside of the United States, the maximum percentage ownership permitted by law for a foreign investor may be less than [***], and that in such cases such lower percentage will be substituted in the preceding sentence.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Calendar Quarter</w:t>
      </w:r>
      <w:r>
        <w:rPr>
          <w:rFonts w:ascii="Times New Roman" w:cs="Times New Roman" w:eastAsia="Times New Roman" w:hAnsi="Times New Roman"/>
          <w:sz w:val="14"/>
          <w:szCs w:val="14"/>
          <w:color w:val="auto"/>
        </w:rPr>
        <w:t>” means each of the periods of three (3) consecutive calendar months ending on March 31, June 30, September 30 and December 31 during the Term.</w:t>
      </w:r>
    </w:p>
    <w:p>
      <w:pPr>
        <w:spacing w:after="0" w:line="175" w:lineRule="exact"/>
        <w:rPr>
          <w:sz w:val="20"/>
          <w:szCs w:val="20"/>
          <w:color w:val="auto"/>
        </w:rPr>
      </w:pPr>
    </w:p>
    <w:p>
      <w:pPr>
        <w:ind w:right="7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Combination Product</w:t>
      </w:r>
      <w:r>
        <w:rPr>
          <w:rFonts w:ascii="Times New Roman" w:cs="Times New Roman" w:eastAsia="Times New Roman" w:hAnsi="Times New Roman"/>
          <w:sz w:val="14"/>
          <w:szCs w:val="14"/>
          <w:color w:val="auto"/>
        </w:rPr>
        <w:t>” means a combination of materials or products sold for a single price and consisting of one or more Licensed Products and one or more Non-Covered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Components.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Developed Country</w:t>
      </w:r>
      <w:r>
        <w:rPr>
          <w:rFonts w:ascii="Times New Roman" w:cs="Times New Roman" w:eastAsia="Times New Roman" w:hAnsi="Times New Roman"/>
          <w:sz w:val="14"/>
          <w:szCs w:val="14"/>
          <w:color w:val="auto"/>
        </w:rPr>
        <w:t>” means any country other than a Developing Country.</w:t>
      </w:r>
    </w:p>
    <w:p>
      <w:pPr>
        <w:spacing w:after="0" w:line="175"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Developing Country</w:t>
      </w:r>
      <w:r>
        <w:rPr>
          <w:rFonts w:ascii="Times New Roman" w:cs="Times New Roman" w:eastAsia="Times New Roman" w:hAnsi="Times New Roman"/>
          <w:sz w:val="14"/>
          <w:szCs w:val="14"/>
          <w:color w:val="auto"/>
        </w:rPr>
        <w:t>” means each country identified as “low income” or “lower-middle income” economies in the World Bank “Country and Lending Groups” classification for 2017,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country listed as eligible to receive support from the GAVI Alliance (formerly known as the Global Alliance for Vaccines and Immunisation), as such list may be updated from to time by the GAVI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456565</wp:posOffset>
            </wp:positionV>
            <wp:extent cx="7188200"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428" w:name="page429"/>
    <w:bookmarkEnd w:id="428"/>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Milestones</w:t>
      </w:r>
      <w:r>
        <w:rPr>
          <w:rFonts w:ascii="Times New Roman" w:cs="Times New Roman" w:eastAsia="Times New Roman" w:hAnsi="Times New Roman"/>
          <w:sz w:val="14"/>
          <w:szCs w:val="14"/>
          <w:color w:val="auto"/>
        </w:rPr>
        <w:t>” means the development and commercialization milestones to be attached hereto as Exhibit 1.6 on or before [***] after the Effective Date.</w:t>
      </w:r>
    </w:p>
    <w:p>
      <w:pPr>
        <w:spacing w:after="0" w:line="175"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Plan</w:t>
      </w:r>
      <w:r>
        <w:rPr>
          <w:rFonts w:ascii="Times New Roman" w:cs="Times New Roman" w:eastAsia="Times New Roman" w:hAnsi="Times New Roman"/>
          <w:sz w:val="14"/>
          <w:szCs w:val="14"/>
          <w:color w:val="auto"/>
        </w:rPr>
        <w:t>” means the plan for the development and commercialization of Licensed Products to be attached hereto as Exhibit 1.7 on or before [***] after the Effective Date,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plan may be adjusted from time to time pursuant to Section 3.2.</w:t>
      </w:r>
    </w:p>
    <w:p>
      <w:pPr>
        <w:spacing w:after="0" w:line="121" w:lineRule="exact"/>
        <w:rPr>
          <w:sz w:val="20"/>
          <w:szCs w:val="20"/>
          <w:color w:val="auto"/>
        </w:rPr>
      </w:pPr>
    </w:p>
    <w:p>
      <w:pPr>
        <w:ind w:right="6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European Union</w:t>
      </w:r>
      <w:r>
        <w:rPr>
          <w:rFonts w:ascii="Times New Roman" w:cs="Times New Roman" w:eastAsia="Times New Roman" w:hAnsi="Times New Roman"/>
          <w:sz w:val="14"/>
          <w:szCs w:val="14"/>
          <w:color w:val="auto"/>
        </w:rPr>
        <w:t>” means (i) any of the current or former member countries of the European Union, including, for clarity, the United Kingdom, as well as Iceland, Norway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Switzerland, or (ii) the European Union as a whole.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 means the United States Food and Drug Administration.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Field</w:t>
      </w:r>
      <w:r>
        <w:rPr>
          <w:rFonts w:ascii="Times New Roman" w:cs="Times New Roman" w:eastAsia="Times New Roman" w:hAnsi="Times New Roman"/>
          <w:sz w:val="14"/>
          <w:szCs w:val="14"/>
          <w:color w:val="auto"/>
        </w:rPr>
        <w:t>” means prevention and treatment of disease in humans.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Commercial Sale</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right="8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means any occurrence beyond the reasonable control of a Party that (a) prevents or substantially interferes with the performance by such Party of any of its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hereunder, and (b) occurs by reason of any act of God, flood, fire, explosion, earthquake, strike, lockout, labor dispute, casualty or accident, or war, revolution, civil commotion, act of terrorism, blockage or embargo, or any injunction, law, order, proclamation, regulation, ordinance, demand or requirement of any government or of any subdivision, authority or representative of any such government.</w:t>
      </w:r>
    </w:p>
    <w:p>
      <w:pPr>
        <w:spacing w:after="0" w:line="138" w:lineRule="exact"/>
        <w:rPr>
          <w:sz w:val="20"/>
          <w:szCs w:val="20"/>
          <w:color w:val="auto"/>
        </w:rPr>
      </w:pPr>
    </w:p>
    <w:p>
      <w:pPr>
        <w:ind w:right="18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1.13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14"/>
          <w:szCs w:val="14"/>
          <w:color w:val="auto"/>
        </w:rPr>
        <w:t>” means an investigational new drug application, clinical study application, clinical trial exemption, or similar application or submission for approval to conduct human clinical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investigations filed with or submitted to a Regulatory Authority in any country in conformance with the requirements of such Regulatory Authority. In the United States, “IND” means an application for approval to conduct human clinical investigations that satisfies the requirements of 21 C.F.R. 312.</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Product</w:t>
      </w:r>
      <w:r>
        <w:rPr>
          <w:rFonts w:ascii="Times New Roman" w:cs="Times New Roman" w:eastAsia="Times New Roman" w:hAnsi="Times New Roman"/>
          <w:sz w:val="14"/>
          <w:szCs w:val="14"/>
          <w:color w:val="auto"/>
        </w:rPr>
        <w:t>” means, collectively, any Type I Licensed Product and any Type II Licensed Product.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 Market EU Country</w:t>
      </w:r>
      <w:r>
        <w:rPr>
          <w:rFonts w:ascii="Times New Roman" w:cs="Times New Roman" w:eastAsia="Times New Roman" w:hAnsi="Times New Roman"/>
          <w:sz w:val="14"/>
          <w:szCs w:val="14"/>
          <w:color w:val="auto"/>
        </w:rPr>
        <w:t>” means any of the following current or former European Union countries: the United Kingdom, France, Italy, Spain, and Germany.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Marketing Authorization</w:t>
      </w:r>
      <w:r>
        <w:rPr>
          <w:rFonts w:ascii="Times New Roman" w:cs="Times New Roman" w:eastAsia="Times New Roman" w:hAnsi="Times New Roman"/>
          <w:sz w:val="14"/>
          <w:szCs w:val="14"/>
          <w:color w:val="auto"/>
        </w:rPr>
        <w:t>” means all approvals from the relevant Regulatory Authority necessary to market and sell a Licensed Product in a country.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NDA</w:t>
      </w:r>
      <w:r>
        <w:rPr>
          <w:rFonts w:ascii="Times New Roman" w:cs="Times New Roman" w:eastAsia="Times New Roman" w:hAnsi="Times New Roman"/>
          <w:sz w:val="14"/>
          <w:szCs w:val="14"/>
          <w:color w:val="auto"/>
        </w:rPr>
        <w:t>” means a new drug application or product license application or its equivalent filed after completion of human clinical trials to obtain marketing approval for a Licensed Product.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United States, “NDA” means an application to obtain marketing approval for a Licensed Product that satisfies the requirements of 21 C.F.R. 314.</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Non-Covered Component</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1.20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Non-Royalty Income</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1.21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 Rights</w:t>
      </w:r>
      <w:r>
        <w:rPr>
          <w:rFonts w:ascii="Times New Roman" w:cs="Times New Roman" w:eastAsia="Times New Roman" w:hAnsi="Times New Roman"/>
          <w:sz w:val="14"/>
          <w:szCs w:val="14"/>
          <w:color w:val="auto"/>
        </w:rPr>
        <w:t>” means, in each case to the extent owned and controlled by Harvard: (a) the patents and patent applications listed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1.21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the PCT and/or U.S. utility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 claiming priority to such application(s)); (b) any patent or patent application that claims priority to and is a divisional, continuation, reissue, renewal, reexamination, substitution or extension of any patent application identified in (a); (c) any patents issuing on any patent application identified in (a) or (b), including any reissues, renewals, reexaminations, substitutions or extensions thereof; (d) any claim of a continuation-in-part application or patent (including any reissues, renewals, reexaminations, substitutions or extensions thereof) that is entitled to the priority date of, and is directed specifically to subject matter specifically described in, at least one of the patents or patent applications identified in (a), (b) or (c); (e) any foreign counterpart (including PCTs) of any patent or patent application identified in (a), (b) or (c) or of the claims identified in (d); and (f) any supplementary protection certificates, pediatric exclusivity periods, any other patent term extensions and exclusivity periods and the like of any patents and patent applications identified in (a) through (e).</w:t>
      </w:r>
    </w:p>
    <w:p>
      <w:pPr>
        <w:spacing w:after="0" w:line="144" w:lineRule="exact"/>
        <w:rPr>
          <w:sz w:val="20"/>
          <w:szCs w:val="20"/>
          <w:color w:val="auto"/>
        </w:rPr>
      </w:pPr>
    </w:p>
    <w:p>
      <w:pPr>
        <w:ind w:right="14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1 Clinical Study</w:t>
      </w:r>
      <w:r>
        <w:rPr>
          <w:rFonts w:ascii="Times New Roman" w:cs="Times New Roman" w:eastAsia="Times New Roman" w:hAnsi="Times New Roman"/>
          <w:sz w:val="14"/>
          <w:szCs w:val="14"/>
          <w:color w:val="auto"/>
        </w:rPr>
        <w:t>” means a clinical study in any country involving the initial introduction of an investigational new drug into humans, typically designed to determine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metabolism and pharmacologic actions of the drug in humans, the side effects associated with increasing doses, and, if possible, to gain early evidence on effectiveness. In the United States, “Phase 1 Clinical Study’’ means a human clinical study that satisfies the requirements of 21 C.F.R. § 312.21(a).</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29" w:name="page430"/>
    <w:bookmarkEnd w:id="429"/>
    <w:p>
      <w:pPr>
        <w:jc w:val="both"/>
        <w:ind w:right="3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1.23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2 Clinical Study</w:t>
      </w:r>
      <w:r>
        <w:rPr>
          <w:rFonts w:ascii="Times New Roman" w:cs="Times New Roman" w:eastAsia="Times New Roman" w:hAnsi="Times New Roman"/>
          <w:sz w:val="14"/>
          <w:szCs w:val="14"/>
          <w:color w:val="auto"/>
        </w:rPr>
        <w:t>” means a human clinical study in any country conducted to evaluate the effectiveness of a drug for a particular indication or indications in patients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disease or condition under study and, possibly, to determine the common short-term side effects and risks associated with the drug. In the United States, “Phase 2 Clinical Study” means a human clinical study that satisfies the requirements of 21 C.F.R. § 312.21 (b).</w:t>
      </w:r>
    </w:p>
    <w:p>
      <w:pPr>
        <w:spacing w:after="0" w:line="133" w:lineRule="exact"/>
        <w:rPr>
          <w:sz w:val="20"/>
          <w:szCs w:val="20"/>
          <w:color w:val="auto"/>
        </w:rPr>
      </w:pPr>
    </w:p>
    <w:p>
      <w:pPr>
        <w:jc w:val="both"/>
        <w:ind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1.24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3 Clinical Study</w:t>
      </w:r>
      <w:r>
        <w:rPr>
          <w:rFonts w:ascii="Times New Roman" w:cs="Times New Roman" w:eastAsia="Times New Roman" w:hAnsi="Times New Roman"/>
          <w:sz w:val="14"/>
          <w:szCs w:val="14"/>
          <w:color w:val="auto"/>
        </w:rPr>
        <w:t>” means a human clinical study in any country, whether controlled or uncontrolled, that is performed after preliminary evidence suggesting effectiveness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drug under evaluation has been obtained, and intended to gather the additional information about effectiveness and safety that is needed to evaluate the overall benefit-risk relationship of the drug and to provide an adequate basis for physician labeling. In the United States, “Phase 3 Clinical Study” means a human clinical study that satisfies the requirements of 21 C.F.R. § 312.21 (c).</w:t>
      </w:r>
    </w:p>
    <w:p>
      <w:pPr>
        <w:spacing w:after="0" w:line="133" w:lineRule="exact"/>
        <w:rPr>
          <w:sz w:val="20"/>
          <w:szCs w:val="20"/>
          <w:color w:val="auto"/>
        </w:rPr>
      </w:pPr>
    </w:p>
    <w:p>
      <w:pPr>
        <w:ind w:right="4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Qualified Third Party</w:t>
      </w:r>
      <w:r>
        <w:rPr>
          <w:rFonts w:ascii="Times New Roman" w:cs="Times New Roman" w:eastAsia="Times New Roman" w:hAnsi="Times New Roman"/>
          <w:sz w:val="14"/>
          <w:szCs w:val="14"/>
          <w:color w:val="auto"/>
        </w:rPr>
        <w:t>” means, with respect to any Third Party that makes a Third Party Product Proposal of an Undeveloped Product, a company, having the financial resources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sufficient to pursue such Third Party Product Proposal and management and staff expertise in the Undeveloped Product for which it makes such a Third Party Product Proposal.</w:t>
      </w:r>
    </w:p>
    <w:p>
      <w:pPr>
        <w:spacing w:after="0" w:line="121" w:lineRule="exact"/>
        <w:rPr>
          <w:sz w:val="20"/>
          <w:szCs w:val="20"/>
          <w:color w:val="auto"/>
        </w:rPr>
      </w:pPr>
    </w:p>
    <w:p>
      <w:pPr>
        <w:ind w:right="5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Approval</w:t>
      </w:r>
      <w:r>
        <w:rPr>
          <w:rFonts w:ascii="Times New Roman" w:cs="Times New Roman" w:eastAsia="Times New Roman" w:hAnsi="Times New Roman"/>
          <w:sz w:val="14"/>
          <w:szCs w:val="14"/>
          <w:color w:val="auto"/>
        </w:rPr>
        <w:t>” means with respect to a Licensed Product in any country or jurisdiction, any approval (including where required, pricing and reimbursement approvals),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 license or authorization from a Regulatory Authority in a country or other jurisdiction that is necessary to market and sell such Licensed Product in such country or jurisdiction.</w:t>
      </w:r>
    </w:p>
    <w:p>
      <w:pPr>
        <w:spacing w:after="0" w:line="121" w:lineRule="exact"/>
        <w:rPr>
          <w:sz w:val="20"/>
          <w:szCs w:val="20"/>
          <w:color w:val="auto"/>
        </w:rPr>
      </w:pPr>
    </w:p>
    <w:p>
      <w:pPr>
        <w:ind w:right="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1.27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Authority</w:t>
      </w:r>
      <w:r>
        <w:rPr>
          <w:rFonts w:ascii="Times New Roman" w:cs="Times New Roman" w:eastAsia="Times New Roman" w:hAnsi="Times New Roman"/>
          <w:sz w:val="14"/>
          <w:szCs w:val="14"/>
          <w:color w:val="auto"/>
        </w:rPr>
        <w:t>” means any applicable government regulatory authority involved in granting approvals for the manufacturing and marketing of a Licensed Product, including,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United States, the FDA.</w:t>
      </w:r>
    </w:p>
    <w:p>
      <w:pPr>
        <w:spacing w:after="0" w:line="121"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1.28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Strategic Partner</w:t>
      </w:r>
      <w:r>
        <w:rPr>
          <w:rFonts w:ascii="Times New Roman" w:cs="Times New Roman" w:eastAsia="Times New Roman" w:hAnsi="Times New Roman"/>
          <w:sz w:val="14"/>
          <w:szCs w:val="14"/>
          <w:color w:val="auto"/>
        </w:rPr>
        <w:t>” means any entity that enters into a Strategic Partnership with Licensee or an Affiliate of Licensee. Any entity which meets the foregoing criteria that also is granted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 shall be considered a Sublicensee, and not a Strategic Partner, for the purposes of this Agreement.</w:t>
      </w:r>
    </w:p>
    <w:p>
      <w:pPr>
        <w:spacing w:after="0" w:line="121"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1.29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Strategic Partnership</w:t>
      </w:r>
      <w:r>
        <w:rPr>
          <w:rFonts w:ascii="Times New Roman" w:cs="Times New Roman" w:eastAsia="Times New Roman" w:hAnsi="Times New Roman"/>
          <w:sz w:val="14"/>
          <w:szCs w:val="14"/>
          <w:color w:val="auto"/>
        </w:rPr>
        <w:t>” means any agreement between Licensee or any of its Affiliates and a Third Party, under which such Third Party agrees to compensate Licensee or its Affiliate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for Licensee’s or its Affiliate’s practice of the Patent Rights and development of Licensed Products, on behalf of or in collaboration with such Third Party, including without limitation, for commercialization and development activities for Licensed Products.</w:t>
      </w:r>
    </w:p>
    <w:p>
      <w:pPr>
        <w:spacing w:after="0" w:line="133"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1.30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Sublicense</w:t>
      </w:r>
      <w:r>
        <w:rPr>
          <w:rFonts w:ascii="Times New Roman" w:cs="Times New Roman" w:eastAsia="Times New Roman" w:hAnsi="Times New Roman"/>
          <w:sz w:val="14"/>
          <w:szCs w:val="14"/>
          <w:color w:val="auto"/>
        </w:rPr>
        <w:t>” means: (a) any right granted, license given or agreement entered into by Licensee to or with any other person or entity, under or with respect to or permitting any use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exploitation of any of the Patent Rights or otherwise permitting the development, manufacture, marketing, distribution, use and/or sale of Licensed Products; (b) any option or other right granted by Licensee to any other person or entity to negotiate for or receive any of the rights described under clause (a); or (c) any standstill or similar obligation undertaken by Licensee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1.31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Sublicensee</w:t>
      </w:r>
      <w:r>
        <w:rPr>
          <w:rFonts w:ascii="Times New Roman" w:cs="Times New Roman" w:eastAsia="Times New Roman" w:hAnsi="Times New Roman"/>
          <w:sz w:val="14"/>
          <w:szCs w:val="14"/>
          <w:color w:val="auto"/>
        </w:rPr>
        <w:t>” means any person or entity granted a Sublicense.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1.32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means the term of this Agreement as set forth in Section 10.1.</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1.33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w:t>
      </w:r>
      <w:r>
        <w:rPr>
          <w:rFonts w:ascii="Times New Roman" w:cs="Times New Roman" w:eastAsia="Times New Roman" w:hAnsi="Times New Roman"/>
          <w:sz w:val="14"/>
          <w:szCs w:val="14"/>
          <w:color w:val="auto"/>
        </w:rPr>
        <w:t>” means any entity or person other than Harvard or Licensee or its Affiliates.</w:t>
      </w:r>
    </w:p>
    <w:p>
      <w:pPr>
        <w:spacing w:after="0" w:line="175" w:lineRule="exact"/>
        <w:rPr>
          <w:sz w:val="20"/>
          <w:szCs w:val="20"/>
          <w:color w:val="auto"/>
        </w:rPr>
      </w:pPr>
    </w:p>
    <w:p>
      <w:pPr>
        <w:ind w:right="6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1.34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 Patent</w:t>
      </w:r>
      <w:r>
        <w:rPr>
          <w:rFonts w:ascii="Times New Roman" w:cs="Times New Roman" w:eastAsia="Times New Roman" w:hAnsi="Times New Roman"/>
          <w:sz w:val="14"/>
          <w:szCs w:val="14"/>
          <w:color w:val="auto"/>
        </w:rPr>
        <w:t>” means any patent and/or patent application owned or controlled by a Third Party (a) that has not been abandoned, held invalid, revoked, held or rendered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unenforceable or lost through interference and (b) the claims of which would be infringed by the developing, making, selling or importing of Licensed Products for use in the Field.</w:t>
      </w:r>
    </w:p>
    <w:p>
      <w:pPr>
        <w:spacing w:after="0" w:line="121" w:lineRule="exact"/>
        <w:rPr>
          <w:sz w:val="20"/>
          <w:szCs w:val="20"/>
          <w:color w:val="auto"/>
        </w:rPr>
      </w:pPr>
    </w:p>
    <w:p>
      <w:pPr>
        <w:ind w:right="14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1.35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 Product Proposal</w:t>
      </w:r>
      <w:r>
        <w:rPr>
          <w:rFonts w:ascii="Times New Roman" w:cs="Times New Roman" w:eastAsia="Times New Roman" w:hAnsi="Times New Roman"/>
          <w:sz w:val="14"/>
          <w:szCs w:val="14"/>
          <w:color w:val="auto"/>
        </w:rPr>
        <w:t>” means any bona fide written proposal of a Qualified Third Party with respect to the research, development and commercialization of an actual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potential Licensed Product for an Undeveloped Product that includes, at a minimum, a reasonably detailed development plan (including development milestones) applicable to such Licensed Product and Undeveloped Product and reasonably detailed terms (including terms for consideration) that, if included as part of a license agreement, would be reasonably acceptable to Harvard.</w:t>
      </w:r>
    </w:p>
    <w:p>
      <w:pPr>
        <w:spacing w:after="0" w:line="133" w:lineRule="exact"/>
        <w:rPr>
          <w:sz w:val="20"/>
          <w:szCs w:val="20"/>
          <w:color w:val="auto"/>
        </w:rPr>
      </w:pPr>
    </w:p>
    <w:p>
      <w:pPr>
        <w:ind w:right="1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1.36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Type I Licensed Product</w:t>
      </w:r>
      <w:r>
        <w:rPr>
          <w:rFonts w:ascii="Times New Roman" w:cs="Times New Roman" w:eastAsia="Times New Roman" w:hAnsi="Times New Roman"/>
          <w:sz w:val="14"/>
          <w:szCs w:val="14"/>
          <w:color w:val="auto"/>
        </w:rPr>
        <w:t>” means on a country-by-country basis, any product, the making, using, selling, offering for sale, importing or exporting in the country in question would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the license granted under this Agreement) infringe, directly, indirectly by inducement of infringement, or indirectly by contributory infringement, at least one pending Valid Claim within the Patent Rights within the country in question (were it to have issued) or issued Valid Claim within the Patent Rights in that country.</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430" w:name="page431"/>
    <w:bookmarkEnd w:id="430"/>
    <w:p>
      <w:pPr>
        <w:ind w:right="14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1.37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Type II Licensed Product</w:t>
      </w:r>
      <w:r>
        <w:rPr>
          <w:rFonts w:ascii="Times New Roman" w:cs="Times New Roman" w:eastAsia="Times New Roman" w:hAnsi="Times New Roman"/>
          <w:sz w:val="14"/>
          <w:szCs w:val="14"/>
          <w:color w:val="auto"/>
        </w:rPr>
        <w:t>” means any product, other than a Type I Licensed Product, which (i) is a modification, improvement or optimization of a Type I Licensed Product, or (ii)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described in, or is developed through the practice of the technology enabled by the subject matter of the Patent Rights, including, without limitation, the Patent Rights listed on Exhibit 1.21 as of the Effective Date.</w:t>
      </w:r>
    </w:p>
    <w:p>
      <w:pPr>
        <w:spacing w:after="0" w:line="133"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1.38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Undeveloped Product</w:t>
      </w:r>
      <w:r>
        <w:rPr>
          <w:rFonts w:ascii="Times New Roman" w:cs="Times New Roman" w:eastAsia="Times New Roman" w:hAnsi="Times New Roman"/>
          <w:sz w:val="14"/>
          <w:szCs w:val="14"/>
          <w:color w:val="auto"/>
        </w:rPr>
        <w:t>” means any product that is directed at a target for which Licensee is unable to reasonably demonstrate, based upon reasonable supporting evidence, that Licensee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any of its Affiliates or Sublicensees is actively developing and/or commercializing a Licensed Product; provided, that, (a) Harvard hereby acknowledges that reasonable supporting evidence of active development by Licensee may include a specific reference in any Development Plan to the applicable product and (b) no product that is part of a Third Party Product Proposal for use in the prevention or treatment of a given indication shall be deemed to be for an Undeveloped Product for purposes of this Agreement if that product (i) contains the same active pharmaceutical ingredient as, or exhibits significant structural or sequence similarity to, or is in the same chemical genus as, a Licensed Product that is being developed or commercialized by Licensee as of the date of the Third Party Product Proposal or (ii) targets the same biological pathway as a Licensed Product that is being developed or commercialized by Licensee as of the date of the Third Party Product Proposal.</w:t>
      </w:r>
    </w:p>
    <w:p>
      <w:pPr>
        <w:spacing w:after="0" w:line="14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1.39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Valid Claim</w:t>
      </w:r>
      <w:r>
        <w:rPr>
          <w:rFonts w:ascii="Times New Roman" w:cs="Times New Roman" w:eastAsia="Times New Roman" w:hAnsi="Times New Roman"/>
          <w:sz w:val="14"/>
          <w:szCs w:val="14"/>
          <w:color w:val="auto"/>
        </w:rPr>
        <w:t>” means: (a) a claim of an issued and unexpired patent within the Patent Rights that has not been (i) held permanently revoked, unenforceable, unpatentable or invalid by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decision of a court or governmental body of competent jurisdiction, unappealable or unappealed within the time allowed for appeal, (ii) rendered unenforceable through disclaimer or otherwise, (iii) abandoned or (iv) permanently lost through an interference or opposition proceeding without any right of appeal or review; or (b) a pending claim of a pending patent application within the Patent Rights that (i) has been asserted and continues to be prosecuted in good faith and has not been abandoned or finally rejected without the possibility of appeal or refiling and (ii) has been pending for less than [***] from the date of the first substantive office action considering patentability of such claim (for claims filed in the United States) or the date of the first regional or national phase Examiner’s report considering patentability of such claim (for claims filed outside of the United States) (at which time such pending claim shall cease to be a Valid Claim for purposes of this Agreement unless and until such claim becomes the claim of an issued patent pursuant to clause (a) above).</w:t>
      </w:r>
    </w:p>
    <w:p>
      <w:pPr>
        <w:spacing w:after="0" w:line="228" w:lineRule="exact"/>
        <w:rPr>
          <w:sz w:val="20"/>
          <w:szCs w:val="20"/>
          <w:color w:val="auto"/>
        </w:rPr>
      </w:pPr>
    </w:p>
    <w:p>
      <w:pPr>
        <w:ind w:left="280" w:hanging="276"/>
        <w:spacing w:after="0"/>
        <w:tabs>
          <w:tab w:leader="none" w:pos="280" w:val="left"/>
        </w:tabs>
        <w:numPr>
          <w:ilvl w:val="0"/>
          <w:numId w:val="3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License.</w:t>
      </w:r>
    </w:p>
    <w:p>
      <w:pPr>
        <w:spacing w:after="0" w:line="91" w:lineRule="exact"/>
        <w:rPr>
          <w:sz w:val="20"/>
          <w:szCs w:val="20"/>
          <w:color w:val="auto"/>
        </w:rPr>
      </w:pPr>
    </w:p>
    <w:p>
      <w:pPr>
        <w:ind w:right="34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2.1 License Grant</w:t>
      </w:r>
      <w:r>
        <w:rPr>
          <w:rFonts w:ascii="Times New Roman" w:cs="Times New Roman" w:eastAsia="Times New Roman" w:hAnsi="Times New Roman"/>
          <w:sz w:val="14"/>
          <w:szCs w:val="14"/>
          <w:color w:val="auto"/>
        </w:rPr>
        <w:t>. Subject to the terms and conditions set forth in this Agreement, Harvard hereby grants to Licensee an exclusive, worldwide, royalty-bearing license under Harvard’s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in the Patent Rights, solely to develop, make, have made, offer for sale, sell, have sold, import, have imported, distribute and have distributed Licensed Products solely for use in the Field; provided, however, that:</w:t>
      </w:r>
    </w:p>
    <w:p>
      <w:pPr>
        <w:spacing w:after="0" w:line="49" w:lineRule="exact"/>
        <w:rPr>
          <w:sz w:val="20"/>
          <w:szCs w:val="20"/>
          <w:color w:val="auto"/>
        </w:rPr>
      </w:pPr>
    </w:p>
    <w:p>
      <w:pPr>
        <w:ind w:left="52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2.1.1 </w:t>
      </w:r>
      <w:r>
        <w:rPr>
          <w:rFonts w:ascii="Times New Roman" w:cs="Times New Roman" w:eastAsia="Times New Roman" w:hAnsi="Times New Roman"/>
          <w:sz w:val="14"/>
          <w:szCs w:val="14"/>
          <w:color w:val="auto"/>
        </w:rPr>
        <w:t>Harvard retains the right, for itself and for other not-for-profit research organizations, to practice the Patent Rights within the scope of the license granted above, solely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research, educational and scholarly purposes only (which, for clarity, shall not include the conduct of clinical trials); provided, that, (a) [***] and (b) nothing herein shall be construed as permitting Harvard, or any such not-for-profit research organization to grant any rights to any third party, including any for-profit sponsor, under, or with respect to, or permitting any use or exploitation of, any of the Patent Rights, including any right to develop, manufacture, market or sell Licensed Products, that are outside the scope of such retained rights but within the scope of the license granted above; and</w:t>
      </w:r>
    </w:p>
    <w:p>
      <w:pPr>
        <w:spacing w:after="0" w:line="56" w:lineRule="exact"/>
        <w:rPr>
          <w:sz w:val="20"/>
          <w:szCs w:val="20"/>
          <w:color w:val="auto"/>
        </w:rPr>
      </w:pPr>
    </w:p>
    <w:p>
      <w:pPr>
        <w:ind w:left="520" w:right="1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2.1.2 </w:t>
      </w:r>
      <w:r>
        <w:rPr>
          <w:rFonts w:ascii="Times New Roman" w:cs="Times New Roman" w:eastAsia="Times New Roman" w:hAnsi="Times New Roman"/>
          <w:sz w:val="14"/>
          <w:szCs w:val="14"/>
          <w:color w:val="auto"/>
        </w:rPr>
        <w:t>the United States federal government retains rights in the Patent Rights pursuant to 35 U.S.C. §§ 200-212 and 37 C.F.R. § 401 et seq., and any right granted in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greater than that permitted under 35 U.S.C. §§ 200-212 or 37 C.F.R. § 401 et seq. will be subject to modification as maybe required to conform to the provisions of those statutes and regulations.</w:t>
      </w:r>
    </w:p>
    <w:p>
      <w:pPr>
        <w:spacing w:after="0" w:line="133"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2.2 Affiliates</w:t>
      </w:r>
      <w:r>
        <w:rPr>
          <w:rFonts w:ascii="Times New Roman" w:cs="Times New Roman" w:eastAsia="Times New Roman" w:hAnsi="Times New Roman"/>
          <w:sz w:val="14"/>
          <w:szCs w:val="14"/>
          <w:color w:val="auto"/>
        </w:rPr>
        <w:t>. The license granted to Licensee under Section 2.1 includes the right to have some or all of Licensee’s rights or obligations under this Agreement exercised or performed by 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more of Licensee’s Affiliates, solely on Licensee’s behalf; provided, however, that:</w:t>
      </w:r>
    </w:p>
    <w:p>
      <w:pPr>
        <w:spacing w:after="0" w:line="37" w:lineRule="exact"/>
        <w:rPr>
          <w:sz w:val="20"/>
          <w:szCs w:val="20"/>
          <w:color w:val="auto"/>
        </w:rPr>
      </w:pPr>
    </w:p>
    <w:p>
      <w:pPr>
        <w:ind w:left="520"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2.2.1 </w:t>
      </w:r>
      <w:r>
        <w:rPr>
          <w:rFonts w:ascii="Times New Roman" w:cs="Times New Roman" w:eastAsia="Times New Roman" w:hAnsi="Times New Roman"/>
          <w:sz w:val="14"/>
          <w:szCs w:val="14"/>
          <w:color w:val="auto"/>
        </w:rPr>
        <w:t>no such Affiliate shall be entitled to grant, directly or indirectly, to any third party any right of whatever nature under, or with respect to, or permitting any use or exploitation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of the Patent Rights, including any right to develop, manufacture, market or sell Licensed Products; and</w:t>
      </w:r>
    </w:p>
    <w:p>
      <w:pPr>
        <w:spacing w:after="0" w:line="1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2.2.2 </w:t>
      </w:r>
      <w:r>
        <w:rPr>
          <w:rFonts w:ascii="Times New Roman" w:cs="Times New Roman" w:eastAsia="Times New Roman" w:hAnsi="Times New Roman"/>
          <w:sz w:val="14"/>
          <w:szCs w:val="14"/>
          <w:color w:val="auto"/>
        </w:rPr>
        <w:t>any act or omission taken or made by an Affiliate of Licensee under this Agreement will be deemed an act or omission by Licensee under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4"/>
          <w:szCs w:val="14"/>
          <w:b w:val="1"/>
          <w:bCs w:val="1"/>
          <w:color w:val="auto"/>
        </w:rPr>
        <w:t>2.3 Sublicenses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2.3.1 Sublicense Grant. </w:t>
      </w:r>
      <w:r>
        <w:rPr>
          <w:rFonts w:ascii="Times New Roman" w:cs="Times New Roman" w:eastAsia="Times New Roman" w:hAnsi="Times New Roman"/>
          <w:sz w:val="14"/>
          <w:szCs w:val="14"/>
          <w:color w:val="auto"/>
        </w:rPr>
        <w:t>Licensee and its direct Sublicensees will be entitled to grant Sublicenses to Third Parties under the license granted pursuant to Section 2.1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terms of this Section 2.3. For clarity, Licensee may not grant Sublicenses that constitute the simple brokering by Licensee of a naked sublicense to practice the Patent Rights (i.e. a license only of the Patent Rights and no other intellectual property owned or controlled by Licensee). All Sublicenses shall be subject to the terms of this Section 2.3 and shall be on terms and conditions in compliance with and not inconsistent with the terms of this Agreement.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2.3.2 Sublicense Agreements. </w:t>
      </w:r>
      <w:r>
        <w:rPr>
          <w:rFonts w:ascii="Times New Roman" w:cs="Times New Roman" w:eastAsia="Times New Roman" w:hAnsi="Times New Roman"/>
          <w:sz w:val="14"/>
          <w:szCs w:val="14"/>
          <w:color w:val="auto"/>
        </w:rPr>
        <w:t>Licensee shall grant Sublicenses pursuant to written agreements, which will be subject and subordinate to the terms and conditions of this Agreement.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Sublicense agreements will contain, among other things, the following:</w:t>
      </w:r>
    </w:p>
    <w:p>
      <w:pPr>
        <w:spacing w:after="0" w:line="75" w:lineRule="exact"/>
        <w:rPr>
          <w:sz w:val="20"/>
          <w:szCs w:val="20"/>
          <w:color w:val="auto"/>
        </w:rPr>
      </w:pPr>
    </w:p>
    <w:p>
      <w:pPr>
        <w:ind w:left="500" w:right="8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2.3.2.1 </w:t>
      </w:r>
      <w:r>
        <w:rPr>
          <w:rFonts w:ascii="Times New Roman" w:cs="Times New Roman" w:eastAsia="Times New Roman" w:hAnsi="Times New Roman"/>
          <w:sz w:val="14"/>
          <w:szCs w:val="14"/>
          <w:color w:val="auto"/>
        </w:rPr>
        <w:t>no Sublicense shall relieve Licensee of any of its obligations hereunder, and Licensee shall take all steps that may be reasonably necessary to enforce compliance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Sublicensees with the terms and conditions of the respective Sublicense agreement to the extent required to allow Licensee to fully comply with all of its obligations under this Agreement;</w:t>
      </w:r>
    </w:p>
    <w:p>
      <w:pPr>
        <w:spacing w:after="0" w:line="49" w:lineRule="exact"/>
        <w:rPr>
          <w:sz w:val="20"/>
          <w:szCs w:val="20"/>
          <w:color w:val="auto"/>
        </w:rPr>
      </w:pPr>
    </w:p>
    <w:p>
      <w:pPr>
        <w:ind w:left="500" w:right="5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2.3.2.2 </w:t>
      </w:r>
      <w:r>
        <w:rPr>
          <w:rFonts w:ascii="Times New Roman" w:cs="Times New Roman" w:eastAsia="Times New Roman" w:hAnsi="Times New Roman"/>
          <w:sz w:val="14"/>
          <w:szCs w:val="14"/>
          <w:color w:val="auto"/>
        </w:rPr>
        <w:t>a section substantially the same as Article 9 of this Agreement, which also will state that the Indemnitees (as defined in Section 9.1) are intended third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beneficiaries of such Sublicense agreement for the purpose of enforcing such indemnification;</w:t>
      </w:r>
    </w:p>
    <w:p>
      <w:pPr>
        <w:spacing w:after="0" w:line="37" w:lineRule="exact"/>
        <w:rPr>
          <w:sz w:val="20"/>
          <w:szCs w:val="20"/>
          <w:color w:val="auto"/>
        </w:rPr>
      </w:pPr>
    </w:p>
    <w:p>
      <w:pPr>
        <w:ind w:left="500" w:right="4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2.3.2.3 </w:t>
      </w:r>
      <w:r>
        <w:rPr>
          <w:rFonts w:ascii="Times New Roman" w:cs="Times New Roman" w:eastAsia="Times New Roman" w:hAnsi="Times New Roman"/>
          <w:sz w:val="14"/>
          <w:szCs w:val="14"/>
          <w:color w:val="auto"/>
        </w:rPr>
        <w:t>a provision clarifying that, in the event of termination of the license set forth in Section 2.1 (in whole or in part (e.g., termination in a particular country)),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existing Sublicensee shall have the right to enter into a direct license with Harvard, pursuant to Section 10.3.1;</w:t>
      </w:r>
    </w:p>
    <w:p>
      <w:pPr>
        <w:spacing w:after="0" w:line="37" w:lineRule="exact"/>
        <w:rPr>
          <w:sz w:val="20"/>
          <w:szCs w:val="20"/>
          <w:color w:val="auto"/>
        </w:rPr>
      </w:pPr>
    </w:p>
    <w:p>
      <w:pPr>
        <w:ind w:left="500" w:right="5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2.3.2.4 </w:t>
      </w:r>
      <w:r>
        <w:rPr>
          <w:rFonts w:ascii="Times New Roman" w:cs="Times New Roman" w:eastAsia="Times New Roman" w:hAnsi="Times New Roman"/>
          <w:sz w:val="14"/>
          <w:szCs w:val="14"/>
          <w:color w:val="auto"/>
        </w:rPr>
        <w:t>except with respect to the single tier of sublicensing rights granted to Licensee’s direct Sublicensees, as set forth in Section 2.3.1, a provision prohibiting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Sublicensee from sublicensing its rights under such Sublicense agreement; and</w:t>
      </w:r>
    </w:p>
    <w:p>
      <w:pPr>
        <w:spacing w:after="0" w:line="37" w:lineRule="exact"/>
        <w:rPr>
          <w:sz w:val="20"/>
          <w:szCs w:val="20"/>
          <w:color w:val="auto"/>
        </w:rPr>
      </w:pPr>
    </w:p>
    <w:p>
      <w:pPr>
        <w:jc w:val="both"/>
        <w:ind w:left="5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2.3.2.5 </w:t>
      </w:r>
      <w:r>
        <w:rPr>
          <w:rFonts w:ascii="Times New Roman" w:cs="Times New Roman" w:eastAsia="Times New Roman" w:hAnsi="Times New Roman"/>
          <w:sz w:val="14"/>
          <w:szCs w:val="14"/>
          <w:color w:val="auto"/>
        </w:rPr>
        <w:t>a provision prohibiting the Sublicensee from assigning the Sublicense agreement without the prior written consent of Harvard, except that Sublicensee may assign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 agreement to a successor without such prior written consent in connection with the merger, consolidation or sale of all or substantially all of its assets or that portion of its business to which the Sublicense agreement relates; provided, however, that any such assignee agrees in writing to be bound by the terms of such Sublicense agreement.</w:t>
      </w:r>
    </w:p>
    <w:p>
      <w:pPr>
        <w:spacing w:after="0" w:line="133" w:lineRule="exact"/>
        <w:rPr>
          <w:sz w:val="20"/>
          <w:szCs w:val="20"/>
          <w:color w:val="auto"/>
        </w:rPr>
      </w:pPr>
    </w:p>
    <w:p>
      <w:pPr>
        <w:jc w:val="both"/>
        <w:ind w:right="2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2.3.3 Delivery of Sublicense Agreement. </w:t>
      </w:r>
      <w:r>
        <w:rPr>
          <w:rFonts w:ascii="Times New Roman" w:cs="Times New Roman" w:eastAsia="Times New Roman" w:hAnsi="Times New Roman"/>
          <w:sz w:val="14"/>
          <w:szCs w:val="14"/>
          <w:color w:val="auto"/>
        </w:rPr>
        <w:t>Licensee shall furnish Harvard with a fully executed copy of any Sublicense agreement, promptly after its execution, the terms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confidential information of Licensee under this Agreement and subject to Section 11.16. Harvard shall keep all such copies in its confidential files and shall use them solely for the purpose of monitoring Licensee’s and Sublicensees’ compliance with their obligations hereunder and enforcing Harvard’s rights under this Agreement.</w:t>
      </w:r>
    </w:p>
    <w:p>
      <w:pPr>
        <w:spacing w:after="0" w:line="133" w:lineRule="exact"/>
        <w:rPr>
          <w:sz w:val="20"/>
          <w:szCs w:val="20"/>
          <w:color w:val="auto"/>
        </w:rPr>
      </w:pPr>
    </w:p>
    <w:p>
      <w:pPr>
        <w:ind w:right="6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2.3.4 Compliance by Sublicensee. </w:t>
      </w:r>
      <w:r>
        <w:rPr>
          <w:rFonts w:ascii="Times New Roman" w:cs="Times New Roman" w:eastAsia="Times New Roman" w:hAnsi="Times New Roman"/>
          <w:sz w:val="14"/>
          <w:szCs w:val="14"/>
          <w:color w:val="auto"/>
        </w:rPr>
        <w:t>No Sublicense shall relieve Licensee of any of its obligations hereunder, and Licensee shall take all steps that may be reasonably necessary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enforce compliance by Sublicensees with the terms and conditions of the respective Sublicense agreement to the extent required to allow Licensee to fully comply with all of its obligations under this Agreement. Licensee shall be responsible for any act or omission by a Sublicensee that results in a material breach of this Agreement, and shall either cure such material breach in accordance with Section 10.2.2. of this Agreement or enforce its rights by terminating such Sublicense agreement in accordance with the terms thereof, in which case the material breach shall be deemed to have been cured for purposes of this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2.4 Third Party Proposed Products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2.4.1 </w:t>
      </w:r>
      <w:r>
        <w:rPr>
          <w:rFonts w:ascii="Times New Roman" w:cs="Times New Roman" w:eastAsia="Times New Roman" w:hAnsi="Times New Roman"/>
          <w:sz w:val="14"/>
          <w:szCs w:val="14"/>
          <w:color w:val="auto"/>
        </w:rPr>
        <w:t>If at any time on and after the third anniversary of the Effective Date, a Qualified Third Party submits a Third Party Product Proposal to Harvard, Harvard may notify Licensee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writing of such Third Party Product Proposal, which notice shall include all non-confidential information provided by the Qualified Third Party to Harvard as part of the Third Party Product Proposal that may be reasonably required for Licensee to evaluate such Third Party Product Proposal. If Licensee notifies Harvard in writing that it requires additional information, including confidential information of the Qualified Third Party in order to evaluate the Third Party Product Proposal, Harvard will use reasonable good faith efforts to obtain such additional information from the Qualified Third Party and/or convince such Qualified Third Party to provide such information to Licensee under an appropriate confidentiality agreement.</w:t>
      </w:r>
    </w:p>
    <w:p>
      <w:pPr>
        <w:spacing w:after="0" w:line="1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370205</wp:posOffset>
            </wp:positionV>
            <wp:extent cx="7188200"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40"/>
          </w:cols>
          <w:pgMar w:left="820" w:top="985" w:right="339" w:bottom="1440" w:gutter="0" w:footer="0" w:header="0"/>
        </w:sectPr>
      </w:pPr>
    </w:p>
    <w:bookmarkStart w:id="432" w:name="page433"/>
    <w:bookmarkEnd w:id="432"/>
    <w:p>
      <w:pPr>
        <w:ind w:left="520"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2.4.2 </w:t>
      </w:r>
      <w:r>
        <w:rPr>
          <w:rFonts w:ascii="Times New Roman" w:cs="Times New Roman" w:eastAsia="Times New Roman" w:hAnsi="Times New Roman"/>
          <w:sz w:val="14"/>
          <w:szCs w:val="14"/>
          <w:color w:val="auto"/>
        </w:rPr>
        <w:t>As soon as practicable (and in any event within [***]) following Licensee’s receipt of all of the information that it requests (or Harvard’s written notification to the Licensee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 has completed its good faith, reasonable efforts to convince the Qualified Third Party to provide such information to the Licensee), Licensee shall provide Harvard with a written response (the “</w:t>
      </w:r>
      <w:r>
        <w:rPr>
          <w:rFonts w:ascii="Times New Roman" w:cs="Times New Roman" w:eastAsia="Times New Roman" w:hAnsi="Times New Roman"/>
          <w:sz w:val="14"/>
          <w:szCs w:val="14"/>
          <w:b w:val="1"/>
          <w:bCs w:val="1"/>
          <w:color w:val="auto"/>
        </w:rPr>
        <w:t>Licensee Response</w:t>
      </w:r>
      <w:r>
        <w:rPr>
          <w:rFonts w:ascii="Times New Roman" w:cs="Times New Roman" w:eastAsia="Times New Roman" w:hAnsi="Times New Roman"/>
          <w:sz w:val="14"/>
          <w:szCs w:val="14"/>
          <w:color w:val="auto"/>
        </w:rPr>
        <w:t>”) as to whether Licensee is interested in pursuing the Third Party Product Proposal itself or through the negotiation of sublicense agreements with one or more third parties. If Licensee notifies Harvard within such [***] period that it is interested in developing such Third Party Product Proposal in the Undeveloped Product, (a) Licensee will, on or before</w:t>
      </w:r>
    </w:p>
    <w:p>
      <w:pPr>
        <w:spacing w:after="0" w:line="3" w:lineRule="exact"/>
        <w:rPr>
          <w:sz w:val="20"/>
          <w:szCs w:val="20"/>
          <w:color w:val="auto"/>
        </w:rPr>
      </w:pPr>
    </w:p>
    <w:p>
      <w:pPr>
        <w:ind w:left="520" w:right="80" w:hanging="5"/>
        <w:spacing w:after="0" w:line="254" w:lineRule="auto"/>
        <w:tabs>
          <w:tab w:leader="none" w:pos="859"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of the Licensee Response, prepare in good faith and provide to Harvard a Development Plan and Development Milestones with respect to such Third Party Product Proposal in the Undeveloped Product included as part of the Third Party Product Proposal that are reasonably acceptable to Harvard and (b) subject to Section 3.5, Licensee shall thereafter be obligated to (i) use commercially reasonable efforts to develop and commercialize the Licensed Product in accordance with such Development Plan and (ii) meet the Development Milestones with respect to the Licensed Product in the Undeveloped Product, in each case, in accordance with Section 3.5.</w:t>
      </w:r>
    </w:p>
    <w:p>
      <w:pPr>
        <w:spacing w:after="0" w:line="59" w:lineRule="exact"/>
        <w:rPr>
          <w:sz w:val="20"/>
          <w:szCs w:val="20"/>
          <w:color w:val="auto"/>
        </w:rPr>
      </w:pPr>
    </w:p>
    <w:p>
      <w:pPr>
        <w:ind w:left="520" w:firstLine="511"/>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2.4.3 </w:t>
      </w:r>
      <w:r>
        <w:rPr>
          <w:rFonts w:ascii="Times New Roman" w:cs="Times New Roman" w:eastAsia="Times New Roman" w:hAnsi="Times New Roman"/>
          <w:sz w:val="14"/>
          <w:szCs w:val="14"/>
          <w:color w:val="auto"/>
        </w:rPr>
        <w:t>If Licensee indicates in the Licensee Response that it is interested in pursuing such Third Party Product Proposal in the Undeveloped Product comprising the Third Party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Proposal through the negotiation of sublicense agreements with one or more third parties, Licensee will (a) commence commercially reasonable, good faith negotiations with respect thereto with one or more third parties identified by Licensee (including the Qualified Third Party that submitted the Third Party Product Proposal to Harvard), which may include the negotiation and execution of confidentiality agreements and/or material transfer agreements with such third parties on commercially reasonable terms, (b) diligently pursue such negotiations in good faith and use commercially reasonable efforts to enter into a sublicense agreement with respect to such Third Party Product Proposal in the Undeveloped Product comprising the Third Party Product Proposal as soon as is commercially reasonable and (c) provide Harvard with written updates not less than [***] with respect to the progress of its negotiations. If Licensee elects to pursue the negotiation of sublicense agreements under this Section 2.4.3, it shall execute at least one definitive bona fide term sheet with a third party with respect to a Third Party Product Proposal in the Undeveloped Product comprising the Third Party Product Proposal no later than [***] after the date of the Licensee Response. In addition, Licensee shall execute at least one sublicense agreement with respect to a Third Party Product Proposal in the Undeveloped Product comprising the Third Party Product Proposal no later than the date that is [***] from the date of execution of such definitive bona fide term sheet. During such time, Licensee shall comply with the obligations set forth in clauses (a) through (c) above. Notwithstanding the foregoing, Licensee may choose to initiate development of a Licensed Product in the Undeveloped Product comprising the Third Party Product Proposal at any time during its pursuit of a sublicense agreement under this Section 2.4.3, in which case Section 2.4.2 will apply. If Licensee fails to execute a sublicense agreement prior to the expiration of the time period specified above, and does not choose to initiate development of a Licensed Product in the Undeveloped Product comprising the Third Party Product Proposal at any time during its pursuit of a Sublicense agreement, or otherwise fails to comply with its obligations under this Section 2.4.3, the terms of Section 2.4.4 will apply. Harvard agrees to consider in good faith an extension of such periods of time for delays resulting from the actions or inactions of the Qualified Third Party, as demonstrated by reasonable evidence provided by Licensee.</w:t>
      </w:r>
    </w:p>
    <w:p>
      <w:pPr>
        <w:spacing w:after="0" w:line="61" w:lineRule="exact"/>
        <w:rPr>
          <w:sz w:val="20"/>
          <w:szCs w:val="20"/>
          <w:color w:val="auto"/>
        </w:rPr>
      </w:pPr>
    </w:p>
    <w:p>
      <w:pPr>
        <w:ind w:left="520" w:right="20"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2.4.4 </w:t>
      </w:r>
      <w:r>
        <w:rPr>
          <w:rFonts w:ascii="Times New Roman" w:cs="Times New Roman" w:eastAsia="Times New Roman" w:hAnsi="Times New Roman"/>
          <w:sz w:val="14"/>
          <w:szCs w:val="14"/>
          <w:color w:val="auto"/>
        </w:rPr>
        <w:t>If Licensee (a) states in the Licensee Response that it is not interested in developing such Third Party Product Proposal itself through the pursuit of a Licensed Product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Undeveloped Product included in the Third Party Product Proposal or through the negotiation of sublicense agreements with one or more third parties or (b) decides to proceed under Section 2.4.3 but fails to execute at least one sublicense agreement with respect to the Third Party Product Proposal or a Licensed Product in the Undeveloped Product comprising the Third Party Proposed Product within the period set forth in Section 2.4.3 above or any extensions thereof, then Harvard will thereafter have the right to pursue the Third Party Product Proposal with the Qualified Third Party that provided the Third Party Product Proposal to Harvard. Harvard will as soon as practicable enter into good faith negotiations with such Qualified Third Party with respect to the Third Party Product Proposal. In addition, Harvard will notify Licensee when it commences such negotiations. If Harvard reaches agreement with such Qualified Third Party with respect to such Third Party Product Proposal, (a) Harvard shall, (i) [***] (the “</w:t>
      </w:r>
      <w:r>
        <w:rPr>
          <w:rFonts w:ascii="Times New Roman" w:cs="Times New Roman" w:eastAsia="Times New Roman" w:hAnsi="Times New Roman"/>
          <w:sz w:val="14"/>
          <w:szCs w:val="14"/>
          <w:b w:val="1"/>
          <w:bCs w:val="1"/>
          <w:color w:val="auto"/>
        </w:rPr>
        <w:t>Patent Expenses</w:t>
      </w:r>
      <w:r>
        <w:rPr>
          <w:rFonts w:ascii="Times New Roman" w:cs="Times New Roman" w:eastAsia="Times New Roman" w:hAnsi="Times New Roman"/>
          <w:sz w:val="14"/>
          <w:szCs w:val="14"/>
          <w:color w:val="auto"/>
        </w:rPr>
        <w:t>”) [***], and (ii) include in such agreement an obligation of such Qualified Third Party to be responsible for an appropriate portion of the Patent Expenses incurred by Harvard after the effective date of the agreement with the Qualified Third Party for so long as such agreement is in effect; (b) Harvard and Licensee will promptly enter into an amendment to this Agreement that will exclude the Third Party Product Proposal from the exclusive license granted to Licensee hereunder, adjust the Patent Expenses for which Licensee is responsible under this Agreement in accordance with subsection (ii) above; and (c) [***].</w:t>
      </w:r>
    </w:p>
    <w:p>
      <w:pPr>
        <w:spacing w:after="0" w:line="62" w:lineRule="exact"/>
        <w:rPr>
          <w:sz w:val="20"/>
          <w:szCs w:val="20"/>
          <w:color w:val="auto"/>
        </w:rPr>
      </w:pPr>
    </w:p>
    <w:p>
      <w:pPr>
        <w:jc w:val="both"/>
        <w:ind w:left="520" w:right="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2.4.5 </w:t>
      </w:r>
      <w:r>
        <w:rPr>
          <w:rFonts w:ascii="Times New Roman" w:cs="Times New Roman" w:eastAsia="Times New Roman" w:hAnsi="Times New Roman"/>
          <w:sz w:val="14"/>
          <w:szCs w:val="14"/>
          <w:color w:val="auto"/>
        </w:rPr>
        <w:t>Each of Harvard and Licensee hereby acknowledges that the existence and terms of the rights set forth in this Section 2.4 constitute Confidential Information of both Parties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disclosure of which to any third party would adversely affect the rights of Licensee under this Agreement. In light of the above, each of Harvard and Licensee hereby agrees during the term of this Agreement that it will not disclose any such Confidential Information to any third party.</w:t>
      </w:r>
    </w:p>
    <w:p>
      <w:pPr>
        <w:spacing w:after="0" w:line="133" w:lineRule="exact"/>
        <w:rPr>
          <w:sz w:val="20"/>
          <w:szCs w:val="20"/>
          <w:color w:val="auto"/>
        </w:rPr>
      </w:pPr>
    </w:p>
    <w:p>
      <w:pPr>
        <w:ind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2.5 No Other Grant of Rights</w:t>
      </w:r>
      <w:r>
        <w:rPr>
          <w:rFonts w:ascii="Times New Roman" w:cs="Times New Roman" w:eastAsia="Times New Roman" w:hAnsi="Times New Roman"/>
          <w:sz w:val="14"/>
          <w:szCs w:val="14"/>
          <w:color w:val="auto"/>
        </w:rPr>
        <w:t>. Except as expressly provided herein, nothing in this Agreement will be construed to confer any ownership interest, license or other rights upon Licensee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Patent Rights.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433" w:name="page434"/>
    <w:bookmarkEnd w:id="433"/>
    <w:p>
      <w:pPr>
        <w:ind w:left="280" w:hanging="276"/>
        <w:spacing w:after="0"/>
        <w:tabs>
          <w:tab w:leader="none" w:pos="280" w:val="left"/>
        </w:tabs>
        <w:numPr>
          <w:ilvl w:val="0"/>
          <w:numId w:val="3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Development and Commercialization Diligence.</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3.1 General. </w:t>
      </w:r>
      <w:r>
        <w:rPr>
          <w:rFonts w:ascii="Times New Roman" w:cs="Times New Roman" w:eastAsia="Times New Roman" w:hAnsi="Times New Roman"/>
          <w:sz w:val="14"/>
          <w:szCs w:val="14"/>
          <w:color w:val="auto"/>
        </w:rPr>
        <w:t>Licensee shall use commercially reasonable efforts, itself or through its Affiliates and Sublicensees: (a) to develop Licensed Products in accordance with the Development Plan;</w:t>
      </w:r>
    </w:p>
    <w:p>
      <w:pPr>
        <w:spacing w:after="0" w:line="24" w:lineRule="exact"/>
        <w:rPr>
          <w:sz w:val="20"/>
          <w:szCs w:val="20"/>
          <w:color w:val="auto"/>
        </w:rPr>
      </w:pPr>
    </w:p>
    <w:p>
      <w:pPr>
        <w:ind w:right="40" w:firstLine="4"/>
        <w:spacing w:after="0" w:line="253" w:lineRule="auto"/>
        <w:tabs>
          <w:tab w:leader="none" w:pos="198"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introduce Licensed Products into the commercial market; (c) to market Licensed Products following such introduction into the market; and (d) to make Licensed Products available at locally-affordable prices in Developing Countries. In addition, Licensee, by itself or through its Affiliates or Sublicensees, shall achieve each of the Development Milestones within the time periods specified in Exhibit 1.6. Licensee and Harvard shall negotiate in good faith the Development Milestones to be set forth in Exhibit 1.6, and shall amend this Agreement and include such Development Milestones in Exhibit 1.6, within [***] after the Effective Date. If, however, Harvard and Licensee both negotiate in good faith but fail to agree on Development Milestones reasonably acceptable to Harvard within such [***] period, Harvard shall have the right to terminate this Agreement upon [***] notice to Licensee at any time after such [***] period.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3.2 Developing Countries. </w:t>
      </w:r>
      <w:r>
        <w:rPr>
          <w:rFonts w:ascii="Times New Roman" w:cs="Times New Roman" w:eastAsia="Times New Roman" w:hAnsi="Times New Roman"/>
          <w:sz w:val="14"/>
          <w:szCs w:val="14"/>
          <w:color w:val="auto"/>
        </w:rPr>
        <w:t>At any time beginning [***] after the date that the first Marketing Authorization of any Licensed Product is received in a country, Harvard shall have the right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 third parties a non-exclusive license under Harvard’s interests in the Patent Rights solely to develop, manufacture, have manufactured such Licensed Product or an equivalent thereof (e.g.,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generic product), in each case solely for sale, importation or other distribution of such Licensed Product or equivalent on a locally-affordable basis in any Developing Country(ies) in which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Licensed Product is not then available on a locally-affordable basis and not in any Developed Country; provided, that, (a) Harvard shall provide Licensee with not less than [***] prior written notice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its execution of any such license in any Developing Country and (b) any such license shall expressly exclude the right to export any Licensed Product from any Developing Country into any Developed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Country or to use the Licensed Product in any Developed Country. If either Licensee or Harvard becomes aware or has reason to believe that any Third Party licensee of Harvard is selling or exporting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Licensed Products, itself or through any other Third Party, outside of any Developing Country or within any Developing Country for use outside of any Developing Country, as the case may be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 Violation</w:t>
      </w:r>
      <w:r>
        <w:rPr>
          <w:rFonts w:ascii="Times New Roman" w:cs="Times New Roman" w:eastAsia="Times New Roman" w:hAnsi="Times New Roman"/>
          <w:sz w:val="14"/>
          <w:szCs w:val="14"/>
          <w:color w:val="auto"/>
        </w:rPr>
        <w:t>”), such party shall provide the other party with written notice thereof, and within [***] of such notice Harvard shall (i) take all reasonable actions to prevent the continuation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Third Party Violation, which may include terminating such license with the Third Party with respect to Licensed Products as promptly as possible pursuant to the terms thereof, and (ii) notify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Licensee in writing within [***] after taking any such steps.</w:t>
      </w:r>
    </w:p>
    <w:p>
      <w:pPr>
        <w:spacing w:after="0" w:line="159" w:lineRule="exact"/>
        <w:rPr>
          <w:sz w:val="20"/>
          <w:szCs w:val="20"/>
          <w:color w:val="auto"/>
        </w:rPr>
      </w:pPr>
    </w:p>
    <w:p>
      <w:pPr>
        <w:ind w:right="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3.3 Adjustments of Development Plan. </w:t>
      </w:r>
      <w:r>
        <w:rPr>
          <w:rFonts w:ascii="Times New Roman" w:cs="Times New Roman" w:eastAsia="Times New Roman" w:hAnsi="Times New Roman"/>
          <w:sz w:val="14"/>
          <w:szCs w:val="14"/>
          <w:color w:val="auto"/>
        </w:rPr>
        <w:t>Licensee will be entitled, from time to time, to make such adjustments to the then applicable Development Plan as Licensee believes, in its good faith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judgment, are needed in order to improve Licensee’s ability to meet the Development Milestones.</w:t>
      </w:r>
    </w:p>
    <w:p>
      <w:pPr>
        <w:spacing w:after="0" w:line="121" w:lineRule="exact"/>
        <w:rPr>
          <w:sz w:val="20"/>
          <w:szCs w:val="20"/>
          <w:color w:val="auto"/>
        </w:rPr>
      </w:pPr>
    </w:p>
    <w:p>
      <w:pPr>
        <w:ind w:right="8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3.4 Reporting. </w:t>
      </w:r>
      <w:r>
        <w:rPr>
          <w:rFonts w:ascii="Times New Roman" w:cs="Times New Roman" w:eastAsia="Times New Roman" w:hAnsi="Times New Roman"/>
          <w:sz w:val="14"/>
          <w:szCs w:val="14"/>
          <w:color w:val="auto"/>
        </w:rPr>
        <w:t>Within [***] after the end of each calendar year, Licensee shall furnish Harvard with a written report summarizing its, its Affiliates’ and its Sublicensees’ efforts during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year to develop and commercialize Licensed Products, including: (a) research and development activities; (b) commercialization and/or other distribution efforts; (c) marketing efforts; and (d) availability and pricing of Licensed Products in Developing Countries. Each report must contain a sufficient level of detail for Harvard to assess whether Licensee is in compliance with its obligations under Section 3.1 and a discussion of intended efforts for the then current year. Together with each report, Licensee shall provide Harvard with a copy of the then current Development Plan.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3.5 Failure to Meet Development Milestone; Opportunity to Cure. </w:t>
      </w:r>
      <w:r>
        <w:rPr>
          <w:rFonts w:ascii="Times New Roman" w:cs="Times New Roman" w:eastAsia="Times New Roman" w:hAnsi="Times New Roman"/>
          <w:sz w:val="14"/>
          <w:szCs w:val="14"/>
          <w:color w:val="auto"/>
        </w:rPr>
        <w:t>If Licensee believes that it will not achieve a Development Milestone, it may notify Harvard in writing in advance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deadline. Licensee shall include with such notice (a) a reasonable explanation of the reasons for such failure (and lack of finances will not constitute reasonable basis for such failure)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Explanation</w:t>
      </w:r>
      <w:r>
        <w:rPr>
          <w:rFonts w:ascii="Times New Roman" w:cs="Times New Roman" w:eastAsia="Times New Roman" w:hAnsi="Times New Roman"/>
          <w:sz w:val="14"/>
          <w:szCs w:val="14"/>
          <w:color w:val="auto"/>
        </w:rPr>
        <w:t>”) and (b) a reasonable, detailed, written plan for promptly achieving a reasonable extended and/or amended milestone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Harvard acknowledges that a reasonable Explanation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adverse experimental, toxicology or efficacy results received in preclinical trials or adverse results achieved in clinical trials with respect to any Licensed Product that are beyond the reasonable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control of Licensee or the occurrence of a Force Majeure event. If Licensee so notifies Harvard, but fails to provide Harvard with both an Explanation and Plan, then Licensee will have an additional</w:t>
      </w:r>
    </w:p>
    <w:p>
      <w:pPr>
        <w:spacing w:after="0" w:line="7" w:lineRule="exact"/>
        <w:rPr>
          <w:sz w:val="20"/>
          <w:szCs w:val="20"/>
          <w:color w:val="auto"/>
        </w:rPr>
      </w:pPr>
    </w:p>
    <w:p>
      <w:pPr>
        <w:ind w:right="40" w:firstLine="4"/>
        <w:spacing w:after="0" w:line="252" w:lineRule="auto"/>
        <w:tabs>
          <w:tab w:leader="none" w:pos="339"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until the original deadline of the relevant Development Milestone, whichever is later, to meet such Development Milestone. Licensee’s failure to do so shall constitute a material breach of this Agreement and Harvard shall have the right to terminate this Agreement immediately upon written notice to Licensee. If Licensee so notifies Harvard and provides Harvard with an Explanation and Plan, both of which are acceptable to Harvard in its reasonable discretion, then Exhibit 1.6 will be amended automatically to incorporate the extended and/or amended milestone set forth in the Plan. If Licensee so notifies Harvard and provides Harvard with an Explanation and Plan, but the Explanation is not acceptable to Harvard in its reasonable discretion (e.g., Licensee asserts lack of finances or development preference for a non-Licensed Product, as an Explanation), then Licensee will have an additional [***] or until the original deadline of the relevant Development Milestone, whichever is later, to meet such Development Milestone. Licensee’s failure to do so shall constitute a material breach of this Agreement and Harvard shall have the right to terminate this Agreement immediately upon written notice to Licensee. If Licensee so notifies Harvard and provides Harvard with an Explanation and Plan, but the Plan is not acceptable to Harvard in its reasonable discretion, then Harvard will explain to Licensee why the Plan is not acceptable and provide Licensee with suggestions for an acceptable Plan. Licensee will have one opportunity to provide Harvard with an acceptable Plan within [***], during which time Harvard agrees to work with Licensee in its effort to develop an acceptable Plan. If, within such [***], Licensee provides Harvard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1069" w:right="339" w:bottom="1440" w:gutter="0" w:footer="0" w:header="0"/>
        </w:sectPr>
      </w:pPr>
    </w:p>
    <w:bookmarkStart w:id="434" w:name="page435"/>
    <w:bookmarkEnd w:id="434"/>
    <w:p>
      <w:pPr>
        <w:ind w:right="120"/>
        <w:spacing w:after="0" w:line="258" w:lineRule="auto"/>
        <w:rPr>
          <w:sz w:val="20"/>
          <w:szCs w:val="20"/>
          <w:color w:val="auto"/>
        </w:rPr>
      </w:pPr>
      <w:r>
        <w:rPr>
          <w:rFonts w:ascii="Times New Roman" w:cs="Times New Roman" w:eastAsia="Times New Roman" w:hAnsi="Times New Roman"/>
          <w:sz w:val="14"/>
          <w:szCs w:val="14"/>
          <w:color w:val="auto"/>
        </w:rPr>
        <w:t>with an acceptable Plan, then Exhibit 1.6 will be amended automatically to incorporate the extended and/or amended milestone set forth in the Plan. If, within such [***], Licensee fails to provide an acceptable Plan, then Licensee will have an additional [***] or until the original deadline of the relevant Development Milestone, whichever is later, to meet such Development Milestone. Licensee’s failure to do so shall constitute a material breach of this Agreement and Harvard shall have the right to terminate this Agreement immediately upon written notice to Licensee. For clarity, if Licensee fails to achieve a Development Milestone and does not avail itself of the procedure set forth in this Section 3.5, such failure shall be a material breach that entitles Harvard to proceed under Section 10.2.2.1.</w:t>
      </w:r>
    </w:p>
    <w:p>
      <w:pPr>
        <w:spacing w:after="0" w:line="226" w:lineRule="exact"/>
        <w:rPr>
          <w:sz w:val="20"/>
          <w:szCs w:val="20"/>
          <w:color w:val="auto"/>
        </w:rPr>
      </w:pPr>
    </w:p>
    <w:p>
      <w:pPr>
        <w:ind w:left="520" w:right="8840" w:hanging="516"/>
        <w:spacing w:after="0" w:line="376" w:lineRule="auto"/>
        <w:tabs>
          <w:tab w:leader="none" w:pos="289"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Consideration for Grant of License. 4.1 Equity</w:t>
      </w:r>
      <w:r>
        <w:rPr>
          <w:rFonts w:ascii="Times New Roman" w:cs="Times New Roman" w:eastAsia="Times New Roman" w:hAnsi="Times New Roman"/>
          <w:sz w:val="14"/>
          <w:szCs w:val="14"/>
          <w:color w:val="auto"/>
        </w:rPr>
        <w:t>.</w:t>
      </w:r>
    </w:p>
    <w:p>
      <w:pPr>
        <w:ind w:left="520" w:right="14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4.1.1 Issuance. </w:t>
      </w:r>
      <w:r>
        <w:rPr>
          <w:rFonts w:ascii="Times New Roman" w:cs="Times New Roman" w:eastAsia="Times New Roman" w:hAnsi="Times New Roman"/>
          <w:sz w:val="14"/>
          <w:szCs w:val="14"/>
          <w:color w:val="auto"/>
        </w:rPr>
        <w:t>As partial consideration for the license granted hereunder and pursuant to a mutually-agreeable stock purchase or subscription agreement to be executed by each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Harvard and Licensee on the Effective Date, within [***] after the Effective Date, Licensee shall issue to Harvard [***] shares of Licensee’s common stock, which represents [***] of Licensee’s capital stock on a Fully Diluted Basis (as defined below) as of [***]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The Shares shall have the rights and obligations set forth in the then-effective Certificate of Incorporation and Bylaws of Licensee, which such documents shall be in the same form, without modification, amendment or supplement, as those provided to Harvard and as certified by Licensee as of the Effective Date. [***]. Upon the Effective Date, Licensee shall provide to Harvard a capitalization table setting forth all of the capital stock of Licensee, on a Fully-Diluted Basis as of the date of the Series A Equity Investment.</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4.1.2 Representations and Warranties. </w:t>
      </w:r>
      <w:r>
        <w:rPr>
          <w:rFonts w:ascii="Times New Roman" w:cs="Times New Roman" w:eastAsia="Times New Roman" w:hAnsi="Times New Roman"/>
          <w:sz w:val="14"/>
          <w:szCs w:val="14"/>
          <w:color w:val="auto"/>
        </w:rPr>
        <w:t>Licensee represents and warrants to Harvard that:</w:t>
      </w:r>
    </w:p>
    <w:p>
      <w:pPr>
        <w:spacing w:after="0" w:line="91" w:lineRule="exact"/>
        <w:rPr>
          <w:sz w:val="20"/>
          <w:szCs w:val="20"/>
          <w:color w:val="auto"/>
        </w:rPr>
      </w:pPr>
    </w:p>
    <w:p>
      <w:pPr>
        <w:ind w:left="1020"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4.1.2.1 </w:t>
      </w:r>
      <w:r>
        <w:rPr>
          <w:rFonts w:ascii="Times New Roman" w:cs="Times New Roman" w:eastAsia="Times New Roman" w:hAnsi="Times New Roman"/>
          <w:sz w:val="14"/>
          <w:szCs w:val="14"/>
          <w:color w:val="auto"/>
        </w:rPr>
        <w:t>the capitalization table attached at Exhibit 4.1.2.1 (the “</w:t>
      </w:r>
      <w:r>
        <w:rPr>
          <w:rFonts w:ascii="Times New Roman" w:cs="Times New Roman" w:eastAsia="Times New Roman" w:hAnsi="Times New Roman"/>
          <w:sz w:val="14"/>
          <w:szCs w:val="14"/>
          <w:b w:val="1"/>
          <w:bCs w:val="1"/>
          <w:color w:val="auto"/>
        </w:rPr>
        <w:t>Cap Table</w:t>
      </w:r>
      <w:r>
        <w:rPr>
          <w:rFonts w:ascii="Times New Roman" w:cs="Times New Roman" w:eastAsia="Times New Roman" w:hAnsi="Times New Roman"/>
          <w:sz w:val="14"/>
          <w:szCs w:val="14"/>
          <w:color w:val="auto"/>
        </w:rPr>
        <w:t>”) sets forth all of the capital stock of Licensee on a Fully-Diluted Basis as of the date of the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Equity Investment;</w:t>
      </w:r>
    </w:p>
    <w:p>
      <w:pPr>
        <w:spacing w:after="0" w:line="37" w:lineRule="exact"/>
        <w:rPr>
          <w:sz w:val="20"/>
          <w:szCs w:val="20"/>
          <w:color w:val="auto"/>
        </w:rPr>
      </w:pPr>
    </w:p>
    <w:p>
      <w:pPr>
        <w:ind w:left="10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4.1.2.2 </w:t>
      </w:r>
      <w:r>
        <w:rPr>
          <w:rFonts w:ascii="Times New Roman" w:cs="Times New Roman" w:eastAsia="Times New Roman" w:hAnsi="Times New Roman"/>
          <w:sz w:val="14"/>
          <w:szCs w:val="14"/>
          <w:color w:val="auto"/>
        </w:rPr>
        <w:t>other than as set forth in the Cap Table, as of the date of the Series A Equity Investment, there are no outstanding shares of capital stock, convertible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warrants, options or other rights to subscribe for, purchase or acquire from Licensee any capital stock of Licensee and there are no contracts or binding commitments providing for the issuance of, or the granting of rights to acquire, any capital stock of Licensee or under which Licensee is, or may become, obligated to issue any of its securities; and</w:t>
      </w:r>
    </w:p>
    <w:p>
      <w:pPr>
        <w:spacing w:after="0" w:line="49" w:lineRule="exact"/>
        <w:rPr>
          <w:sz w:val="20"/>
          <w:szCs w:val="20"/>
          <w:color w:val="auto"/>
        </w:rPr>
      </w:pPr>
    </w:p>
    <w:p>
      <w:pPr>
        <w:ind w:left="1020" w:right="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4.1.2.3 </w:t>
      </w:r>
      <w:r>
        <w:rPr>
          <w:rFonts w:ascii="Times New Roman" w:cs="Times New Roman" w:eastAsia="Times New Roman" w:hAnsi="Times New Roman"/>
          <w:sz w:val="14"/>
          <w:szCs w:val="14"/>
          <w:color w:val="auto"/>
        </w:rPr>
        <w:t>the Shares, when issued pursuant to the terms hereof, shall, upon such issuance, be duly authorized, validly issued, fully paid and nonassessable, and represent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Licensee’s capital stock on a Fully Diluted Basis as of [***].</w:t>
      </w:r>
    </w:p>
    <w:p>
      <w:pPr>
        <w:spacing w:after="0" w:line="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4.1.3 Definitions. </w:t>
      </w:r>
      <w:r>
        <w:rPr>
          <w:rFonts w:ascii="Times New Roman" w:cs="Times New Roman" w:eastAsia="Times New Roman" w:hAnsi="Times New Roman"/>
          <w:sz w:val="14"/>
          <w:szCs w:val="14"/>
          <w:color w:val="auto"/>
        </w:rPr>
        <w:t>The following terms shall have the following meanings:</w:t>
      </w:r>
    </w:p>
    <w:p>
      <w:pPr>
        <w:spacing w:after="0" w:line="91" w:lineRule="exact"/>
        <w:rPr>
          <w:sz w:val="20"/>
          <w:szCs w:val="20"/>
          <w:color w:val="auto"/>
        </w:rPr>
      </w:pPr>
    </w:p>
    <w:p>
      <w:pPr>
        <w:ind w:left="102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4.1.3.1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Fully Diluted Basis</w:t>
      </w:r>
      <w:r>
        <w:rPr>
          <w:rFonts w:ascii="Times New Roman" w:cs="Times New Roman" w:eastAsia="Times New Roman" w:hAnsi="Times New Roman"/>
          <w:sz w:val="14"/>
          <w:szCs w:val="14"/>
          <w:color w:val="auto"/>
        </w:rPr>
        <w:t>” shall mean, as of the date of the Series A Equity Investment, the number of shares of common stock and Series A Shares issued as part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Series A Equity Investment of Licensee then-outstanding (assuming conversion of all outstanding stock other than common stock into common stock), plus the number of shares of common stock of Licensee issuable upon exercise or conversion of then-outstanding convertible securities, options, rights or warrants of Licensee (which shall be determined without regard to whether such securities are then vested, exercisable or convertible), plus the number of shares of common stock of Licensee that would be outstanding or acquirable, directly or indirectly, upon the issuance (and exercise, conversion or exchange, if applicable) of all securities reserved or otherwise intended for future issuance under any stock purchase, stock option or other compensatory benefit plan or arrangement of Licensee.</w:t>
      </w:r>
    </w:p>
    <w:p>
      <w:pPr>
        <w:spacing w:after="0" w:line="59" w:lineRule="exact"/>
        <w:rPr>
          <w:sz w:val="20"/>
          <w:szCs w:val="20"/>
          <w:color w:val="auto"/>
        </w:rPr>
      </w:pPr>
    </w:p>
    <w:p>
      <w:pPr>
        <w:ind w:left="1020"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4.1.3.2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 A Equity Investment</w:t>
      </w:r>
      <w:r>
        <w:rPr>
          <w:rFonts w:ascii="Times New Roman" w:cs="Times New Roman" w:eastAsia="Times New Roman" w:hAnsi="Times New Roman"/>
          <w:sz w:val="14"/>
          <w:szCs w:val="14"/>
          <w:color w:val="auto"/>
        </w:rPr>
        <w:t>” shall mean the capital investment (in cash, in one or more tranches) in Licensee by third party investors of [***] in exchange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of Series A Preferred Stock (the “</w:t>
      </w:r>
      <w:r>
        <w:rPr>
          <w:rFonts w:ascii="Times New Roman" w:cs="Times New Roman" w:eastAsia="Times New Roman" w:hAnsi="Times New Roman"/>
          <w:sz w:val="14"/>
          <w:szCs w:val="14"/>
          <w:b w:val="1"/>
          <w:bCs w:val="1"/>
          <w:color w:val="auto"/>
        </w:rPr>
        <w:t>Series A Shares</w:t>
      </w:r>
      <w:r>
        <w:rPr>
          <w:rFonts w:ascii="Times New Roman" w:cs="Times New Roman" w:eastAsia="Times New Roman" w:hAnsi="Times New Roman"/>
          <w:sz w:val="14"/>
          <w:szCs w:val="14"/>
          <w:color w:val="auto"/>
        </w:rPr>
        <w:t>”) issued by Licensee in one or more closings, wherein each such issuance is made at the same per share price and pursuant to agreements granting the same rights to all the holders of such class of preferred equity security.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A</w:t>
      </w:r>
      <w:r>
        <w:rPr>
          <w:rFonts w:ascii="Times New Roman" w:cs="Times New Roman" w:eastAsia="Times New Roman" w:hAnsi="Times New Roman"/>
          <w:sz w:val="14"/>
          <w:szCs w:val="14"/>
          <w:b w:val="1"/>
          <w:bCs w:val="1"/>
          <w:color w:val="auto"/>
        </w:rPr>
        <w:t xml:space="preserve">nnual License Maintenance Fees. </w:t>
      </w:r>
      <w:r>
        <w:rPr>
          <w:rFonts w:ascii="Times New Roman" w:cs="Times New Roman" w:eastAsia="Times New Roman" w:hAnsi="Times New Roman"/>
          <w:sz w:val="14"/>
          <w:szCs w:val="14"/>
          <w:color w:val="auto"/>
        </w:rPr>
        <w:t>Licensee shall pay Harvard annual license maintenance fee as follows:</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4.2.1 </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4.2.2 </w:t>
      </w:r>
      <w:r>
        <w:rPr>
          <w:rFonts w:ascii="Times New Roman" w:cs="Times New Roman" w:eastAsia="Times New Roman" w:hAnsi="Times New Roman"/>
          <w:sz w:val="14"/>
          <w:szCs w:val="14"/>
          <w:color w:val="auto"/>
        </w:rPr>
        <w:t>[***]; and</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4.2.3 </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4.2.4 </w:t>
      </w:r>
      <w:r>
        <w:rPr>
          <w:rFonts w:ascii="Times New Roman" w:cs="Times New Roman" w:eastAsia="Times New Roman" w:hAnsi="Times New Roman"/>
          <w:sz w:val="14"/>
          <w:szCs w:val="14"/>
          <w:color w:val="auto"/>
        </w:rPr>
        <w:t>Each such fee shall be due and payable on January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calendar year immediately following the calendar year to which such fee applies.</w:t>
      </w:r>
    </w:p>
    <w:p>
      <w:pPr>
        <w:spacing w:after="0" w:line="49" w:lineRule="exact"/>
        <w:rPr>
          <w:sz w:val="20"/>
          <w:szCs w:val="20"/>
          <w:color w:val="auto"/>
        </w:rPr>
      </w:pPr>
    </w:p>
    <w:p>
      <w:pPr>
        <w:ind w:left="520" w:right="4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4.2.5 </w:t>
      </w:r>
      <w:r>
        <w:rPr>
          <w:rFonts w:ascii="Times New Roman" w:cs="Times New Roman" w:eastAsia="Times New Roman" w:hAnsi="Times New Roman"/>
          <w:sz w:val="14"/>
          <w:szCs w:val="14"/>
          <w:color w:val="auto"/>
        </w:rPr>
        <w:t>Each annual license maintenance fee shall be creditable against any royalty amounts payable under Section 4.4 below with respect to Licensed Products sold in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year to which such annual license maintenance fee applies.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6" w:right="33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4"/>
          <w:szCs w:val="14"/>
          <w:b w:val="1"/>
          <w:bCs w:val="1"/>
          <w:color w:val="auto"/>
        </w:rPr>
        <w:t>4.3 Milestone Payments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4.3.1 </w:t>
      </w:r>
      <w:r>
        <w:rPr>
          <w:rFonts w:ascii="Times New Roman" w:cs="Times New Roman" w:eastAsia="Times New Roman" w:hAnsi="Times New Roman"/>
          <w:sz w:val="14"/>
          <w:szCs w:val="14"/>
          <w:color w:val="auto"/>
        </w:rPr>
        <w:t>Licensee shall pay Harvard the following milestones with respect to each Licensed Product under this Agreement to reach each milestone, regardless of whether such milestone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achieved by Licensee or any Affiliate, Sublicensee or licensee of Licensee: [***].</w:t>
      </w:r>
    </w:p>
    <w:p>
      <w:pPr>
        <w:spacing w:after="0" w:line="37" w:lineRule="exact"/>
        <w:rPr>
          <w:sz w:val="20"/>
          <w:szCs w:val="20"/>
          <w:color w:val="auto"/>
        </w:rPr>
      </w:pPr>
    </w:p>
    <w:p>
      <w:pPr>
        <w:ind w:right="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4.3.2 </w:t>
      </w:r>
      <w:r>
        <w:rPr>
          <w:rFonts w:ascii="Times New Roman" w:cs="Times New Roman" w:eastAsia="Times New Roman" w:hAnsi="Times New Roman"/>
          <w:sz w:val="14"/>
          <w:szCs w:val="14"/>
          <w:color w:val="auto"/>
        </w:rPr>
        <w:t>Licensee shall notify Harvard in writing within [***] following the achievement of such milestone described in Section 4.3.1, and shall make the appropriate milestone payment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 after the achievement of such milestone.</w:t>
      </w:r>
    </w:p>
    <w:p>
      <w:pPr>
        <w:spacing w:after="0" w:line="37" w:lineRule="exact"/>
        <w:rPr>
          <w:sz w:val="20"/>
          <w:szCs w:val="20"/>
          <w:color w:val="auto"/>
        </w:rPr>
      </w:pPr>
    </w:p>
    <w:p>
      <w:pPr>
        <w:ind w:right="4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4.3.3 </w:t>
      </w:r>
      <w:r>
        <w:rPr>
          <w:rFonts w:ascii="Times New Roman" w:cs="Times New Roman" w:eastAsia="Times New Roman" w:hAnsi="Times New Roman"/>
          <w:sz w:val="14"/>
          <w:szCs w:val="14"/>
          <w:color w:val="auto"/>
        </w:rPr>
        <w:t>The milestones set forth in Section 4.3.1.1-4.3.1.4 are intended to be successive. If a Licensed Product is not required to undergo the event associated with a particular milestone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a Licensed Product (each, a “</w:t>
      </w:r>
      <w:r>
        <w:rPr>
          <w:rFonts w:ascii="Times New Roman" w:cs="Times New Roman" w:eastAsia="Times New Roman" w:hAnsi="Times New Roman"/>
          <w:sz w:val="14"/>
          <w:szCs w:val="14"/>
          <w:b w:val="1"/>
          <w:bCs w:val="1"/>
          <w:color w:val="auto"/>
        </w:rPr>
        <w:t>Skipped Milestone</w:t>
      </w:r>
      <w:r>
        <w:rPr>
          <w:rFonts w:ascii="Times New Roman" w:cs="Times New Roman" w:eastAsia="Times New Roman" w:hAnsi="Times New Roman"/>
          <w:sz w:val="14"/>
          <w:szCs w:val="14"/>
          <w:color w:val="auto"/>
        </w:rPr>
        <w:t>”), such Skipped Milestone will be deemed to have been achieved upon the achievement by such Licensed Product of the next successive milestone set forth in Section 4.3.1.1-4.3.1.4 or any milestone set forth in Sections 4.3.1.5-4.3.1.7 (each, an “</w:t>
      </w:r>
      <w:r>
        <w:rPr>
          <w:rFonts w:ascii="Times New Roman" w:cs="Times New Roman" w:eastAsia="Times New Roman" w:hAnsi="Times New Roman"/>
          <w:sz w:val="14"/>
          <w:szCs w:val="14"/>
          <w:b w:val="1"/>
          <w:bCs w:val="1"/>
          <w:color w:val="auto"/>
        </w:rPr>
        <w:t>Achieved Milestone</w:t>
      </w:r>
      <w:r>
        <w:rPr>
          <w:rFonts w:ascii="Times New Roman" w:cs="Times New Roman" w:eastAsia="Times New Roman" w:hAnsi="Times New Roman"/>
          <w:sz w:val="14"/>
          <w:szCs w:val="14"/>
          <w:color w:val="auto"/>
        </w:rPr>
        <w:t>”). Payment for any Skipped Milestone that is owed in accordance with the provisions of this Section 4.3.3 shall be due within [***] after the achievement of the Achieved Milestone.</w:t>
      </w:r>
    </w:p>
    <w:p>
      <w:pPr>
        <w:spacing w:after="0" w:line="54" w:lineRule="exact"/>
        <w:rPr>
          <w:sz w:val="20"/>
          <w:szCs w:val="20"/>
          <w:color w:val="auto"/>
        </w:rPr>
      </w:pPr>
    </w:p>
    <w:p>
      <w:pPr>
        <w:jc w:val="both"/>
        <w:ind w:right="1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4.3.4 </w:t>
      </w:r>
      <w:r>
        <w:rPr>
          <w:rFonts w:ascii="Times New Roman" w:cs="Times New Roman" w:eastAsia="Times New Roman" w:hAnsi="Times New Roman"/>
          <w:sz w:val="14"/>
          <w:szCs w:val="14"/>
          <w:color w:val="auto"/>
        </w:rPr>
        <w:t>For purposes of clarity, Licensee shall make a milestone payment corresponding to each of the foregoing milestone events only once per Licensed Product under Section 4.3.1,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regardless of the number of times such milestone event is achieved with respect to such Licensed Product and/or the number of indications for which such Licensed Product is developed and commercialized. [***].</w:t>
      </w:r>
    </w:p>
    <w:p>
      <w:pPr>
        <w:spacing w:after="0" w:line="49" w:lineRule="exact"/>
        <w:rPr>
          <w:sz w:val="20"/>
          <w:szCs w:val="20"/>
          <w:color w:val="auto"/>
        </w:rPr>
      </w:pPr>
    </w:p>
    <w:p>
      <w:pPr>
        <w:jc w:val="both"/>
        <w:ind w:right="3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4.3.5 </w:t>
      </w:r>
      <w:r>
        <w:rPr>
          <w:rFonts w:ascii="Times New Roman" w:cs="Times New Roman" w:eastAsia="Times New Roman" w:hAnsi="Times New Roman"/>
          <w:sz w:val="14"/>
          <w:szCs w:val="14"/>
          <w:color w:val="auto"/>
        </w:rPr>
        <w:t>If Licensee or any of its Affiliates receives Non-Royalty Income with respect to a Sublicensee ‘s achievement of any milestone listed in this Section 4.3, the amount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milestone payment actually paid by Licensee under this Section 4.3 with respect to the achievement of the corresponding milestone shall be deducted from Non-Royalty Income on which Licensee must pay fees to Harvard under Section 4.5.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4.4 Royalty on Net Sales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right="16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4.4.1 Type I Licensed Product Rate. </w:t>
      </w:r>
      <w:r>
        <w:rPr>
          <w:rFonts w:ascii="Times New Roman" w:cs="Times New Roman" w:eastAsia="Times New Roman" w:hAnsi="Times New Roman"/>
          <w:sz w:val="14"/>
          <w:szCs w:val="14"/>
          <w:color w:val="auto"/>
        </w:rPr>
        <w:t>Licensee shall pay Harvard, on a country-by-country basis, an amount equal to [***] of Net Sales of Type I Licensed Products made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prior to the expiration of the last to expire Valid Claim within the Patent Rights covering or claiming the composition, manufacture, sale or use of such Type I Licensed Product in such country. With respect to Net Sales attributable to Licensed Product(s) sold in any Developing Country(ies) in which Licensee, either directly or through any of its Affiliates, Sublicensees or agents, makes such Licensed Product(s) available on a locally-affordable basis, solely for use in Developing Countries and not for further sale or use in any Developed Country(ies), the applicable royalty rate shall be reduced to [***].</w:t>
      </w:r>
    </w:p>
    <w:p>
      <w:pPr>
        <w:spacing w:after="0" w:line="56"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4.4.2 Type II Licensed Product Rate</w:t>
      </w:r>
      <w:r>
        <w:rPr>
          <w:rFonts w:ascii="Times New Roman" w:cs="Times New Roman" w:eastAsia="Times New Roman" w:hAnsi="Times New Roman"/>
          <w:sz w:val="14"/>
          <w:szCs w:val="14"/>
          <w:color w:val="auto"/>
        </w:rPr>
        <w:t>. Licensee shall pay Harvard an amount equal to [***] of Net Sales of Type II Licensed Products on a country-by-country basis for a period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twelve (12) years from the date of the First Commercial Sale of such Licensed Product in such country. For clarity, the Parties hereby agree that if a Licensed Product ceases to be a Type I Licensed Product in such country due to expiration of Patent Rights prior to the end of the twelve-year period following First Commercial Sale of such Licensed Product in such country, such Licensed Product shall be deemed a Type II Licensed Product thereafter for the balance of such twelve (12) year period, and Licensee shall pay Harvard royalties on Net Sales of such Licensed Product at a rate that is [***] the rate charged for such Licensed Product under Section 4.4.1 prior to expiration of Patent Rights covering such Licensed Product, on a country-by-country basis until the expiration of the applicable twelve-year period following the First Commercial Sale of such Licensed Product in such country. With respect to Net Sales attributable to Licensed Product(s) sold in any Developing Country(ies) in which Licensee, either directly or through any of its Affiliates or Sublicensees, makes such Licensed Product(s) available on a locally-affordable basis, solely for use in Developing Countries and not for further sale or use in any Developed Country(ies), the applicable royalty rate shall be reduced to [***]. The Parties acknowledge that the consideration terms and structure set forth in this Section 4.4.2 were agreed upon for convenience purposes with the intent of compensating Harvard for the rights granted under this Agreement, and the key role such rights and intellectual property will have in the activities of Licensee and its ability to develop and commercialize Licensed Products, and represent the fair market value of such rights as determined and agreed upon by the Parties.</w:t>
      </w:r>
    </w:p>
    <w:p>
      <w:pPr>
        <w:spacing w:after="0" w:line="60" w:lineRule="exact"/>
        <w:rPr>
          <w:sz w:val="20"/>
          <w:szCs w:val="20"/>
          <w:color w:val="auto"/>
        </w:rPr>
      </w:pPr>
    </w:p>
    <w:p>
      <w:pPr>
        <w:ind w:right="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4.4.3 Third Party Royalty Set-Off</w:t>
      </w:r>
      <w:r>
        <w:rPr>
          <w:rFonts w:ascii="Times New Roman" w:cs="Times New Roman" w:eastAsia="Times New Roman" w:hAnsi="Times New Roman"/>
          <w:sz w:val="14"/>
          <w:szCs w:val="14"/>
          <w:color w:val="auto"/>
        </w:rPr>
        <w:t>. If Licensee obtains a license from a Third Party to a Third Party Patent in a particular country after arm’s length negotiations, it may offset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royalty payments due thereunder with respect to sales of Type I Licensed Products against the royalty payments that are due to Harvard with respect to Net Sales of such Type I Licensed Products in such country; provided that in no event shall [***].</w:t>
      </w:r>
    </w:p>
    <w:p>
      <w:pPr>
        <w:spacing w:after="0" w:line="49"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4.4.4 Patent Challenge</w:t>
      </w:r>
      <w:r>
        <w:rPr>
          <w:rFonts w:ascii="Times New Roman" w:cs="Times New Roman" w:eastAsia="Times New Roman" w:hAnsi="Times New Roman"/>
          <w:sz w:val="14"/>
          <w:szCs w:val="14"/>
          <w:color w:val="auto"/>
        </w:rPr>
        <w:t>. If Licensee, its Affiliate or a Sublicensee (“</w:t>
      </w:r>
      <w:r>
        <w:rPr>
          <w:rFonts w:ascii="Times New Roman" w:cs="Times New Roman" w:eastAsia="Times New Roman" w:hAnsi="Times New Roman"/>
          <w:sz w:val="14"/>
          <w:szCs w:val="14"/>
          <w:b w:val="1"/>
          <w:bCs w:val="1"/>
          <w:color w:val="auto"/>
        </w:rPr>
        <w:t>Challenging Party</w:t>
      </w:r>
      <w:r>
        <w:rPr>
          <w:rFonts w:ascii="Times New Roman" w:cs="Times New Roman" w:eastAsia="Times New Roman" w:hAnsi="Times New Roman"/>
          <w:sz w:val="14"/>
          <w:szCs w:val="14"/>
          <w:color w:val="auto"/>
        </w:rPr>
        <w:t>”) commences an action in which it challenges the validity, enforceability or scope of any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Patent Rights (a “</w:t>
      </w:r>
      <w:r>
        <w:rPr>
          <w:rFonts w:ascii="Times New Roman" w:cs="Times New Roman" w:eastAsia="Times New Roman" w:hAnsi="Times New Roman"/>
          <w:sz w:val="14"/>
          <w:szCs w:val="14"/>
          <w:b w:val="1"/>
          <w:bCs w:val="1"/>
          <w:color w:val="auto"/>
        </w:rPr>
        <w:t>Challenge Proceeding</w:t>
      </w:r>
      <w:r>
        <w:rPr>
          <w:rFonts w:ascii="Times New Roman" w:cs="Times New Roman" w:eastAsia="Times New Roman" w:hAnsi="Times New Roman"/>
          <w:sz w:val="14"/>
          <w:szCs w:val="14"/>
          <w:color w:val="auto"/>
        </w:rPr>
        <w:t>”), the royalty rates specified in Sections 4.4.1 and 4.4.2 [***] with respect to Net Sales of Licensed Products that are sold during the pendency of such Challenge Proceeding. If the outcome of such Challenge Proceeding is a determination against the Challenging Party, (a) the royalty rates specified in Sections 4.4.1 and 4.4.3 with respect to Net Sales of Licensed Products that are covered by the Patent Rights that are the subject of such Challenge Proceeding shall [***] and (b) Licensee shall reimburse Harvard for all expenses incurred by Harvard (including reasonable attorneys’ fees) in connection with such Challenge Proceeding. If the outcome of such Challenge Proceeding is a determination in favor of the Challenging Party, Licensee will have no right to recoup any royalties paid before or during the pendency of such Challenge Proceeding.</w:t>
      </w:r>
    </w:p>
    <w:p>
      <w:pPr>
        <w:spacing w:after="0" w:line="1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370205</wp:posOffset>
            </wp:positionV>
            <wp:extent cx="7188200"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985" w:right="319" w:bottom="1440" w:gutter="0" w:footer="0" w:header="0"/>
        </w:sectPr>
      </w:pPr>
    </w:p>
    <w:bookmarkStart w:id="436" w:name="page437"/>
    <w:bookmarkEnd w:id="436"/>
    <w:p>
      <w:pPr>
        <w:jc w:val="both"/>
        <w:ind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4.5 Non-Royalty Income. </w:t>
      </w:r>
      <w:r>
        <w:rPr>
          <w:rFonts w:ascii="Times New Roman" w:cs="Times New Roman" w:eastAsia="Times New Roman" w:hAnsi="Times New Roman"/>
          <w:sz w:val="14"/>
          <w:szCs w:val="14"/>
          <w:color w:val="auto"/>
        </w:rPr>
        <w:t>Licensee will pay Harvard an amount equal to the following percentages of Non-Royalty Income specified below, based on the time that any such Sublicense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granted or Strategic Partnership is entered into:</w:t>
      </w:r>
    </w:p>
    <w:p>
      <w:pPr>
        <w:spacing w:after="0" w:line="37" w:lineRule="exact"/>
        <w:rPr>
          <w:sz w:val="20"/>
          <w:szCs w:val="20"/>
          <w:color w:val="auto"/>
        </w:rPr>
      </w:pPr>
    </w:p>
    <w:p>
      <w:pPr>
        <w:ind w:left="520"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4.5.1 </w:t>
      </w:r>
      <w:r>
        <w:rPr>
          <w:rFonts w:ascii="Times New Roman" w:cs="Times New Roman" w:eastAsia="Times New Roman" w:hAnsi="Times New Roman"/>
          <w:sz w:val="14"/>
          <w:szCs w:val="14"/>
          <w:color w:val="auto"/>
        </w:rPr>
        <w:t>[***] of Non-Royalty Income received under Sublicenses or Strategic Partnerships entered into prior to the enrollment of the first patient in a Phase 2 Clinical Study, on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Product covered by such Sublicenses or Strategic Partnerships; and</w:t>
      </w:r>
    </w:p>
    <w:p>
      <w:pPr>
        <w:spacing w:after="0" w:line="37" w:lineRule="exact"/>
        <w:rPr>
          <w:sz w:val="20"/>
          <w:szCs w:val="20"/>
          <w:color w:val="auto"/>
        </w:rPr>
      </w:pPr>
    </w:p>
    <w:p>
      <w:pPr>
        <w:ind w:left="520" w:right="2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4.5.2 </w:t>
      </w:r>
      <w:r>
        <w:rPr>
          <w:rFonts w:ascii="Times New Roman" w:cs="Times New Roman" w:eastAsia="Times New Roman" w:hAnsi="Times New Roman"/>
          <w:sz w:val="14"/>
          <w:szCs w:val="14"/>
          <w:color w:val="auto"/>
        </w:rPr>
        <w:t>[***] of Non-Royalty Income received under Sublicenses or Strategic Partnerships entered into after the enrollment of the first patient in a Phase 2 Clinical Study on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Product covered by such Sublicenses or Strategic Partnerships.</w:t>
      </w:r>
    </w:p>
    <w:p>
      <w:pPr>
        <w:spacing w:after="0" w:line="123" w:lineRule="exact"/>
        <w:rPr>
          <w:sz w:val="20"/>
          <w:szCs w:val="20"/>
          <w:color w:val="auto"/>
        </w:rPr>
      </w:pPr>
    </w:p>
    <w:p>
      <w:pPr>
        <w:jc w:val="both"/>
        <w:ind w:right="260" w:firstLine="511"/>
        <w:spacing w:after="0" w:line="267" w:lineRule="auto"/>
        <w:rPr>
          <w:sz w:val="20"/>
          <w:szCs w:val="20"/>
          <w:color w:val="auto"/>
        </w:rPr>
      </w:pPr>
      <w:r>
        <w:rPr>
          <w:rFonts w:ascii="Times New Roman" w:cs="Times New Roman" w:eastAsia="Times New Roman" w:hAnsi="Times New Roman"/>
          <w:sz w:val="14"/>
          <w:szCs w:val="14"/>
          <w:color w:val="auto"/>
        </w:rPr>
        <w:t>For clarity, these percentages apply to all Non-Royalty Income, and if a Licensed Product is covered by separate Sublicenses or Strategic Partnerships, the above percentages, as applied to Non-Royalty Income derived from each such Sublicense or Strategic Partnership, will be determined by reference [***] for the first Licensed Product covered by each such Sublicense or Strategic Partnership. Non-Royalty Income subject to the rates above shall not be subject to allocation or offset of any kind for any reason.</w:t>
      </w:r>
    </w:p>
    <w:p>
      <w:pPr>
        <w:spacing w:after="0" w:line="134"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4.6 Participation. </w:t>
      </w:r>
      <w:r>
        <w:rPr>
          <w:rFonts w:ascii="Times New Roman" w:cs="Times New Roman" w:eastAsia="Times New Roman" w:hAnsi="Times New Roman"/>
          <w:sz w:val="14"/>
          <w:szCs w:val="14"/>
          <w:color w:val="auto"/>
        </w:rPr>
        <w:t>In any private financing following the achievement of the Funding Threshold, where Licensee proposes to sell any equity securities of Licensee, or any securities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type whatsoever that are, or may become, convertible or exchangeable into or exercisable for equity securities of Licensee (an “</w:t>
      </w:r>
      <w:r>
        <w:rPr>
          <w:rFonts w:ascii="Times New Roman" w:cs="Times New Roman" w:eastAsia="Times New Roman" w:hAnsi="Times New Roman"/>
          <w:sz w:val="14"/>
          <w:szCs w:val="14"/>
          <w:b w:val="1"/>
          <w:bCs w:val="1"/>
          <w:color w:val="auto"/>
        </w:rPr>
        <w:t>Equity Offering</w:t>
      </w:r>
      <w:r>
        <w:rPr>
          <w:rFonts w:ascii="Times New Roman" w:cs="Times New Roman" w:eastAsia="Times New Roman" w:hAnsi="Times New Roman"/>
          <w:sz w:val="14"/>
          <w:szCs w:val="14"/>
          <w:color w:val="auto"/>
        </w:rPr>
        <w:t>”), then Harvard and/or its Assignee (as defined below) will have the right to purchase shares of Licensee capital stock in such Equity Offering by Licensee of such capital stock in exchange for cash to [***], pursuant to terms and conditions at least as favorable as those granted generally to the other offerees. For purposes of this Section 4.6, “</w:t>
      </w:r>
      <w:r>
        <w:rPr>
          <w:rFonts w:ascii="Times New Roman" w:cs="Times New Roman" w:eastAsia="Times New Roman" w:hAnsi="Times New Roman"/>
          <w:sz w:val="14"/>
          <w:szCs w:val="14"/>
          <w:b w:val="1"/>
          <w:bCs w:val="1"/>
          <w:color w:val="auto"/>
        </w:rPr>
        <w:t>Assignee</w:t>
      </w:r>
      <w:r>
        <w:rPr>
          <w:rFonts w:ascii="Times New Roman" w:cs="Times New Roman" w:eastAsia="Times New Roman" w:hAnsi="Times New Roman"/>
          <w:sz w:val="14"/>
          <w:szCs w:val="14"/>
          <w:color w:val="auto"/>
        </w:rPr>
        <w:t>” means any entity to which Harvard’s participation rights have been assigned by Harvard with the prior written consent of Licensee (such consent not to be unreasonably withheld). The foregoing participation right will be subject to the preemptive rights granted by Licensee to its preferred stock investors and will terminate immediately prior to any initial public offering or sale of Licensee. Notwithstanding the above, Harvard may assign its participation right hereunder to Osage Capital Partners (“Osage”), any Affiliate thereof, or any fund managed by Osage, upon written notice to Licensee without Licensee’s prior written consent.</w:t>
      </w:r>
    </w:p>
    <w:p>
      <w:pPr>
        <w:spacing w:after="0" w:line="228" w:lineRule="exact"/>
        <w:rPr>
          <w:sz w:val="20"/>
          <w:szCs w:val="20"/>
          <w:color w:val="auto"/>
        </w:rPr>
      </w:pPr>
    </w:p>
    <w:p>
      <w:pPr>
        <w:ind w:left="520" w:right="9160" w:hanging="516"/>
        <w:spacing w:after="0" w:line="376" w:lineRule="auto"/>
        <w:tabs>
          <w:tab w:leader="none" w:pos="289" w:val="left"/>
        </w:tabs>
        <w:numPr>
          <w:ilvl w:val="0"/>
          <w:numId w:val="3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Reports; Payments; Records. 5.1 Reports and Payments</w:t>
      </w:r>
      <w:r>
        <w:rPr>
          <w:rFonts w:ascii="Times New Roman" w:cs="Times New Roman" w:eastAsia="Times New Roman" w:hAnsi="Times New Roman"/>
          <w:sz w:val="14"/>
          <w:szCs w:val="14"/>
          <w:color w:val="auto"/>
        </w:rPr>
        <w:t>.</w:t>
      </w:r>
    </w:p>
    <w:p>
      <w:pPr>
        <w:ind w:left="520" w:right="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5.1.1 Reports. </w:t>
      </w:r>
      <w:r>
        <w:rPr>
          <w:rFonts w:ascii="Times New Roman" w:cs="Times New Roman" w:eastAsia="Times New Roman" w:hAnsi="Times New Roman"/>
          <w:sz w:val="14"/>
          <w:szCs w:val="14"/>
          <w:color w:val="auto"/>
        </w:rPr>
        <w:t>Within [***] after the conclusion of each Calendar Quarter commencing with the first Calendar Quarter in which Net Sales are generated or Non-Royalty Income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received, Licensee shall deliver to Harvard a report containing the following information (in each instance, with a Licensed Product-by-Licensed Product and country-by-country breakdown):</w:t>
      </w:r>
    </w:p>
    <w:p>
      <w:pPr>
        <w:spacing w:after="0" w:line="37" w:lineRule="exact"/>
        <w:rPr>
          <w:sz w:val="20"/>
          <w:szCs w:val="20"/>
          <w:color w:val="auto"/>
        </w:rPr>
      </w:pPr>
    </w:p>
    <w:p>
      <w:pPr>
        <w:ind w:left="1020" w:right="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5.1.1.1 </w:t>
      </w:r>
      <w:r>
        <w:rPr>
          <w:rFonts w:ascii="Times New Roman" w:cs="Times New Roman" w:eastAsia="Times New Roman" w:hAnsi="Times New Roman"/>
          <w:sz w:val="14"/>
          <w:szCs w:val="14"/>
          <w:color w:val="auto"/>
        </w:rPr>
        <w:t>the number of units of Licensed Products sold, leased or otherwise transferred by Invoicing Entities for the applicable Calendar Quarter (with a breakdown by type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Products—i.e., Type I Licensed Products vs. Type II Licensed Products);</w:t>
      </w:r>
    </w:p>
    <w:p>
      <w:pPr>
        <w:spacing w:after="0" w:line="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5.1.1.2 </w:t>
      </w:r>
      <w:r>
        <w:rPr>
          <w:rFonts w:ascii="Times New Roman" w:cs="Times New Roman" w:eastAsia="Times New Roman" w:hAnsi="Times New Roman"/>
          <w:sz w:val="14"/>
          <w:szCs w:val="14"/>
          <w:color w:val="auto"/>
        </w:rPr>
        <w:t>the gross amount billed or invoiced for Licensed Products sold, leased or otherwise transferred by Invoicing Entities during the applicable Calendar Quarter;</w:t>
      </w:r>
    </w:p>
    <w:p>
      <w:pPr>
        <w:spacing w:after="0" w:line="91" w:lineRule="exact"/>
        <w:rPr>
          <w:sz w:val="20"/>
          <w:szCs w:val="20"/>
          <w:color w:val="auto"/>
        </w:rPr>
      </w:pPr>
    </w:p>
    <w:p>
      <w:pPr>
        <w:ind w:left="1020" w:right="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5.1.1.3 </w:t>
      </w:r>
      <w:r>
        <w:rPr>
          <w:rFonts w:ascii="Times New Roman" w:cs="Times New Roman" w:eastAsia="Times New Roman" w:hAnsi="Times New Roman"/>
          <w:sz w:val="14"/>
          <w:szCs w:val="14"/>
          <w:color w:val="auto"/>
        </w:rPr>
        <w:t>with respect to each Licensed Product sold or otherwise distributed in any Developing Country on a tiered-pricing schedule, the sale prices of such Licensed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the applicable Calendar Quarter and number of units of Licensed Product sold at each price;</w:t>
      </w:r>
    </w:p>
    <w:p>
      <w:pPr>
        <w:spacing w:after="0" w:line="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5.1.1.4 </w:t>
      </w:r>
      <w:r>
        <w:rPr>
          <w:rFonts w:ascii="Times New Roman" w:cs="Times New Roman" w:eastAsia="Times New Roman" w:hAnsi="Times New Roman"/>
          <w:sz w:val="14"/>
          <w:szCs w:val="14"/>
          <w:color w:val="auto"/>
        </w:rPr>
        <w:t>a calculation of Net Sales for the applicable Calendar Quarter, including an itemized listing of allowable deductions;</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5.1.1.5 </w:t>
      </w:r>
      <w:r>
        <w:rPr>
          <w:rFonts w:ascii="Times New Roman" w:cs="Times New Roman" w:eastAsia="Times New Roman" w:hAnsi="Times New Roman"/>
          <w:sz w:val="14"/>
          <w:szCs w:val="14"/>
          <w:color w:val="auto"/>
        </w:rPr>
        <w:t>a detailed accounting of all Non-Royalty Income received during the applicable Calendar Quarter; and</w:t>
      </w:r>
    </w:p>
    <w:p>
      <w:pPr>
        <w:spacing w:after="0" w:line="91" w:lineRule="exact"/>
        <w:rPr>
          <w:sz w:val="20"/>
          <w:szCs w:val="20"/>
          <w:color w:val="auto"/>
        </w:rPr>
      </w:pPr>
    </w:p>
    <w:p>
      <w:pPr>
        <w:ind w:left="1020" w:right="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5.1.1.6 </w:t>
      </w:r>
      <w:r>
        <w:rPr>
          <w:rFonts w:ascii="Times New Roman" w:cs="Times New Roman" w:eastAsia="Times New Roman" w:hAnsi="Times New Roman"/>
          <w:sz w:val="14"/>
          <w:szCs w:val="14"/>
          <w:color w:val="auto"/>
        </w:rPr>
        <w:t>the total amount payable to Harvard in U.S. Dollars on Net Sales and Non-Royalty Income for the applicable Calendar Quarter, together with the exchange rates used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conversion; and</w:t>
      </w:r>
    </w:p>
    <w:p>
      <w:pPr>
        <w:spacing w:after="0" w:line="37" w:lineRule="exact"/>
        <w:rPr>
          <w:sz w:val="20"/>
          <w:szCs w:val="20"/>
          <w:color w:val="auto"/>
        </w:rPr>
      </w:pPr>
    </w:p>
    <w:p>
      <w:pPr>
        <w:ind w:left="1020" w:right="5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5.1.1.7 </w:t>
      </w:r>
      <w:r>
        <w:rPr>
          <w:rFonts w:ascii="Times New Roman" w:cs="Times New Roman" w:eastAsia="Times New Roman" w:hAnsi="Times New Roman"/>
          <w:sz w:val="14"/>
          <w:szCs w:val="14"/>
          <w:color w:val="auto"/>
        </w:rPr>
        <w:t>a list of Harvard Case numbers for all Patent Rights covering the Licensed Products or that describe or the subject matter of which enabled the practice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in the development of the Licensed Products (on a Licensed Product-by-Licensed Product basis).</w:t>
      </w:r>
    </w:p>
    <w:p>
      <w:pPr>
        <w:spacing w:after="0" w:line="123" w:lineRule="exact"/>
        <w:rPr>
          <w:sz w:val="20"/>
          <w:szCs w:val="20"/>
          <w:color w:val="auto"/>
        </w:rPr>
      </w:pPr>
    </w:p>
    <w:p>
      <w:pPr>
        <w:ind w:right="100" w:firstLine="1023"/>
        <w:spacing w:after="0" w:line="283" w:lineRule="auto"/>
        <w:rPr>
          <w:sz w:val="20"/>
          <w:szCs w:val="20"/>
          <w:color w:val="auto"/>
        </w:rPr>
      </w:pPr>
      <w:r>
        <w:rPr>
          <w:rFonts w:ascii="Times New Roman" w:cs="Times New Roman" w:eastAsia="Times New Roman" w:hAnsi="Times New Roman"/>
          <w:sz w:val="14"/>
          <w:szCs w:val="14"/>
          <w:color w:val="auto"/>
        </w:rPr>
        <w:t>Each such report shall be certified on behalf of Licensee as true, correct and complete in all material respects. If no amounts are due to Harvard for a particular Calendar Quarter, the report shall so state.</w:t>
      </w:r>
    </w:p>
    <w:p>
      <w:pPr>
        <w:spacing w:after="0" w:line="39" w:lineRule="exact"/>
        <w:rPr>
          <w:sz w:val="20"/>
          <w:szCs w:val="20"/>
          <w:color w:val="auto"/>
        </w:rPr>
      </w:pPr>
    </w:p>
    <w:p>
      <w:pPr>
        <w:ind w:left="5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5.1.2 Payment. </w:t>
      </w:r>
      <w:r>
        <w:rPr>
          <w:rFonts w:ascii="Times New Roman" w:cs="Times New Roman" w:eastAsia="Times New Roman" w:hAnsi="Times New Roman"/>
          <w:sz w:val="14"/>
          <w:szCs w:val="14"/>
          <w:color w:val="auto"/>
        </w:rPr>
        <w:t>Within [***] after the end of each Calendar Quarter, Licensee shall pay Harvard all amounts due with respect to Net Sales and Non-Royalty Income for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Quarter.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37" w:name="page438"/>
    <w:bookmarkEnd w:id="437"/>
    <w:p>
      <w:pPr>
        <w:ind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5.2 Payment Currency. </w:t>
      </w:r>
      <w:r>
        <w:rPr>
          <w:rFonts w:ascii="Times New Roman" w:cs="Times New Roman" w:eastAsia="Times New Roman" w:hAnsi="Times New Roman"/>
          <w:sz w:val="14"/>
          <w:szCs w:val="14"/>
          <w:color w:val="auto"/>
        </w:rPr>
        <w:t>All payments due under this Agreement will be paid in U.S. Dollars. Conversion of foreign currency to U.S. Dollars will be made at the conversion rate existing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(as reported in the Wall Street Journal) on the last working day of the applicable Calendar Quarter. Such payments will be without deduction of exchange, collection or other charges.</w:t>
      </w:r>
    </w:p>
    <w:p>
      <w:pPr>
        <w:spacing w:after="0" w:line="79"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5.3 Records. </w:t>
      </w:r>
      <w:r>
        <w:rPr>
          <w:rFonts w:ascii="Times New Roman" w:cs="Times New Roman" w:eastAsia="Times New Roman" w:hAnsi="Times New Roman"/>
          <w:sz w:val="14"/>
          <w:szCs w:val="14"/>
          <w:color w:val="auto"/>
        </w:rPr>
        <w:t>Licensee shall maintain, and shall cause its Affiliates to maintain and shall include in each Sublicense Agreement an obligation of each Sublicensee to maintain, complete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accurate records of Licensed Products that are made, used, sold, leased or transferred under this Agreement, any amounts payable to Harvard in relation to such Licensed Products, and all Non-Royalty Income received by Licensee and its Affiliates, which records shall contain sufficient information to permit Harvard to confirm the accuracy of any reports or notifications delivered to Harvard under Section 5.1. Licensee, its Affiliates and/or its Sublicensees, as applicable, shall retain such records relating to a given Calendar Quarter for at least [***] after the conclusion of that Calendar Quarter, during which time Harvard will have the right, at its expense, to cause an independent, certified public accountant (or, in the event of a non-financial audit, other appropriate auditor) reasonably acceptable to Licensee to inspect such records during normal business hours for the purposes of verifying the accuracy of any reports and payments delivered under this Agreement and Licensee’s compliance with the terms hereof. Such accountant or other auditor, as applicable, will, if requested by Licensee, execute a standard form of confidentiality agreement with Licensee and shall not disclose to Harvard any information other than information relating to the accuracy ofreports and payments delivered under this Agreement. The parties shall reconcile any underpayment or overpayment within [***] after the accountant delivers the results of the audit. If any audit performed under this Section 5.3 reveals an underpayment in excess of [***] in any calendar year, Licensee shall reimburse Harvard for all amounts incurred in connection with such audit. If any audit performed under this Section reveals an overpayment, Licensee may credit the amount of the overpayment, without interest, against future payments payable to Harvard under this Agreement and, if no such payments are payable, then Harvard shall pay to Licensee the amount of the overpayment, without interest, within [***] of Harvard’s receipt of the report. Harvard may exercise its rights under this Section 5.3 only once every calendar year per audited entity and only with reasonable (not less than [***]) prior written notice to the audited entity.</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5.4 Late Payments. </w:t>
      </w:r>
      <w:r>
        <w:rPr>
          <w:rFonts w:ascii="Times New Roman" w:cs="Times New Roman" w:eastAsia="Times New Roman" w:hAnsi="Times New Roman"/>
          <w:sz w:val="14"/>
          <w:szCs w:val="14"/>
          <w:color w:val="auto"/>
        </w:rPr>
        <w:t>Any payments by Licensee that are not paid on or before the date such payments are due under this Agreement will bear interest at the lower of (a) [***] per month and</w:t>
      </w:r>
    </w:p>
    <w:p>
      <w:pPr>
        <w:spacing w:after="0" w:line="24" w:lineRule="exact"/>
        <w:rPr>
          <w:sz w:val="20"/>
          <w:szCs w:val="20"/>
          <w:color w:val="auto"/>
        </w:rPr>
      </w:pPr>
    </w:p>
    <w:p>
      <w:pPr>
        <w:ind w:right="120" w:firstLine="4"/>
        <w:spacing w:after="0" w:line="261" w:lineRule="auto"/>
        <w:tabs>
          <w:tab w:leader="none" w:pos="198"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rate allowed by law. Interest will accrue beginning [***] following the due date for payment and will be compounded quarterly. Payment of such interest by Licensee shall not limit, in any way, Harvard’s right to exercise any other remedies Harvard may have under this Agreement as a consequence of the lateness of any payment.</w:t>
      </w:r>
    </w:p>
    <w:p>
      <w:pPr>
        <w:spacing w:after="0" w:line="96" w:lineRule="exact"/>
        <w:rPr>
          <w:sz w:val="20"/>
          <w:szCs w:val="20"/>
          <w:color w:val="auto"/>
        </w:rPr>
      </w:pPr>
    </w:p>
    <w:p>
      <w:pPr>
        <w:ind w:right="4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5.5 Payment Method. </w:t>
      </w:r>
      <w:r>
        <w:rPr>
          <w:rFonts w:ascii="Times New Roman" w:cs="Times New Roman" w:eastAsia="Times New Roman" w:hAnsi="Times New Roman"/>
          <w:sz w:val="14"/>
          <w:szCs w:val="14"/>
          <w:color w:val="auto"/>
        </w:rPr>
        <w:t>Each payment due to Harvard under this Agreement shall be paid by check or wire transfer of funds to Harvard’s account in accordance with written instructions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by Harvard. If made by wire transfer, such payments shall be marked so as to refer to this Agreement.</w:t>
      </w:r>
    </w:p>
    <w:p>
      <w:pPr>
        <w:spacing w:after="0" w:line="79" w:lineRule="exact"/>
        <w:rPr>
          <w:sz w:val="20"/>
          <w:szCs w:val="20"/>
          <w:color w:val="auto"/>
        </w:rPr>
      </w:pPr>
    </w:p>
    <w:p>
      <w:pPr>
        <w:ind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5.6 Withholding and Similar Taxes. </w:t>
      </w:r>
      <w:r>
        <w:rPr>
          <w:rFonts w:ascii="Times New Roman" w:cs="Times New Roman" w:eastAsia="Times New Roman" w:hAnsi="Times New Roman"/>
          <w:sz w:val="14"/>
          <w:szCs w:val="14"/>
          <w:color w:val="auto"/>
        </w:rPr>
        <w:t>All amounts to be paid to Harvard pursuant to this Agreement shall be without deduction of exchange, collection, or other charges, and, specifically,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deduction of withholding or similar taxes or other government imposed fees or taxes, except as permitted in the definition of Net Sales.</w:t>
      </w:r>
    </w:p>
    <w:p>
      <w:pPr>
        <w:spacing w:after="0" w:line="121" w:lineRule="exact"/>
        <w:rPr>
          <w:sz w:val="20"/>
          <w:szCs w:val="20"/>
          <w:color w:val="auto"/>
        </w:rPr>
      </w:pPr>
    </w:p>
    <w:p>
      <w:pPr>
        <w:ind w:left="280" w:hanging="276"/>
        <w:spacing w:after="0"/>
        <w:tabs>
          <w:tab w:leader="none" w:pos="280" w:val="left"/>
        </w:tabs>
        <w:numPr>
          <w:ilvl w:val="0"/>
          <w:numId w:val="3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Patent Filing, Prosecution and Maintenance.</w:t>
      </w:r>
    </w:p>
    <w:p>
      <w:pPr>
        <w:spacing w:after="0" w:line="8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6.1 Control. </w:t>
      </w:r>
      <w:r>
        <w:rPr>
          <w:rFonts w:ascii="Times New Roman" w:cs="Times New Roman" w:eastAsia="Times New Roman" w:hAnsi="Times New Roman"/>
          <w:sz w:val="14"/>
          <w:szCs w:val="14"/>
          <w:color w:val="auto"/>
        </w:rPr>
        <w:t>Harvard will be responsible for the preparation, filing, prosecution, protection, defense and maintenance of all Patent Rights, using independent patent counsel reasonably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acceptable to Licensee. Harvard will: (a) subject to Section 6.2, prepare, file, prosecute, protect and maintain Patent Rights in all countries that are not Developing Countries that Licensee may request in writing; (b) instruct such patent counsel to furnish the Licensee with copies of all correspondence relating to the Patent Rights from the United States Patent and Trademark Office (USPTO) and any other patent office, as well as copies of all proposed responses to such correspondence in time for Licensee to review and comment on such response; (c) give Licensee an opportunity to review the text of each patent application before filing; (d) consult with Licensee with respect thereto; (e) supply Licensee with a copy of the application as filed, together with notice of its filing date and serial number; (f) supply Licensee with copies of information disclosure statements prior to filing and provide Licensee with an opportunity to supplement such information; and (g) keep Licensee advised of the status of actual and prospective patent filings. Harvard shall give Licensee the opportunity to provide comments on and make requests of Harvard concerning the preparation, filing, prosecution, protection, defense and maintenance of the Patent Rights, and shall seriously consider such comments and requests; however, final decision-making authority shall vest in Harvard. In particular, and without intending to limit any of Harvard’s rights pursuant to this Agreement, (i) Harvard expressly reserves the right to decline Licensee’s request to file, prosecute, maintain or defend any of the Patent Rights in any Developing Country(ies) unless Licensee demonstrates to Harvard’s reasonable satisfaction that the filing, prosecution, maintenance or defense of such Patent Rights in such Developing Country(ies) would materially increase the locally-affordable availability of Licensed Products or equivalents thereof (e.g., generic products) in those and/or other Developing Country(ies), and (ii) the provisions of Section 7 notwithstanding, Licensee agrees that Harvard shall hold final decision-making authority, on a case-by-case basis, as to whether Licensee will be permitted to enforce such Patent Rights in such Developing Country(ies). Harvard agrees to use good faith efforts not to make any decision relating to the Patent Rights in a Developing Country that undermines any of the Patent Rights in a Developed Country. In connection with such objective, Harvard shall give Licensee the opportunity to provide comments on and make requests of Harvard concerning the preparation, filing, prosecution, protection and maintenance of the Patent Rights in all Developing Countries even if Licensee has abandoned its rights in any Developing Country pursuant to Section 6.3 below; provided, however, that final decision-making authority shall vest in Harvard.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43" w:right="319" w:bottom="1440" w:gutter="0" w:footer="0" w:header="0"/>
        </w:sectPr>
      </w:pPr>
    </w:p>
    <w:bookmarkStart w:id="438" w:name="page439"/>
    <w:bookmarkEnd w:id="438"/>
    <w:p>
      <w:pPr>
        <w:ind w:left="520"/>
        <w:spacing w:after="0"/>
        <w:rPr>
          <w:sz w:val="20"/>
          <w:szCs w:val="20"/>
          <w:color w:val="auto"/>
        </w:rPr>
      </w:pPr>
      <w:r>
        <w:rPr>
          <w:rFonts w:ascii="Times New Roman" w:cs="Times New Roman" w:eastAsia="Times New Roman" w:hAnsi="Times New Roman"/>
          <w:sz w:val="14"/>
          <w:szCs w:val="14"/>
          <w:b w:val="1"/>
          <w:bCs w:val="1"/>
          <w:color w:val="auto"/>
        </w:rPr>
        <w:t>6.2 Expenses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20" w:right="1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6.2.1 Ongoing Patent Expenses. </w:t>
      </w:r>
      <w:r>
        <w:rPr>
          <w:rFonts w:ascii="Times New Roman" w:cs="Times New Roman" w:eastAsia="Times New Roman" w:hAnsi="Times New Roman"/>
          <w:sz w:val="14"/>
          <w:szCs w:val="14"/>
          <w:color w:val="auto"/>
        </w:rPr>
        <w:t>Subject to Section 6.3 below, Licensee shall reimburse Harvard for all documented, out-of-pocket expenses incurred by Harvard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Article 6 in connection with the preparation, filing, prosecution, protection and maintenance of the Patent Rights incurred by Harvard after the Effective Date (“</w:t>
      </w:r>
      <w:r>
        <w:rPr>
          <w:rFonts w:ascii="Times New Roman" w:cs="Times New Roman" w:eastAsia="Times New Roman" w:hAnsi="Times New Roman"/>
          <w:sz w:val="14"/>
          <w:szCs w:val="14"/>
          <w:b w:val="1"/>
          <w:bCs w:val="1"/>
          <w:color w:val="auto"/>
        </w:rPr>
        <w:t>Ongoing Patent Expenses</w:t>
      </w:r>
      <w:r>
        <w:rPr>
          <w:rFonts w:ascii="Times New Roman" w:cs="Times New Roman" w:eastAsia="Times New Roman" w:hAnsi="Times New Roman"/>
          <w:sz w:val="14"/>
          <w:szCs w:val="14"/>
          <w:color w:val="auto"/>
        </w:rPr>
        <w:t>”) within [***] after the date of each invoice from Harvard for such Ongoing Patent Expenses.</w:t>
      </w:r>
    </w:p>
    <w:p>
      <w:pPr>
        <w:spacing w:after="0" w:line="49" w:lineRule="exact"/>
        <w:rPr>
          <w:sz w:val="20"/>
          <w:szCs w:val="20"/>
          <w:color w:val="auto"/>
        </w:rPr>
      </w:pPr>
    </w:p>
    <w:p>
      <w:pPr>
        <w:ind w:left="520" w:right="28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6.2.2 Past Patent Expenses. </w:t>
      </w:r>
      <w:r>
        <w:rPr>
          <w:rFonts w:ascii="Times New Roman" w:cs="Times New Roman" w:eastAsia="Times New Roman" w:hAnsi="Times New Roman"/>
          <w:sz w:val="14"/>
          <w:szCs w:val="14"/>
          <w:color w:val="auto"/>
        </w:rPr>
        <w:t>Licensee shall reimburse Harvard for all documented, out-of-pocket expenses incurred by Harvard prior to the Effective Date and not previously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reimbursed by Licensee, with respect to the preparation, filing, prosecution, protection and maintenance of the Patent Rights (“</w:t>
      </w:r>
      <w:r>
        <w:rPr>
          <w:rFonts w:ascii="Times New Roman" w:cs="Times New Roman" w:eastAsia="Times New Roman" w:hAnsi="Times New Roman"/>
          <w:sz w:val="14"/>
          <w:szCs w:val="14"/>
          <w:b w:val="1"/>
          <w:bCs w:val="1"/>
          <w:color w:val="auto"/>
        </w:rPr>
        <w:t>Past Patent Expenses</w:t>
      </w:r>
      <w:r>
        <w:rPr>
          <w:rFonts w:ascii="Times New Roman" w:cs="Times New Roman" w:eastAsia="Times New Roman" w:hAnsi="Times New Roman"/>
          <w:sz w:val="14"/>
          <w:szCs w:val="14"/>
          <w:color w:val="auto"/>
        </w:rPr>
        <w:t>”) as provided in Section 6.2.2.1. The aggregate amount of Past Patent Expenses are estimated to be approximately [***] as of the Effective Date. For purposes of this Section 6.2, expenses incurred for work or filing fees authorized by Harvard prior to the Effective Date for which Harvard has not received a bill from outside counsel by the Effective Date shall be deemed incurred after the Effective Date.</w:t>
      </w:r>
    </w:p>
    <w:p>
      <w:pPr>
        <w:spacing w:after="0" w:line="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6.2.2.1 Schedule of Payment of Past Patent Expenses. </w:t>
      </w:r>
      <w:r>
        <w:rPr>
          <w:rFonts w:ascii="Times New Roman" w:cs="Times New Roman" w:eastAsia="Times New Roman" w:hAnsi="Times New Roman"/>
          <w:sz w:val="14"/>
          <w:szCs w:val="14"/>
          <w:color w:val="auto"/>
        </w:rPr>
        <w:t>Licensee shall reimburse Harvard for such Past Patent Expenses as follows: [***].</w:t>
      </w:r>
    </w:p>
    <w:p>
      <w:pPr>
        <w:spacing w:after="0" w:line="91" w:lineRule="exact"/>
        <w:rPr>
          <w:sz w:val="20"/>
          <w:szCs w:val="20"/>
          <w:color w:val="auto"/>
        </w:rPr>
      </w:pPr>
    </w:p>
    <w:p>
      <w:pPr>
        <w:ind w:left="520" w:right="4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6.2.3 Supporting Documentation. </w:t>
      </w:r>
      <w:r>
        <w:rPr>
          <w:rFonts w:ascii="Times New Roman" w:cs="Times New Roman" w:eastAsia="Times New Roman" w:hAnsi="Times New Roman"/>
          <w:sz w:val="14"/>
          <w:szCs w:val="14"/>
          <w:color w:val="auto"/>
        </w:rPr>
        <w:t>Upon the request of Licensee, Harvard will provide Licensee with reasonable supporting documentation [***] evidencing such Past Patent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Expenses and Ongoing Patent Expenses.</w:t>
      </w:r>
    </w:p>
    <w:p>
      <w:pPr>
        <w:spacing w:after="0" w:line="121"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6.3 Abandonment. </w:t>
      </w:r>
      <w:r>
        <w:rPr>
          <w:rFonts w:ascii="Times New Roman" w:cs="Times New Roman" w:eastAsia="Times New Roman" w:hAnsi="Times New Roman"/>
          <w:sz w:val="14"/>
          <w:szCs w:val="14"/>
          <w:color w:val="auto"/>
        </w:rPr>
        <w:t>If Licensee decides that it does not wish to pay for the preparation, filing, prosecution, protection or maintenance of any Patent Rights in a particular country (“</w:t>
      </w:r>
      <w:r>
        <w:rPr>
          <w:rFonts w:ascii="Times New Roman" w:cs="Times New Roman" w:eastAsia="Times New Roman" w:hAnsi="Times New Roman"/>
          <w:sz w:val="14"/>
          <w:szCs w:val="14"/>
          <w:b w:val="1"/>
          <w:bCs w:val="1"/>
          <w:color w:val="auto"/>
        </w:rPr>
        <w:t>Abandoned Patent Rights</w:t>
      </w:r>
      <w:r>
        <w:rPr>
          <w:rFonts w:ascii="Times New Roman" w:cs="Times New Roman" w:eastAsia="Times New Roman" w:hAnsi="Times New Roman"/>
          <w:sz w:val="14"/>
          <w:szCs w:val="14"/>
          <w:color w:val="auto"/>
        </w:rPr>
        <w:t>”), Licensee shall provide Harvard with prompt written notice of such election. Upon receipt of such notice by Harvard, Licensee shall be released from its obligation to reimburse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Harvard for the expenses incurred thereafter as to such Abandoned Patent Rights; provided, however, that expenses authorized prior to the receipt by Harvard of such notice and incurred within [***] after such receipt shall be deemed incurred prior to the notice. In the event of Licensee’s abandonment of any Patent Rights, any license granted by Harvard to Licensee hereunder with respect to such Abandoned Patent Rights will terminate, and Licensee will have no rights whatsoever to exploit such Abandoned Patent Rights. Harvard will then be free, without further notice or obligation to Licensee, to grant rights in and to such Abandoned Patent Rights to third parties.</w:t>
      </w:r>
    </w:p>
    <w:p>
      <w:pPr>
        <w:spacing w:after="0" w:line="143" w:lineRule="exact"/>
        <w:rPr>
          <w:sz w:val="20"/>
          <w:szCs w:val="20"/>
          <w:color w:val="auto"/>
        </w:rPr>
      </w:pPr>
    </w:p>
    <w:p>
      <w:pPr>
        <w:ind w:right="1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6.4 Small Entity Designation. </w:t>
      </w:r>
      <w:r>
        <w:rPr>
          <w:rFonts w:ascii="Times New Roman" w:cs="Times New Roman" w:eastAsia="Times New Roman" w:hAnsi="Times New Roman"/>
          <w:sz w:val="14"/>
          <w:szCs w:val="14"/>
          <w:color w:val="auto"/>
        </w:rPr>
        <w:t>If Licensee, its Affiliates, any Sublicensee and/or any holder of an option to obtain a Sublicense does not qualify, or at any point during the Term ceases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qualify, as an entity entitled to pay lesser fees as provided by the USPTO (i.e., a “small entity”) or the patent office of any other country, Licensee shall so notify Harvard promptly after it is aware of any such change in entity status, in order to enable Harvard to comply with regulations regarding payment of fees with respect to Patent Rights.</w:t>
      </w:r>
    </w:p>
    <w:p>
      <w:pPr>
        <w:spacing w:after="0" w:line="133"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6.5 Marking. </w:t>
      </w:r>
      <w:r>
        <w:rPr>
          <w:rFonts w:ascii="Times New Roman" w:cs="Times New Roman" w:eastAsia="Times New Roman" w:hAnsi="Times New Roman"/>
          <w:sz w:val="14"/>
          <w:szCs w:val="14"/>
          <w:color w:val="auto"/>
        </w:rPr>
        <w:t>Licensee shall, and shall cause its Affiliates and Sublicensees to, mark all Licensed Products sold or otherwise disposed of in such a manner as to conform with the patent laws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practice of the country to which such products are shipped or in which such products are sold for purposes of ensuring maximum enforceability of Patent Rights in such country.</w:t>
      </w:r>
    </w:p>
    <w:p>
      <w:pPr>
        <w:spacing w:after="0" w:line="205" w:lineRule="exact"/>
        <w:rPr>
          <w:sz w:val="20"/>
          <w:szCs w:val="20"/>
          <w:color w:val="auto"/>
        </w:rPr>
      </w:pPr>
    </w:p>
    <w:p>
      <w:pPr>
        <w:ind w:left="280" w:hanging="276"/>
        <w:spacing w:after="0"/>
        <w:tabs>
          <w:tab w:leader="none" w:pos="280" w:val="left"/>
        </w:tabs>
        <w:numPr>
          <w:ilvl w:val="0"/>
          <w:numId w:val="3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Enforcement of Patent Rights.</w:t>
      </w:r>
    </w:p>
    <w:p>
      <w:pPr>
        <w:spacing w:after="0" w:line="91"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7.1 Notice. </w:t>
      </w:r>
      <w:r>
        <w:rPr>
          <w:rFonts w:ascii="Times New Roman" w:cs="Times New Roman" w:eastAsia="Times New Roman" w:hAnsi="Times New Roman"/>
          <w:sz w:val="14"/>
          <w:szCs w:val="14"/>
          <w:color w:val="auto"/>
        </w:rPr>
        <w:t>In the event either party becomes aware of any possible or actual infringement of any Patent Rights with respect to Licensed Products in the Field (an “</w:t>
      </w:r>
      <w:r>
        <w:rPr>
          <w:rFonts w:ascii="Times New Roman" w:cs="Times New Roman" w:eastAsia="Times New Roman" w:hAnsi="Times New Roman"/>
          <w:sz w:val="14"/>
          <w:szCs w:val="14"/>
          <w:b w:val="1"/>
          <w:bCs w:val="1"/>
          <w:color w:val="auto"/>
        </w:rPr>
        <w:t>Infringement</w:t>
      </w:r>
      <w:r>
        <w:rPr>
          <w:rFonts w:ascii="Times New Roman" w:cs="Times New Roman" w:eastAsia="Times New Roman" w:hAnsi="Times New Roman"/>
          <w:sz w:val="14"/>
          <w:szCs w:val="14"/>
          <w:color w:val="auto"/>
        </w:rPr>
        <w:t>”), that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promptly notify the other party and provide it with details regarding such Infringement.</w:t>
      </w:r>
    </w:p>
    <w:p>
      <w:pPr>
        <w:spacing w:after="0" w:line="12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7.2 Suit by Licensee. </w:t>
      </w:r>
      <w:r>
        <w:rPr>
          <w:rFonts w:ascii="Times New Roman" w:cs="Times New Roman" w:eastAsia="Times New Roman" w:hAnsi="Times New Roman"/>
          <w:sz w:val="14"/>
          <w:szCs w:val="14"/>
          <w:color w:val="auto"/>
        </w:rPr>
        <w:t>Licensee shall have the first right, but not the obligation, to take action in the prosecution, prevention, or termination of any Infringement. Before Licensee commences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 action with respect to any Infringement, Licensee shall consider in good faith the views of Harvard and potential effects on the public interest in making its decision whether to sue, including with regard to the locally-affordable availability of Licensed Products or equivalents thereof,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generic products, in Developing Countries. Should Licensee elect to bring suit against an infringer, Licensee shall keep Harvard reasonably informed of the progress of the action and shall give Harvard a reasonable opportunity in advance to consult with Licensee and offer its views about major decisions affecting the litigation. Licensee shall give careful consideration to those views, but shall have the right to control the action; provided, however, that, if Licensee does not pursue an enforcement action against an alleged Infringement within [***] of its receipt of notice thereof, Harvard may elect to take control of the action pursuant to Section 7.3. Should Licensee elect to bring suit in an Infringement and Harvard is joined as party plaintiff in any such suit, Harvard shall have the right to approve the counsel selected by Licensee to represent Licensee and Harvard, such approval not to be unreasonably withheld. The expenses of such suit or suits that Licensee elects to bring, including any expenses incurred by Harvard due to its involvement as a party plaintiff or other involvement at the express request of Licensee in conjunction with the prosecution of such suits or the settlement thereof (including reasonable attorneys’ fees), shall be paid for entirely by Licensee; provided, that, to the extent Harvard elects to participate in such suit or suits and be represented in such suit or suit by counsel of its choice (apart from counsel retained by Licensee), it shall do so at its sole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39" w:name="page440"/>
    <w:bookmarkEnd w:id="439"/>
    <w:p>
      <w:pPr>
        <w:ind w:right="180"/>
        <w:spacing w:after="0" w:line="261" w:lineRule="auto"/>
        <w:rPr>
          <w:sz w:val="20"/>
          <w:szCs w:val="20"/>
          <w:color w:val="auto"/>
        </w:rPr>
      </w:pPr>
      <w:r>
        <w:rPr>
          <w:rFonts w:ascii="Times New Roman" w:cs="Times New Roman" w:eastAsia="Times New Roman" w:hAnsi="Times New Roman"/>
          <w:sz w:val="14"/>
          <w:szCs w:val="14"/>
          <w:color w:val="auto"/>
        </w:rPr>
        <w:t>expense. Licensee shall not compromise or settle such Infringement litigation without the prior written consent of Harvard, which consent shall not be unreasonably withheld or delayed. In the event Licensee exercises its right to sue pursuant to this Section 7.2, it shall first reimburse itself out of any sums recovered in such suit or in settlement thereof for all costs and expenses of every kind and character, including reasonable attorneys’ fees, necessarily incurred in the prosecution of any such suit. If, after such reimbursement, any funds shall remain from said recovery, then Harvard shall receive an amount equal to [***] of such funds and the remaining [***] of such funds shall be retained by Licensee.</w:t>
      </w:r>
    </w:p>
    <w:p>
      <w:pPr>
        <w:spacing w:after="0" w:line="139"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7.3 Suit by Harvard. </w:t>
      </w:r>
      <w:r>
        <w:rPr>
          <w:rFonts w:ascii="Times New Roman" w:cs="Times New Roman" w:eastAsia="Times New Roman" w:hAnsi="Times New Roman"/>
          <w:sz w:val="14"/>
          <w:szCs w:val="14"/>
          <w:color w:val="auto"/>
        </w:rPr>
        <w:t>If Licensee does not take action in the prosecution, prevention, or termination of any Infringement pursuant to Section 7.2 above, and has not commenced negotiations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infringer for the discontinuance of said Infringement, within [***] after receipt of notice to Licensee by Harvard of the existence of an Infringement, Harvard may elect to do so. Should Harvard elect to bring suit against an infringer and Licensee is joined as party plaintiff in any such suit, Licensee shall have the right to approve the counsel selected by Harvard to represent Harvard and Licensee, such approval not to be unreasonably withheld. The expenses of such suit or suits that Harvard elects to bring, including any expenses incurred by Licensee due to its involvement as a party plaintiff or other involvement at the express request of Harvard in conjunction with the prosecution of such suits or the settlement thereof, shall be paid for entirely by Harvard; provided, that, to the extent Licensee elects to participate in such suit or suits and be represented in such suit or suit by counsel of its choice (apart from counsel retained by Harvard), it shall do so at its sole expense. Harvard shall not compromise or settle such litigation without the prior written consent of Licensee, which consent shall not be unreasonably withheld or delayed. In the event Harvard exercises its right to sue pursuant to this Section 7.3, it shall first reimburse itself out of any sums recovered in such suit or in settlement thereof for all costs and expenses of every kind and character, including reasonable attorneys’ fees, necessarily incurred in the prosecution of any such suit. If, after such reimbursement, any funds shall remain from said recovery, then Licensee shall receive an amount equal to [***] of such funds and the remaining [***] of such funds shall be retained by Harvard.</w:t>
      </w:r>
    </w:p>
    <w:p>
      <w:pPr>
        <w:spacing w:after="0" w:line="146"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7.4 Own Counsel. </w:t>
      </w:r>
      <w:r>
        <w:rPr>
          <w:rFonts w:ascii="Times New Roman" w:cs="Times New Roman" w:eastAsia="Times New Roman" w:hAnsi="Times New Roman"/>
          <w:sz w:val="14"/>
          <w:szCs w:val="14"/>
          <w:color w:val="auto"/>
        </w:rPr>
        <w:t>Each party shall always have the right to be represented by counsel of its own selection and at its own expense in any suit instituted under this Article 7 by the other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Infringement.</w:t>
      </w:r>
    </w:p>
    <w:p>
      <w:pPr>
        <w:spacing w:after="0" w:line="121" w:lineRule="exact"/>
        <w:rPr>
          <w:sz w:val="20"/>
          <w:szCs w:val="20"/>
          <w:color w:val="auto"/>
        </w:rPr>
      </w:pPr>
    </w:p>
    <w:p>
      <w:pPr>
        <w:ind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7.5 Cooperation. </w:t>
      </w:r>
      <w:r>
        <w:rPr>
          <w:rFonts w:ascii="Times New Roman" w:cs="Times New Roman" w:eastAsia="Times New Roman" w:hAnsi="Times New Roman"/>
          <w:sz w:val="14"/>
          <w:szCs w:val="14"/>
          <w:color w:val="auto"/>
        </w:rPr>
        <w:t>Each party agrees to cooperate fully in any action under this Article 7 that is controlled by the other party, provided that the controlling party reimburses the cooperating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party promptly for any costs and expenses incurred by the cooperating party in connection with providing such assistance.</w:t>
      </w:r>
    </w:p>
    <w:p>
      <w:pPr>
        <w:spacing w:after="0" w:line="121"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7.6 Declaratory Judgment. </w:t>
      </w:r>
      <w:r>
        <w:rPr>
          <w:rFonts w:ascii="Times New Roman" w:cs="Times New Roman" w:eastAsia="Times New Roman" w:hAnsi="Times New Roman"/>
          <w:sz w:val="14"/>
          <w:szCs w:val="14"/>
          <w:color w:val="auto"/>
        </w:rPr>
        <w:t>If a declaratory judgment action is brought naming Licensee and/or any of its Affiliates or Sublicensees as a defendant and alleging invalidity or unenforceability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claims within the Patent Rights, Licensee shall promptly notify Harvard in writing. Similarly, if Harvard is named as a defendant in a declaratory judgment action related to the Patent Rights, Harvard shall promptly notify Licensee in writing. In either case, Harvard may elect, upon written notice to Licensee (such written notice to be given within [***] after Harvard receives notice of the commencement of such action, in the case of actions of which Licensee notifies Harvard) to conduct or to take over the sole defense of the invalidity and/or unenforceability aspect of the action [***].</w:t>
      </w:r>
    </w:p>
    <w:p>
      <w:pPr>
        <w:spacing w:after="0" w:line="222" w:lineRule="exact"/>
        <w:rPr>
          <w:sz w:val="20"/>
          <w:szCs w:val="20"/>
          <w:color w:val="auto"/>
        </w:rPr>
      </w:pPr>
    </w:p>
    <w:p>
      <w:pPr>
        <w:ind w:left="520" w:right="7580" w:hanging="516"/>
        <w:spacing w:after="0" w:line="411" w:lineRule="auto"/>
        <w:tabs>
          <w:tab w:leader="none" w:pos="289" w:val="left"/>
        </w:tabs>
        <w:numPr>
          <w:ilvl w:val="0"/>
          <w:numId w:val="3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Representations and Warranties; Limitation of Liability. 8.1 </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right="2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8.2 </w:t>
      </w:r>
      <w:r>
        <w:rPr>
          <w:rFonts w:ascii="Times New Roman" w:cs="Times New Roman" w:eastAsia="Times New Roman" w:hAnsi="Times New Roman"/>
          <w:sz w:val="14"/>
          <w:szCs w:val="14"/>
          <w:color w:val="auto"/>
        </w:rPr>
        <w:t>Licensee acknowledges and agrees that (i) the consideration from Licensee to Harvard under this Agreement is in exchange for the license granted under Section 2.1 solely to Harvard’s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interests in and to the Patent Rights, and in respect of no other intellectual property owned or controlled by Harvard, and (ii) Harvard is under no obligation under this Agreement to license any additional intellectual property to Licensee.</w:t>
      </w:r>
    </w:p>
    <w:p>
      <w:pPr>
        <w:spacing w:after="0" w:line="133"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8.3 Compliance with Law. </w:t>
      </w:r>
      <w:r>
        <w:rPr>
          <w:rFonts w:ascii="Times New Roman" w:cs="Times New Roman" w:eastAsia="Times New Roman" w:hAnsi="Times New Roman"/>
          <w:sz w:val="14"/>
          <w:szCs w:val="14"/>
          <w:color w:val="auto"/>
        </w:rPr>
        <w:t>Licensee represents and warrants that it will comply, and will ensure that its Affiliates comply, and shall include in each Sublicense agreement an obligation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Sublicensee to comply, with all local, state, federal and international laws and regulations relating to the development, manufacture, use, sale and importation of Licensed Products. Without limiting the foregoing, Licensee represents and warrants, that it shall comply, and that it will ensure that its Affiliates comply, and shall include in each Sublicense agreement an obligation for each Sublicensee to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Licensee hereby gives written assurance that it will comply with, and will cause its Affiliates to comply with (and will contractually obligate its Sublicensees to comply with), all United States export control laws and regulations, and that it will indemnify, defend, and hold Harvard harmless for any Claims that are based on, arise out of, or otherwise relate to such violation in accordance with Section 9.1.</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6" w:right="339" w:bottom="1440" w:gutter="0" w:footer="0" w:header="0"/>
        </w:sectPr>
      </w:pPr>
    </w:p>
    <w:bookmarkStart w:id="440" w:name="page441"/>
    <w:bookmarkEnd w:id="440"/>
    <w:p>
      <w:pPr>
        <w:ind w:left="516"/>
        <w:spacing w:after="0"/>
        <w:rPr>
          <w:sz w:val="20"/>
          <w:szCs w:val="20"/>
          <w:color w:val="auto"/>
        </w:rPr>
      </w:pPr>
      <w:r>
        <w:rPr>
          <w:rFonts w:ascii="Times New Roman" w:cs="Times New Roman" w:eastAsia="Times New Roman" w:hAnsi="Times New Roman"/>
          <w:sz w:val="14"/>
          <w:szCs w:val="14"/>
          <w:b w:val="1"/>
          <w:bCs w:val="1"/>
          <w:color w:val="auto"/>
        </w:rPr>
        <w:t xml:space="preserve">8.4 </w:t>
      </w:r>
      <w:r>
        <w:rPr>
          <w:rFonts w:ascii="Times New Roman" w:cs="Times New Roman" w:eastAsia="Times New Roman" w:hAnsi="Times New Roman"/>
          <w:sz w:val="14"/>
          <w:szCs w:val="14"/>
          <w:color w:val="auto"/>
        </w:rPr>
        <w:t>No Warranty.</w:t>
      </w:r>
    </w:p>
    <w:p>
      <w:pPr>
        <w:spacing w:after="0" w:line="91" w:lineRule="exact"/>
        <w:rPr>
          <w:sz w:val="20"/>
          <w:szCs w:val="20"/>
          <w:color w:val="auto"/>
        </w:rPr>
      </w:pPr>
    </w:p>
    <w:p>
      <w:pPr>
        <w:ind w:left="516"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8.4.1 </w:t>
      </w:r>
      <w:r>
        <w:rPr>
          <w:rFonts w:ascii="Times New Roman" w:cs="Times New Roman" w:eastAsia="Times New Roman" w:hAnsi="Times New Roman"/>
          <w:sz w:val="14"/>
          <w:szCs w:val="14"/>
          <w:color w:val="auto"/>
        </w:rPr>
        <w:t>NOTHING CONTAINED HEREIN SHALL BE DEEMED TO BE A WARRANTY BY HARVARD THAT IT CAN OR WILL BE ABLE TO OBTAIN PATENTS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PATENT APPLICATIONS INCLUDED IN THE PATENT RIGHTS, OR THAT ANY OF THE PATENT RIGHTS WILL AFFORD ADEQUATE OR COMMERCIALLY WORTHWHILE PROTECTION.</w:t>
      </w:r>
    </w:p>
    <w:p>
      <w:pPr>
        <w:spacing w:after="0" w:line="49" w:lineRule="exact"/>
        <w:rPr>
          <w:sz w:val="20"/>
          <w:szCs w:val="20"/>
          <w:color w:val="auto"/>
        </w:rPr>
      </w:pPr>
    </w:p>
    <w:p>
      <w:pPr>
        <w:ind w:left="516"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8.4.2 </w:t>
      </w:r>
      <w:r>
        <w:rPr>
          <w:rFonts w:ascii="Times New Roman" w:cs="Times New Roman" w:eastAsia="Times New Roman" w:hAnsi="Times New Roman"/>
          <w:sz w:val="14"/>
          <w:szCs w:val="14"/>
          <w:color w:val="auto"/>
        </w:rPr>
        <w:t>HARVARD MAKES NO WARRANTIES WHATSOEVER AS TO THE COMMERCIAL OR SCIENTIFIC VALUE OF THE PATENT RIGHTS. HARVARD MAKES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REPRESENTATION THAT THE PRACTICE OF THE PATENT RIGHTS OR THE DEVELOPMENT, MANUFACTURE, USE, SALE OR IMPORTATION OF ANY LICENSED PRODUCT, OR ANY ELEMENT THEREOF, WILL NOT INFRINGE ANY PATENT OR PROPRIETARY RIGHTS OF ANY THIRD PARTY.</w:t>
      </w:r>
    </w:p>
    <w:p>
      <w:pPr>
        <w:spacing w:after="0" w:line="49" w:lineRule="exact"/>
        <w:rPr>
          <w:sz w:val="20"/>
          <w:szCs w:val="20"/>
          <w:color w:val="auto"/>
        </w:rPr>
      </w:pPr>
    </w:p>
    <w:p>
      <w:pPr>
        <w:ind w:left="516"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8.4.3 </w:t>
      </w:r>
      <w:r>
        <w:rPr>
          <w:rFonts w:ascii="Times New Roman" w:cs="Times New Roman" w:eastAsia="Times New Roman" w:hAnsi="Times New Roman"/>
          <w:sz w:val="14"/>
          <w:szCs w:val="14"/>
          <w:color w:val="auto"/>
        </w:rPr>
        <w:t>EXCEPT AS OTHERWISE EXPRESSLY PROVIDED IN THIS AGREEMENT, NEITHER PARTY MAKES ANY WARRANTY WITH RESPECT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PATENTS, GOODS, SERVICES, RIGHTS OR OTHER SUBJECT MATTER OF THIS AGREEMENT AND EACH PARTY HEREBY DISCLAIMS WARRANTIES OF MERCHANTABILITY, FITNESS FOR A PARTICULAR PURPOSE AND NONINFRINGEMENT WITH RESPECT TO ANY AND ALL OF THE FOREGOING.</w:t>
      </w:r>
    </w:p>
    <w:p>
      <w:pPr>
        <w:spacing w:after="0" w:line="133" w:lineRule="exact"/>
        <w:rPr>
          <w:sz w:val="20"/>
          <w:szCs w:val="20"/>
          <w:color w:val="auto"/>
        </w:rPr>
      </w:pPr>
    </w:p>
    <w:p>
      <w:pPr>
        <w:ind w:left="516"/>
        <w:spacing w:after="0"/>
        <w:rPr>
          <w:sz w:val="20"/>
          <w:szCs w:val="20"/>
          <w:color w:val="auto"/>
        </w:rPr>
      </w:pPr>
      <w:r>
        <w:rPr>
          <w:rFonts w:ascii="Times New Roman" w:cs="Times New Roman" w:eastAsia="Times New Roman" w:hAnsi="Times New Roman"/>
          <w:sz w:val="14"/>
          <w:szCs w:val="14"/>
          <w:b w:val="1"/>
          <w:bCs w:val="1"/>
          <w:color w:val="auto"/>
        </w:rPr>
        <w:t>8.5 Limitation of Liability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16"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8.5.1 </w:t>
      </w:r>
      <w:r>
        <w:rPr>
          <w:rFonts w:ascii="Times New Roman" w:cs="Times New Roman" w:eastAsia="Times New Roman" w:hAnsi="Times New Roman"/>
          <w:sz w:val="14"/>
          <w:szCs w:val="14"/>
          <w:color w:val="auto"/>
        </w:rPr>
        <w:t>Except with respect to matters for which Licensee is obligated to indemnify Harvard under Article 9, neither party will be liable to the other with respect to any subject matter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49" w:lineRule="exact"/>
        <w:rPr>
          <w:sz w:val="20"/>
          <w:szCs w:val="20"/>
          <w:color w:val="auto"/>
        </w:rPr>
      </w:pPr>
    </w:p>
    <w:p>
      <w:pPr>
        <w:ind w:left="516" w:right="1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8.5.2 </w:t>
      </w:r>
      <w:r>
        <w:rPr>
          <w:rFonts w:ascii="Times New Roman" w:cs="Times New Roman" w:eastAsia="Times New Roman" w:hAnsi="Times New Roman"/>
          <w:sz w:val="14"/>
          <w:szCs w:val="14"/>
          <w:color w:val="auto"/>
        </w:rPr>
        <w:t>Harvard’s aggregate liability for all damages of any kind arising out of or relating to this Agreement or its subject matter under any contract, negligence, strict liability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legal or equitable theory shall not exceed the amounts paid to Harvard under this Agreement.</w:t>
      </w:r>
    </w:p>
    <w:p>
      <w:pPr>
        <w:spacing w:after="0" w:line="205" w:lineRule="exact"/>
        <w:rPr>
          <w:sz w:val="20"/>
          <w:szCs w:val="20"/>
          <w:color w:val="auto"/>
        </w:rPr>
      </w:pPr>
    </w:p>
    <w:p>
      <w:pPr>
        <w:ind w:left="516" w:right="9080" w:hanging="516"/>
        <w:spacing w:after="0" w:line="376" w:lineRule="auto"/>
        <w:tabs>
          <w:tab w:leader="none" w:pos="285" w:val="left"/>
        </w:tabs>
        <w:numPr>
          <w:ilvl w:val="0"/>
          <w:numId w:val="3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Indemnification and Insurance. 9.1 Indemnity</w:t>
      </w:r>
      <w:r>
        <w:rPr>
          <w:rFonts w:ascii="Times New Roman" w:cs="Times New Roman" w:eastAsia="Times New Roman" w:hAnsi="Times New Roman"/>
          <w:sz w:val="14"/>
          <w:szCs w:val="14"/>
          <w:color w:val="auto"/>
        </w:rPr>
        <w:t>.</w:t>
      </w:r>
    </w:p>
    <w:p>
      <w:pPr>
        <w:ind w:left="516" w:right="20" w:firstLine="51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9.1.1 </w:t>
      </w:r>
      <w:r>
        <w:rPr>
          <w:rFonts w:ascii="Times New Roman" w:cs="Times New Roman" w:eastAsia="Times New Roman" w:hAnsi="Times New Roman"/>
          <w:sz w:val="14"/>
          <w:szCs w:val="14"/>
          <w:color w:val="auto"/>
        </w:rPr>
        <w:t>Licensee shall indemnify, defend and hold harmless Harvard and its current and former directors, governing board members, trustees, officers, faculty, medical and professional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staff, employees, students, and agents and their respective successors, heirs and assigns (collectively, the “</w:t>
      </w:r>
      <w:r>
        <w:rPr>
          <w:rFonts w:ascii="Times New Roman" w:cs="Times New Roman" w:eastAsia="Times New Roman" w:hAnsi="Times New Roman"/>
          <w:sz w:val="14"/>
          <w:szCs w:val="14"/>
          <w:b w:val="1"/>
          <w:bCs w:val="1"/>
          <w:color w:val="auto"/>
        </w:rPr>
        <w:t>Indemnitees</w:t>
      </w:r>
      <w:r>
        <w:rPr>
          <w:rFonts w:ascii="Times New Roman" w:cs="Times New Roman" w:eastAsia="Times New Roman" w:hAnsi="Times New Roman"/>
          <w:sz w:val="14"/>
          <w:szCs w:val="14"/>
          <w:color w:val="auto"/>
        </w:rPr>
        <w:t>”) from and against any claim, liability, cost, expense, damage, deficiency, loss or obligation of any kind or nature (including reasonable attorneys’ fees and other costs and expenses of litigation) resulting from any third party claim based upon, arising out of, or otherwise relating to this Agreement or any Sublicense or Strategic Partnership, including any cause of action relating to product liability concerning any product, process, or service made, used, sold or performed pursuant to any right or license granted under this Agreement (collectively,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The previous sentence will not apply to any Claim that is determined with finality by a court of competent jurisdiction to result solely from the gross negligence or willful misconduct of an Indemnitee [***]. An Indemnitee shall provide Licensee with prompt notice of any Claim for which indemnification may be sought pursuant to this Agreement. Notwithstanding the foregoing, the delay or failure of any Indemnitee to give reasonably prompt notice to Licensee of any such Claim shall not affect the rights of such Indemnitee unless, and then only to the extent that, such delay or failure is prejudicial to or otherwise adversely affects Licensee. Neither Licensee nor Harvard shall settle any Claim without the prior written consent of the other, which consent shall not be unreasonably withheld.</w:t>
      </w:r>
    </w:p>
    <w:p>
      <w:pPr>
        <w:spacing w:after="0" w:line="58" w:lineRule="exact"/>
        <w:rPr>
          <w:sz w:val="20"/>
          <w:szCs w:val="20"/>
          <w:color w:val="auto"/>
        </w:rPr>
      </w:pPr>
    </w:p>
    <w:p>
      <w:pPr>
        <w:ind w:left="516" w:right="1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9.1.2 </w:t>
      </w:r>
      <w:r>
        <w:rPr>
          <w:rFonts w:ascii="Times New Roman" w:cs="Times New Roman" w:eastAsia="Times New Roman" w:hAnsi="Times New Roman"/>
          <w:sz w:val="14"/>
          <w:szCs w:val="14"/>
          <w:color w:val="auto"/>
        </w:rPr>
        <w:t>Harvard shall cooperate as reasonably requested (at the expense of Licensee) in the investigation and defense of any Claim. Harvard shall permit Licensee to assume direction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control of the defense of the Claim; provided, however, that, Licensee shall not settle any Claim without the prior written consent of Harvard.</w:t>
      </w:r>
    </w:p>
    <w:p>
      <w:pPr>
        <w:spacing w:after="0" w:line="37" w:lineRule="exact"/>
        <w:rPr>
          <w:sz w:val="20"/>
          <w:szCs w:val="20"/>
          <w:color w:val="auto"/>
        </w:rPr>
      </w:pPr>
    </w:p>
    <w:p>
      <w:pPr>
        <w:ind w:left="516"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9.1.3 </w:t>
      </w:r>
      <w:r>
        <w:rPr>
          <w:rFonts w:ascii="Times New Roman" w:cs="Times New Roman" w:eastAsia="Times New Roman" w:hAnsi="Times New Roman"/>
          <w:sz w:val="14"/>
          <w:szCs w:val="14"/>
          <w:color w:val="auto"/>
        </w:rPr>
        <w:t>Licensee shall, at its own expense, provide attorneys reasonably acceptable to Harvard to defend against any actions brought or filed against any Indemnitee hereunder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the subject of indemnity contained herein, whether or not such actions are rightfully brought.</w:t>
      </w:r>
    </w:p>
    <w:p>
      <w:pPr>
        <w:spacing w:after="0" w:line="121" w:lineRule="exact"/>
        <w:rPr>
          <w:sz w:val="20"/>
          <w:szCs w:val="20"/>
          <w:color w:val="auto"/>
        </w:rPr>
      </w:pPr>
    </w:p>
    <w:p>
      <w:pPr>
        <w:ind w:left="516"/>
        <w:spacing w:after="0"/>
        <w:rPr>
          <w:sz w:val="20"/>
          <w:szCs w:val="20"/>
          <w:color w:val="auto"/>
        </w:rPr>
      </w:pPr>
      <w:r>
        <w:rPr>
          <w:rFonts w:ascii="Times New Roman" w:cs="Times New Roman" w:eastAsia="Times New Roman" w:hAnsi="Times New Roman"/>
          <w:sz w:val="14"/>
          <w:szCs w:val="14"/>
          <w:b w:val="1"/>
          <w:bCs w:val="1"/>
          <w:color w:val="auto"/>
        </w:rPr>
        <w:t>9.2 Insurance</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16"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9.2.1 </w:t>
      </w:r>
      <w:r>
        <w:rPr>
          <w:rFonts w:ascii="Times New Roman" w:cs="Times New Roman" w:eastAsia="Times New Roman" w:hAnsi="Times New Roman"/>
          <w:sz w:val="14"/>
          <w:szCs w:val="14"/>
          <w:color w:val="auto"/>
        </w:rPr>
        <w:t>Beginning at the time any Licensed Product is being commercially distributed or sold (other than for the purpose of obtaining regulatory approvals) by Licensee, or by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 Sublicensee or agent of Licensee, Licensee shall, at its sole cost and expense, procure and maintain commercial general liability insurance in amounts not less than [***] per incident and [***] annual aggregate and naming the Indemnitees as additional insureds. During clinical trials of any such Licensed Product,</w:t>
      </w:r>
    </w:p>
    <w:p>
      <w:pPr>
        <w:spacing w:after="0" w:line="9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370205</wp:posOffset>
            </wp:positionV>
            <wp:extent cx="7188200"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56"/>
          </w:cols>
          <w:pgMar w:left="304" w:top="985" w:right="339" w:bottom="1440" w:gutter="0" w:footer="0" w:header="0"/>
        </w:sectPr>
      </w:pPr>
    </w:p>
    <w:bookmarkStart w:id="441" w:name="page442"/>
    <w:bookmarkEnd w:id="441"/>
    <w:p>
      <w:pPr>
        <w:jc w:val="both"/>
        <w:ind w:left="520" w:right="180"/>
        <w:spacing w:after="0" w:line="267" w:lineRule="auto"/>
        <w:rPr>
          <w:sz w:val="20"/>
          <w:szCs w:val="20"/>
          <w:color w:val="auto"/>
        </w:rPr>
      </w:pPr>
      <w:r>
        <w:rPr>
          <w:rFonts w:ascii="Times New Roman" w:cs="Times New Roman" w:eastAsia="Times New Roman" w:hAnsi="Times New Roman"/>
          <w:sz w:val="14"/>
          <w:szCs w:val="14"/>
          <w:color w:val="auto"/>
        </w:rPr>
        <w:t>Licensee shall, at its sole cost and expense, procure and maintain commercial general liability insurance in such equal or lesser amount as is consistent with industry standards, naming the Indemnitees as additional insureds. Such commercial general liability insurance shall provide: (a) product liability coverage and (b) broad form contractual liability coverage for Licensee’s indemnification obligations under this Agreement.</w:t>
      </w:r>
    </w:p>
    <w:p>
      <w:pPr>
        <w:spacing w:after="0" w:line="39" w:lineRule="exact"/>
        <w:rPr>
          <w:sz w:val="20"/>
          <w:szCs w:val="20"/>
          <w:color w:val="auto"/>
        </w:rPr>
      </w:pPr>
    </w:p>
    <w:p>
      <w:pPr>
        <w:ind w:left="520" w:right="1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9.2.2 </w:t>
      </w:r>
      <w:r>
        <w:rPr>
          <w:rFonts w:ascii="Times New Roman" w:cs="Times New Roman" w:eastAsia="Times New Roman" w:hAnsi="Times New Roman"/>
          <w:sz w:val="14"/>
          <w:szCs w:val="14"/>
          <w:color w:val="auto"/>
        </w:rPr>
        <w:t>If Licensee elects to self-insure all or part of the limits described above in Section 9.2.1 (including deductibles or retentions that are in excess of [***] annual aggregate)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self-insurance program must be acceptable to Harvard and CRICO/RMF (Harvard’s insurer) in their sole discretion. The minimum amounts of insurance coverage required shall not be construed to create a limit of Licensee’s liability with respect to its indemnification obligations under this Agreement.</w:t>
      </w:r>
    </w:p>
    <w:p>
      <w:pPr>
        <w:spacing w:after="0" w:line="28" w:lineRule="exact"/>
        <w:rPr>
          <w:sz w:val="20"/>
          <w:szCs w:val="20"/>
          <w:color w:val="auto"/>
        </w:rPr>
      </w:pPr>
    </w:p>
    <w:p>
      <w:pPr>
        <w:ind w:left="520" w:right="2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9.2.3 </w:t>
      </w:r>
      <w:r>
        <w:rPr>
          <w:rFonts w:ascii="Times New Roman" w:cs="Times New Roman" w:eastAsia="Times New Roman" w:hAnsi="Times New Roman"/>
          <w:sz w:val="14"/>
          <w:szCs w:val="14"/>
          <w:color w:val="auto"/>
        </w:rPr>
        <w:t>Licensee shall provide Harvard with written evidence of such insurance upon request of Harvard. Licensee shall provide Harvard with written notice at least [***]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cancellation, non-renewal or material change in such insurance and shall obtain replacement insurance providing comparable coverage within such [***] period. If Licensee fails to maintain insurance, or to obtain such replacement insurance, in accordance with the terms of this Section 9.2, Harvard shall have the right to terminate this Agreement effective at the end of such [***] period upon written notice to Licensee.</w:t>
      </w:r>
    </w:p>
    <w:p>
      <w:pPr>
        <w:spacing w:after="0" w:line="43" w:lineRule="exact"/>
        <w:rPr>
          <w:sz w:val="20"/>
          <w:szCs w:val="20"/>
          <w:color w:val="auto"/>
        </w:rPr>
      </w:pPr>
    </w:p>
    <w:p>
      <w:pPr>
        <w:ind w:left="520"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9.2.4 </w:t>
      </w:r>
      <w:r>
        <w:rPr>
          <w:rFonts w:ascii="Times New Roman" w:cs="Times New Roman" w:eastAsia="Times New Roman" w:hAnsi="Times New Roman"/>
          <w:sz w:val="14"/>
          <w:szCs w:val="14"/>
          <w:color w:val="auto"/>
        </w:rPr>
        <w:t>Licensee shall maintain such commercial general liability insurance beyond the expiration or termination of this Agreement during: (a) the period that any Licensed Product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being commercially distributed or sold by Licensee, or an Affiliate, Sublicensee or agent of Licensee; and (b) a reasonable period after the period referred to in (a) above which in no event shall be less than [***].</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Term and Termination.</w:t>
      </w:r>
    </w:p>
    <w:p>
      <w:pPr>
        <w:spacing w:after="0" w:line="91"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10.1 Term; Expiration. </w:t>
      </w:r>
      <w:r>
        <w:rPr>
          <w:rFonts w:ascii="Times New Roman" w:cs="Times New Roman" w:eastAsia="Times New Roman" w:hAnsi="Times New Roman"/>
          <w:sz w:val="14"/>
          <w:szCs w:val="14"/>
          <w:color w:val="auto"/>
        </w:rPr>
        <w:t>The term of this Agreement shall commence on the Effective Date and, unless earlier terminated as provided in this Article 10, shall continue in full force and effect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until the later of the expiration of the last to expire Valid Claim and the date on which all payments due and payable by Licensee to Harvard under this Agreement have been made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Upon the expiration of the Term, all licenses granted to Licensee under this Agreement shall be deemed to be fully-paid, perpetual licenses.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10.2 Termination</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xml:space="preserve">10.2.1 Termination Without Cause. </w:t>
      </w:r>
      <w:r>
        <w:rPr>
          <w:rFonts w:ascii="Times New Roman" w:cs="Times New Roman" w:eastAsia="Times New Roman" w:hAnsi="Times New Roman"/>
          <w:sz w:val="14"/>
          <w:szCs w:val="14"/>
          <w:color w:val="auto"/>
        </w:rPr>
        <w:t>Licensee may terminate this Agreement upon [***] prior written notice to Harvard.</w:t>
      </w:r>
    </w:p>
    <w:p>
      <w:pPr>
        <w:spacing w:after="0" w:line="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10.2.2 Termination for Default</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ind w:left="1020"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10.2.2.1 </w:t>
      </w:r>
      <w:r>
        <w:rPr>
          <w:rFonts w:ascii="Times New Roman" w:cs="Times New Roman" w:eastAsia="Times New Roman" w:hAnsi="Times New Roman"/>
          <w:sz w:val="14"/>
          <w:szCs w:val="14"/>
          <w:color w:val="auto"/>
        </w:rPr>
        <w:t>In the event that either party commits a material breach of its obligations under this Agreement and fails to cure that breach within [***] after receiving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thereof, the other party may terminate this Agreement immediately upon written notice to the party in breach.</w:t>
      </w:r>
    </w:p>
    <w:p>
      <w:pPr>
        <w:spacing w:after="0" w:line="26" w:lineRule="exact"/>
        <w:rPr>
          <w:sz w:val="20"/>
          <w:szCs w:val="20"/>
          <w:color w:val="auto"/>
        </w:rPr>
      </w:pPr>
    </w:p>
    <w:p>
      <w:pPr>
        <w:ind w:left="1020" w:right="5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10.2.2.2 </w:t>
      </w:r>
      <w:r>
        <w:rPr>
          <w:rFonts w:ascii="Times New Roman" w:cs="Times New Roman" w:eastAsia="Times New Roman" w:hAnsi="Times New Roman"/>
          <w:sz w:val="14"/>
          <w:szCs w:val="14"/>
          <w:color w:val="auto"/>
        </w:rPr>
        <w:t>If Licensee defaults in its obligations under Section 9.2 to procure and maintain insurance or, if Licensee has in any event failed to comply with the notice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contained therein, then Harvard may terminate this Agreement immediately without notice or additional waiting period.</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10.2.2.3 </w:t>
      </w:r>
      <w:r>
        <w:rPr>
          <w:rFonts w:ascii="Times New Roman" w:cs="Times New Roman" w:eastAsia="Times New Roman" w:hAnsi="Times New Roman"/>
          <w:sz w:val="14"/>
          <w:szCs w:val="14"/>
          <w:color w:val="auto"/>
        </w:rPr>
        <w:t>Harvard shall be entitled to terminate this Agreement in accordance with the provisions of Section 3.1 and Section 3.5.</w:t>
      </w:r>
    </w:p>
    <w:p>
      <w:pPr>
        <w:spacing w:after="0" w:line="81" w:lineRule="exact"/>
        <w:rPr>
          <w:sz w:val="20"/>
          <w:szCs w:val="20"/>
          <w:color w:val="auto"/>
        </w:rPr>
      </w:pPr>
    </w:p>
    <w:p>
      <w:pPr>
        <w:ind w:left="520" w:right="8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10.2.3 Bankruptcy. </w:t>
      </w:r>
      <w:r>
        <w:rPr>
          <w:rFonts w:ascii="Times New Roman" w:cs="Times New Roman" w:eastAsia="Times New Roman" w:hAnsi="Times New Roman"/>
          <w:sz w:val="14"/>
          <w:szCs w:val="14"/>
          <w:color w:val="auto"/>
        </w:rPr>
        <w:t>Harvard may terminate this Agreement upon notice to Licensee if Licensee becomes insolvent, is adjudged bankrupt, applies for judicial or extra judicial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settlement with its creditors, makes an assignment for the benefit of its creditors, voluntarily files for bankruptcy or has a receiver or trustee (or the like) in bankruptcy appointed by reason of its insolvency, or in the event an involuntary bankruptcy action is filed against Licensee and not dismissed within [***], or if Licensee becomes the subject of liquidation or dissolution proceedings or otherwise discontinues business.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10.3 Effect of Termination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20"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10.3.1 Termination of Rights. </w:t>
      </w:r>
      <w:r>
        <w:rPr>
          <w:rFonts w:ascii="Times New Roman" w:cs="Times New Roman" w:eastAsia="Times New Roman" w:hAnsi="Times New Roman"/>
          <w:sz w:val="14"/>
          <w:szCs w:val="14"/>
          <w:color w:val="auto"/>
        </w:rPr>
        <w:t>Upon expiration or termination of this Agreement by either party pursuant to any of the provisions of Section 10.2: (a) the rights and licenses granted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Licensee under Article 2 shall terminate, all rights in and to and under the Patent Rights will revert to Harvard and neither Licensee nor its Affiliates may make any further use or exploitation of the Patent Rights; and (b) each Sublicensee that is not at such time in breach of its Sublicense agreement shall have the right to obtain a direct license from Harvard on the same terms and conditions as set forth in its Sublicense, but in any event on terms and conditions no less favorable to Harvard than those hereunder, and which shall not impose any representations, warranties, obligations or liabilities on Harvard that are not included in this Agreement, provided however, that (i) the scope of the license granted directly by Harvard to such Sublicensee shall be co-extensive with the scope of the license granted by Licensee to such Sublicensee, (ii) if the Sublicense granted to such Sublicensee was non-exclusive, such Sublicensee shall not have the right to participate in the prosecution or enforcement of the Patent Rights under the license granted to it directly by Harvard and (iii) if there is more than one Sublicensee, each Sublicensee that is granted a direct license shall be responsible for a pro rata share of the reimbursement due under Section 6.2 of this Agreement (based on the number of direct licenses under the Patent Rights in effect on the date of reimbursement). Any such Sublicensee that wishes to obtain a license from Harvard pursuant to this Section 10.3.1 shall notify Harvard within [***] after the termination of this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03" w:right="359" w:bottom="1440" w:gutter="0" w:footer="0" w:header="0"/>
        </w:sectPr>
      </w:pPr>
    </w:p>
    <w:bookmarkStart w:id="442" w:name="page443"/>
    <w:bookmarkEnd w:id="442"/>
    <w:p>
      <w:pPr>
        <w:ind w:left="520" w:right="10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10.3.2 Accruing Obligations. </w:t>
      </w:r>
      <w:r>
        <w:rPr>
          <w:rFonts w:ascii="Times New Roman" w:cs="Times New Roman" w:eastAsia="Times New Roman" w:hAnsi="Times New Roman"/>
          <w:sz w:val="14"/>
          <w:szCs w:val="14"/>
          <w:color w:val="auto"/>
        </w:rPr>
        <w:t>Termination or expiration of this Agreement shall not relieve the parties of obligations accruing prior to such termination or expiration,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to pay amounts accruing hereunder up to the date of termination or expiration. After the date of termination or expiration (except in the case of termination by Harvard pursuant to Section 10.2), Licensee, its Affiliates and Sublicensees (a) may sell Licensed Products then in stock and (b) may complete the production of Licensed Products then in the process of production and sell the same; provided that, in the case of both (a) and (b), Licensee shall pay the applicable royalties and payments to Harvard in accordance with Article 4, provide reports and audit rights to Harvard pursuant to Article 5 and maintain insurance in accordance with the requirements of Section 9.2. The parties agree that the obligations in Section 4.1, 4.6, and 6.2 will accrue immediately upon execution of this Agreement by both parties, regardless of the events, invoice and payment timing details set forth therein.</w:t>
      </w:r>
    </w:p>
    <w:p>
      <w:pPr>
        <w:spacing w:after="0" w:line="59" w:lineRule="exact"/>
        <w:rPr>
          <w:sz w:val="20"/>
          <w:szCs w:val="20"/>
          <w:color w:val="auto"/>
        </w:rPr>
      </w:pPr>
    </w:p>
    <w:p>
      <w:pPr>
        <w:ind w:left="520" w:firstLine="51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10.3.3 Regulatory Filings. </w:t>
      </w:r>
      <w:r>
        <w:rPr>
          <w:rFonts w:ascii="Times New Roman" w:cs="Times New Roman" w:eastAsia="Times New Roman" w:hAnsi="Times New Roman"/>
          <w:sz w:val="14"/>
          <w:szCs w:val="14"/>
          <w:color w:val="auto"/>
        </w:rPr>
        <w:t>Licensee shall have the exclusive right to prepare and present all regulatory filings necessary or appropriate in any country and to obtain and maintain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regulatory approval required to market Licensed Products in any such country. Licensee shall solely own all right, title and interest in and to all such regulatory approvals and filings. In the event Licensee terminates this Agreement pursuant to Section 10.2.1 or Harvard terminates this Agreement pursuant to any of the provisions of Section 10.2, and Harvard wishes to have the right to reference, cross-reference, review, have access to, incorporate and use any documents and other materials filed by or on behalf of Licensee and its Affiliates with any regulatory authority in furtherance of applications for regulatory approval in the relevant country with respect to Licensed Products (“</w:t>
      </w:r>
      <w:r>
        <w:rPr>
          <w:rFonts w:ascii="Times New Roman" w:cs="Times New Roman" w:eastAsia="Times New Roman" w:hAnsi="Times New Roman"/>
          <w:sz w:val="14"/>
          <w:szCs w:val="14"/>
          <w:b w:val="1"/>
          <w:bCs w:val="1"/>
          <w:color w:val="auto"/>
        </w:rPr>
        <w:t>Reference Materials</w:t>
      </w:r>
      <w:r>
        <w:rPr>
          <w:rFonts w:ascii="Times New Roman" w:cs="Times New Roman" w:eastAsia="Times New Roman" w:hAnsi="Times New Roman"/>
          <w:sz w:val="14"/>
          <w:szCs w:val="14"/>
          <w:color w:val="auto"/>
        </w:rPr>
        <w:t>”), it shall provide written notice of same to Licensee. As soon as practicable following Licensee’s receipt of Harvard’s notice, the parties shall negotiate in good faith for a period of [***] with respect to the terms and conditions applicable to the grant by Licensee to Harvard of the right to use the Reference Materials, including specification of financial terms. If the parties are unable to agree upon terms and conditions applicable to such rights on or before expiration of such one hundred twenty [***] period, then Licensee shall have no further obligation to Harvard under this Section 10.3.3.</w:t>
      </w:r>
    </w:p>
    <w:p>
      <w:pPr>
        <w:spacing w:after="0" w:line="145"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10.4 Survival. </w:t>
      </w:r>
      <w:r>
        <w:rPr>
          <w:rFonts w:ascii="Times New Roman" w:cs="Times New Roman" w:eastAsia="Times New Roman" w:hAnsi="Times New Roman"/>
          <w:sz w:val="14"/>
          <w:szCs w:val="14"/>
          <w:color w:val="auto"/>
        </w:rPr>
        <w:t>The parties’ respective rights, obligations and duties under Articles 5, 9, 10 and 11 and Sections 4.1, 4.4.2, 4.6, 6.2.2, 8.2 and 8.3, as well as any rights, obligations and duties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by their nature extend beyond the expiration or termination of this Agreement, shall survive any expiration or termination of this Agreement. In addition, Licensee’s obligations under Section 4.5 with respect to Sublicenses granted or Strategic Partnerships entered into prior to expiration or termination of this Agreement shall survive such expiration or termination.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Miscellaneous.</w:t>
      </w:r>
    </w:p>
    <w:p>
      <w:pPr>
        <w:spacing w:after="0" w:line="91"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11.1 Preference for United States Industry. </w:t>
      </w:r>
      <w:r>
        <w:rPr>
          <w:rFonts w:ascii="Times New Roman" w:cs="Times New Roman" w:eastAsia="Times New Roman" w:hAnsi="Times New Roman"/>
          <w:sz w:val="14"/>
          <w:szCs w:val="14"/>
          <w:color w:val="auto"/>
        </w:rPr>
        <w:t>During the period of exclusivity of this license in the United States, Licensee shall comply with 37 C.F.R. § 401.14 (i) or any successor rule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regulation.</w:t>
      </w:r>
    </w:p>
    <w:p>
      <w:pPr>
        <w:spacing w:after="0" w:line="121" w:lineRule="exact"/>
        <w:rPr>
          <w:sz w:val="20"/>
          <w:szCs w:val="20"/>
          <w:color w:val="auto"/>
        </w:rPr>
      </w:pPr>
    </w:p>
    <w:p>
      <w:pPr>
        <w:jc w:val="both"/>
        <w:ind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11.2 No Security Interest. </w:t>
      </w:r>
      <w:r>
        <w:rPr>
          <w:rFonts w:ascii="Times New Roman" w:cs="Times New Roman" w:eastAsia="Times New Roman" w:hAnsi="Times New Roman"/>
          <w:sz w:val="14"/>
          <w:szCs w:val="14"/>
          <w:color w:val="auto"/>
        </w:rPr>
        <w:t>Licensee shall not enter into any agreement under which Licensee grants to or otherwise creates in any third party a security interest in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granted to Licensee herein. Any grant or creation of a security interest purported or attempted to be made in violation of the terms of this Section 11.2 shall be null and void and of no legal effect.</w:t>
      </w:r>
    </w:p>
    <w:p>
      <w:pPr>
        <w:spacing w:after="0" w:line="121"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11.3 Use of Name. </w:t>
      </w:r>
      <w:r>
        <w:rPr>
          <w:rFonts w:ascii="Times New Roman" w:cs="Times New Roman" w:eastAsia="Times New Roman" w:hAnsi="Times New Roman"/>
          <w:sz w:val="14"/>
          <w:szCs w:val="14"/>
          <w:color w:val="auto"/>
        </w:rPr>
        <w:t>Except as provided below, Licensee shall not, and shall ensure that its Affiliates and Sublicensees shall not, use or register the name “Harvard” (alone or as part of another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 or any logos, seals, insignia or other words, names, symbols or devices that identify Harvard or any Harvard school, unit, division or affiliate (“</w:t>
      </w:r>
      <w:r>
        <w:rPr>
          <w:rFonts w:ascii="Times New Roman" w:cs="Times New Roman" w:eastAsia="Times New Roman" w:hAnsi="Times New Roman"/>
          <w:sz w:val="14"/>
          <w:szCs w:val="14"/>
          <w:b w:val="1"/>
          <w:bCs w:val="1"/>
          <w:color w:val="auto"/>
        </w:rPr>
        <w:t>Harvard Names</w:t>
      </w:r>
      <w:r>
        <w:rPr>
          <w:rFonts w:ascii="Times New Roman" w:cs="Times New Roman" w:eastAsia="Times New Roman" w:hAnsi="Times New Roman"/>
          <w:sz w:val="14"/>
          <w:szCs w:val="14"/>
          <w:color w:val="auto"/>
        </w:rPr>
        <w:t>”) for any purpose except with the prior written approval of, and in accordance with restrictions required by, Harvard. Without limiting the foregoing, Licensee shall, and shall ensure that its Affiliates shall and shall contractually bind its Sublicensees to, cease all use of Harvard Names on the termination or expiration of this Agreement except as otherwise approved by Harvard. This restriction shall not apply to any information required by law to be disclosed to any governmental entity.</w:t>
      </w:r>
    </w:p>
    <w:p>
      <w:pPr>
        <w:spacing w:after="0" w:line="141" w:lineRule="exact"/>
        <w:rPr>
          <w:sz w:val="20"/>
          <w:szCs w:val="20"/>
          <w:color w:val="auto"/>
        </w:rPr>
      </w:pPr>
    </w:p>
    <w:p>
      <w:pPr>
        <w:ind w:right="6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11.4 Entire Agreement. </w:t>
      </w:r>
      <w:r>
        <w:rPr>
          <w:rFonts w:ascii="Times New Roman" w:cs="Times New Roman" w:eastAsia="Times New Roman" w:hAnsi="Times New Roman"/>
          <w:sz w:val="14"/>
          <w:szCs w:val="14"/>
          <w:color w:val="auto"/>
        </w:rPr>
        <w:t>This Agreement is the sole agreement with respect to the subject matter hereof and except as expressly set forth herein, supersedes all other agreements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understandings between the parties with respect to the same.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443" w:name="page444"/>
    <w:bookmarkEnd w:id="443"/>
    <w:p>
      <w:pPr>
        <w:ind w:right="3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11.5 Notices. </w:t>
      </w:r>
      <w:r>
        <w:rPr>
          <w:rFonts w:ascii="Times New Roman" w:cs="Times New Roman" w:eastAsia="Times New Roman" w:hAnsi="Times New Roman"/>
          <w:sz w:val="14"/>
          <w:szCs w:val="14"/>
          <w:color w:val="auto"/>
        </w:rPr>
        <w:t>Unless otherwise specifically provided, all notices required or permitted by this Agreement shall be in writing and may be delivered personally, or may be sent by email,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expedited delivery or certified mail, return receipt requested, to the following addresses, unless the parties are subsequently notified of any change of address in accordance with this Section 11.5:</w:t>
      </w:r>
    </w:p>
    <w:p>
      <w:pPr>
        <w:sectPr>
          <w:pgSz w:w="11900" w:h="16838" w:orient="portrait"/>
          <w:cols w:equalWidth="0" w:num="1">
            <w:col w:w="11260"/>
          </w:cols>
          <w:pgMar w:left="300" w:top="985" w:right="339" w:bottom="1440" w:gutter="0" w:footer="0" w:header="0"/>
        </w:sectPr>
      </w:pP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If to Licensee</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(other than</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invoices):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Acom Park Drive, Sixth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sectPr>
          <w:pgSz w:w="11900" w:h="16838" w:orient="portrait"/>
          <w:cols w:equalWidth="0" w:num="2">
            <w:col w:w="2220" w:space="720"/>
            <w:col w:w="8320"/>
          </w:cols>
          <w:pgMar w:left="300" w:top="985"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color w:val="auto"/>
        </w:rPr>
        <w:t>If to Licensee</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(invoices only):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Acom Park Drive, Sixth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sectPr>
          <w:pgSz w:w="11900" w:h="16838" w:orient="portrait"/>
          <w:cols w:equalWidth="0" w:num="2">
            <w:col w:w="2220" w:space="720"/>
            <w:col w:w="8320"/>
          </w:cols>
          <w:pgMar w:left="300" w:top="985"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color w:val="auto"/>
        </w:rPr>
        <w:t>If to Harvard: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Office of Technology Development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Harvard University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Richard A. and Susan F. Smith Campus Center, Suite 727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1350 Massachusetts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Cambridge, Massachusetts 02138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w:t>
      </w:r>
    </w:p>
    <w:p>
      <w:pPr>
        <w:spacing w:after="0" w:line="161" w:lineRule="exact"/>
        <w:rPr>
          <w:sz w:val="20"/>
          <w:szCs w:val="20"/>
          <w:color w:val="auto"/>
        </w:rPr>
      </w:pPr>
    </w:p>
    <w:p>
      <w:pPr>
        <w:sectPr>
          <w:pgSz w:w="11900" w:h="16838" w:orient="portrait"/>
          <w:cols w:equalWidth="0" w:num="2">
            <w:col w:w="2220" w:space="720"/>
            <w:col w:w="8320"/>
          </w:cols>
          <w:pgMar w:left="300" w:top="985" w:right="339" w:bottom="1440" w:gutter="0" w:footer="0" w:header="0"/>
          <w:type w:val="continuous"/>
        </w:sectPr>
      </w:pPr>
    </w:p>
    <w:p>
      <w:pPr>
        <w:ind w:right="340" w:firstLine="511"/>
        <w:spacing w:after="0" w:line="283" w:lineRule="auto"/>
        <w:rPr>
          <w:sz w:val="20"/>
          <w:szCs w:val="20"/>
          <w:color w:val="auto"/>
        </w:rPr>
      </w:pPr>
      <w:r>
        <w:rPr>
          <w:rFonts w:ascii="Times New Roman" w:cs="Times New Roman" w:eastAsia="Times New Roman" w:hAnsi="Times New Roman"/>
          <w:sz w:val="14"/>
          <w:szCs w:val="14"/>
          <w:color w:val="auto"/>
        </w:rPr>
        <w:t>Any notice shall be deemed to have been received as follows: (a) by personal delivery or expedited delivery, upon receipt; (b) by email, upon transmission and electronic confirmation of delivery; (c) by certified mail, as evidenced by the return receipt. If notice is sent by email, a confirming copy of the same shall be sent by mail to the same address.</w:t>
      </w:r>
    </w:p>
    <w:p>
      <w:pPr>
        <w:spacing w:after="0" w:line="123"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11.6 Governing Law and Jurisdiction. </w:t>
      </w:r>
      <w:r>
        <w:rPr>
          <w:rFonts w:ascii="Times New Roman" w:cs="Times New Roman" w:eastAsia="Times New Roman" w:hAnsi="Times New Roman"/>
          <w:sz w:val="14"/>
          <w:szCs w:val="14"/>
          <w:color w:val="auto"/>
        </w:rPr>
        <w:t>This Agreement will be governed by, and construed in accordance with, the substantive laws of the Commonwealth of Massachusetts, without giving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Times New Roman" w:cs="Times New Roman" w:eastAsia="Times New Roman" w:hAnsi="Times New Roman"/>
          <w:sz w:val="14"/>
          <w:szCs w:val="14"/>
          <w:b w:val="1"/>
          <w:bCs w:val="1"/>
          <w:color w:val="auto"/>
        </w:rPr>
        <w:t>Suit</w:t>
      </w:r>
      <w:r>
        <w:rPr>
          <w:rFonts w:ascii="Times New Roman" w:cs="Times New Roman" w:eastAsia="Times New Roman" w:hAnsi="Times New Roman"/>
          <w:sz w:val="14"/>
          <w:szCs w:val="14"/>
          <w:color w:val="auto"/>
        </w:rPr>
        <w: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11.7 Binding Effect. </w:t>
      </w:r>
      <w:r>
        <w:rPr>
          <w:rFonts w:ascii="Times New Roman" w:cs="Times New Roman" w:eastAsia="Times New Roman" w:hAnsi="Times New Roman"/>
          <w:sz w:val="14"/>
          <w:szCs w:val="14"/>
          <w:color w:val="auto"/>
        </w:rPr>
        <w:t>This Agreement shall be binding upon and inure to the benefit of the parties and their respective legal representatives, successors and permitted assigns.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11.8 Headings. </w:t>
      </w:r>
      <w:r>
        <w:rPr>
          <w:rFonts w:ascii="Times New Roman" w:cs="Times New Roman" w:eastAsia="Times New Roman" w:hAnsi="Times New Roman"/>
          <w:sz w:val="14"/>
          <w:szCs w:val="14"/>
          <w:color w:val="auto"/>
        </w:rPr>
        <w:t>Section and subsection headings are inserted for convenience of reference only and do not form a part of this Agreement.</w:t>
      </w:r>
    </w:p>
    <w:p>
      <w:pPr>
        <w:spacing w:after="0" w:line="175" w:lineRule="exact"/>
        <w:rPr>
          <w:sz w:val="20"/>
          <w:szCs w:val="20"/>
          <w:color w:val="auto"/>
        </w:rPr>
      </w:pPr>
    </w:p>
    <w:p>
      <w:pPr>
        <w:jc w:val="both"/>
        <w:ind w:right="1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11.9 Counterparts. </w:t>
      </w:r>
      <w:r>
        <w:rPr>
          <w:rFonts w:ascii="Times New Roman" w:cs="Times New Roman" w:eastAsia="Times New Roman" w:hAnsi="Times New Roman"/>
          <w:sz w:val="14"/>
          <w:szCs w:val="14"/>
          <w:color w:val="auto"/>
        </w:rPr>
        <w:t>The parties may execute this Agreement in two or more counterparts, each of which shall be deemed an original, but both of which together shall constitute one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same instrument. Transmission by electronic mail of an executed counterpart of this Agreement shall be deemed to constitute due and sufficient delivery of such counterpart. If by electronic mail, the executed Agreement must be delivered in a .pdf format.</w:t>
      </w:r>
    </w:p>
    <w:p>
      <w:pPr>
        <w:spacing w:after="0" w:line="133"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11.10 Amendment; Waiver. </w:t>
      </w:r>
      <w:r>
        <w:rPr>
          <w:rFonts w:ascii="Times New Roman" w:cs="Times New Roman" w:eastAsia="Times New Roman" w:hAnsi="Times New Roman"/>
          <w:sz w:val="14"/>
          <w:szCs w:val="14"/>
          <w:color w:val="auto"/>
        </w:rPr>
        <w:t>This Agreement may be amended, modified, superseded or canceled, and any of the terms may be waived, only by a written instrument executed by each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38"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11.11 No Agency or Partnership. </w:t>
      </w:r>
      <w:r>
        <w:rPr>
          <w:rFonts w:ascii="Times New Roman" w:cs="Times New Roman" w:eastAsia="Times New Roman" w:hAnsi="Times New Roman"/>
          <w:sz w:val="14"/>
          <w:szCs w:val="14"/>
          <w:color w:val="auto"/>
        </w:rPr>
        <w:t>Nothing contained in this Agreement shall give either party the right to bind the other, or be deemed to constitute either party as agent for or partner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or any third party.</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type w:val="continuous"/>
        </w:sectPr>
      </w:pPr>
    </w:p>
    <w:bookmarkStart w:id="444" w:name="page445"/>
    <w:bookmarkEnd w:id="444"/>
    <w:p>
      <w:pPr>
        <w:ind w:right="2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11.12 Assignment and Successors. </w:t>
      </w:r>
      <w:r>
        <w:rPr>
          <w:rFonts w:ascii="Times New Roman" w:cs="Times New Roman" w:eastAsia="Times New Roman" w:hAnsi="Times New Roman"/>
          <w:sz w:val="14"/>
          <w:szCs w:val="14"/>
          <w:color w:val="auto"/>
        </w:rPr>
        <w:t>This Agreement may not be assigned by either party without the consent of the other, which consent shall not be unreasonably withheld, except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Licensee may, without such consent, assign this Agreement and the rights, obligations and interests of such party to (a) any purchaser of all or substantially all of its assets to which this Agreement relates, (b) any purchaser of all of its equity, or (c) to any successor corporation resulting from any merger or consolidation of such party with or into such corporation; provided, that, in each case, the assignee agrees in writing to be bound by the terms of this Agreement. Any assignment purported or attempted to be made in violation of the terms of this Section 10.12 shall be null and void and of no legal effect.</w:t>
      </w:r>
    </w:p>
    <w:p>
      <w:pPr>
        <w:spacing w:after="0" w:line="141"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11.13 Force Majeure. </w:t>
      </w:r>
      <w:r>
        <w:rPr>
          <w:rFonts w:ascii="Times New Roman" w:cs="Times New Roman" w:eastAsia="Times New Roman" w:hAnsi="Times New Roman"/>
          <w:sz w:val="14"/>
          <w:szCs w:val="14"/>
          <w:color w:val="auto"/>
        </w:rPr>
        <w:t>Except for monetary obligations hereunder, neither party will be responsible for any failure or delay in performing any of its obligations under this Agreement,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be deemed in breach of this Agreement, if such failure or delay is due to a Force Majeure; provided, that, the nonperforming party uses commercially reasonable efforts to avoid or remove such causes of nonperformance and continues performance under this Agreement with reasonable dispatch whenever such causes are removed.</w:t>
      </w:r>
    </w:p>
    <w:p>
      <w:pPr>
        <w:spacing w:after="0" w:line="133" w:lineRule="exact"/>
        <w:rPr>
          <w:sz w:val="20"/>
          <w:szCs w:val="20"/>
          <w:color w:val="auto"/>
        </w:rPr>
      </w:pPr>
    </w:p>
    <w:p>
      <w:pPr>
        <w:ind w:right="4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11.14 Interpretation. </w:t>
      </w:r>
      <w:r>
        <w:rPr>
          <w:rFonts w:ascii="Times New Roman" w:cs="Times New Roman" w:eastAsia="Times New Roman" w:hAnsi="Times New Roman"/>
          <w:sz w:val="14"/>
          <w:szCs w:val="14"/>
          <w:color w:val="auto"/>
        </w:rPr>
        <w:t>Each party hereto acknowledges and agrees that: (a) it and/or its counsel reviewed and negotiated the terms and provisions of this Agreement and has contributed to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38" w:lineRule="exact"/>
        <w:rPr>
          <w:sz w:val="20"/>
          <w:szCs w:val="20"/>
          <w:color w:val="auto"/>
        </w:rPr>
      </w:pPr>
    </w:p>
    <w:p>
      <w:pPr>
        <w:ind w:right="3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11.15 Severability. </w:t>
      </w:r>
      <w:r>
        <w:rPr>
          <w:rFonts w:ascii="Times New Roman" w:cs="Times New Roman" w:eastAsia="Times New Roman" w:hAnsi="Times New Roman"/>
          <w:sz w:val="14"/>
          <w:szCs w:val="14"/>
          <w:color w:val="auto"/>
        </w:rPr>
        <w:t>If any provision of this Agreement is or becomes invalid or is ruled invalid by any court of competent jurisdiction or is deemed unenforceable, it is the intention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parties that the remainder of this Agreement shall not be affected.</w:t>
      </w:r>
    </w:p>
    <w:p>
      <w:pPr>
        <w:spacing w:after="0" w:line="121" w:lineRule="exact"/>
        <w:rPr>
          <w:sz w:val="20"/>
          <w:szCs w:val="20"/>
          <w:color w:val="auto"/>
        </w:rPr>
      </w:pPr>
    </w:p>
    <w:p>
      <w:pPr>
        <w:ind w:right="280" w:firstLine="511"/>
        <w:spacing w:after="0" w:line="263" w:lineRule="auto"/>
        <w:rPr>
          <w:sz w:val="20"/>
          <w:szCs w:val="20"/>
          <w:color w:val="auto"/>
        </w:rPr>
      </w:pPr>
      <w:r>
        <w:rPr>
          <w:rFonts w:ascii="Times New Roman" w:cs="Times New Roman" w:eastAsia="Times New Roman" w:hAnsi="Times New Roman"/>
          <w:sz w:val="14"/>
          <w:szCs w:val="14"/>
          <w:b w:val="1"/>
          <w:bCs w:val="1"/>
          <w:color w:val="auto"/>
        </w:rPr>
        <w:t>11.16 Confidentiality</w:t>
      </w:r>
      <w:r>
        <w:rPr>
          <w:rFonts w:ascii="Times New Roman" w:cs="Times New Roman" w:eastAsia="Times New Roman" w:hAnsi="Times New Roman"/>
          <w:sz w:val="14"/>
          <w:szCs w:val="14"/>
          <w:color w:val="auto"/>
        </w:rPr>
        <w:t>. Harvard agrees to keep confidential all information disclosed in writing by Licensee to Harvard pursuant to this Agreement (collectively, the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provided, however, that, the confidentiality obligation shall not apply to any information that is or becomes part of the public domain other than by Harvard’s breach of this Section</w:t>
      </w:r>
    </w:p>
    <w:p>
      <w:pPr>
        <w:ind w:right="60"/>
        <w:spacing w:after="0" w:line="252" w:lineRule="auto"/>
        <w:rPr>
          <w:sz w:val="20"/>
          <w:szCs w:val="20"/>
          <w:color w:val="auto"/>
        </w:rPr>
      </w:pPr>
      <w:r>
        <w:rPr>
          <w:rFonts w:ascii="Times New Roman" w:cs="Times New Roman" w:eastAsia="Times New Roman" w:hAnsi="Times New Roman"/>
          <w:sz w:val="14"/>
          <w:szCs w:val="14"/>
          <w:color w:val="auto"/>
        </w:rPr>
        <w:t>10.16 or is required to be disclosed by Harvard pursuant to interrogatories, requests for information or documents, subpoena, civil investigative demand issued by a court or governmental agency or as otherwise required by law (provided that, in such case, Harvard shall notify Licensee promptly upon receipt thereof and give Licensee sufficient advance notice to permit it to seek a protective order or other similar order with respect to such information); and provided further that (a) to the extent that it is reasonably necessary, Harvard may disclose Confidential Information to (i) its employees on a need-to-know basis and on condition that such employees abide by the obligations set forth in this Section 11.16 and (ii) in confidence, to lawyers, accountants and financial advisors, and (b) Harvard may include in its annual reports totals derived from Confidential Information (without attribution to Licensee) that show revenues generated by the patents and patent applications licensed under this Agreement.</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caused this Agreement to be executed by their duly authorized representatives as of the date first written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President and Fellows of Harvard College</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FOG Pharmaceuticals, Inc.</w:t>
            </w:r>
          </w:p>
        </w:tc>
      </w:tr>
      <w:tr>
        <w:trPr>
          <w:trHeight w:val="33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 Isaac T. Kohlberg</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 Isaac T.</w:t>
            </w:r>
          </w:p>
        </w:tc>
        <w:tc>
          <w:tcPr>
            <w:tcW w:w="47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Kohlberg</w:t>
            </w:r>
          </w:p>
        </w:tc>
        <w:tc>
          <w:tcPr>
            <w:tcW w:w="116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Name: Gregory</w:t>
            </w:r>
          </w:p>
        </w:tc>
        <w:tc>
          <w:tcPr>
            <w:tcW w:w="45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L. Verdine</w:t>
            </w:r>
          </w:p>
        </w:tc>
      </w:tr>
      <w:tr>
        <w:trPr>
          <w:trHeight w:val="183"/>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Senior Associate Provost, Chief Technology Development Officer</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Title: President &amp; CEO</w:t>
            </w:r>
          </w:p>
        </w:tc>
      </w:tr>
      <w:tr>
        <w:trPr>
          <w:trHeight w:val="1063"/>
        </w:trPr>
        <w:tc>
          <w:tcPr>
            <w:tcW w:w="9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46" w:name="page447"/>
    <w:bookmarkEnd w:id="446"/>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Exhibit 1.6</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Development Milestones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7" w:right="1440" w:bottom="1440" w:gutter="0" w:footer="0" w:header="0"/>
        </w:sectPr>
      </w:pPr>
    </w:p>
    <w:bookmarkStart w:id="447" w:name="page448"/>
    <w:bookmarkEnd w:id="447"/>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Exhibit 1.7</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Development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Exhibit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6" w:right="1440" w:bottom="1440" w:gutter="0" w:footer="0" w:header="0"/>
        </w:sectPr>
      </w:pPr>
    </w:p>
    <w:bookmarkStart w:id="448" w:name="page449"/>
    <w:bookmarkEnd w:id="448"/>
    <w:p>
      <w:pPr>
        <w:ind w:left="5260"/>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Patent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color w:val="auto"/>
        </w:rPr>
        <w:t>Exhibit 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7" w:right="1440" w:bottom="1440" w:gutter="0" w:footer="0" w:header="0"/>
        </w:sectPr>
      </w:pPr>
    </w:p>
    <w:bookmarkStart w:id="449" w:name="page450"/>
    <w:bookmarkEnd w:id="449"/>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Exhibit 4.1.2.1</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Capitalization 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Exhibit 4.1.2.1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6" w:right="1440" w:bottom="1440" w:gutter="0" w:footer="0" w:header="0"/>
        </w:sectPr>
      </w:pPr>
    </w:p>
    <w:bookmarkStart w:id="450" w:name="page451"/>
    <w:bookmarkEnd w:id="4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 No. 1 to License Agreement</w:t>
      </w:r>
    </w:p>
    <w:p>
      <w:pPr>
        <w:spacing w:after="0" w:line="175"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4"/>
          <w:szCs w:val="14"/>
          <w:color w:val="auto"/>
        </w:rPr>
        <w:t>This Amendment No. 1 to the License Agreement (this “</w:t>
      </w:r>
      <w:r>
        <w:rPr>
          <w:rFonts w:ascii="Times New Roman" w:cs="Times New Roman" w:eastAsia="Times New Roman" w:hAnsi="Times New Roman"/>
          <w:sz w:val="14"/>
          <w:szCs w:val="14"/>
          <w:b w:val="1"/>
          <w:bCs w:val="1"/>
          <w:color w:val="auto"/>
        </w:rPr>
        <w:t>Amendment No. 1</w:t>
      </w:r>
      <w:r>
        <w:rPr>
          <w:rFonts w:ascii="Times New Roman" w:cs="Times New Roman" w:eastAsia="Times New Roman" w:hAnsi="Times New Roman"/>
          <w:sz w:val="14"/>
          <w:szCs w:val="14"/>
          <w:color w:val="auto"/>
        </w:rPr>
        <w:t>”) is dated as of January 12, 2018 (the “</w:t>
      </w:r>
      <w:r>
        <w:rPr>
          <w:rFonts w:ascii="Times New Roman" w:cs="Times New Roman" w:eastAsia="Times New Roman" w:hAnsi="Times New Roman"/>
          <w:sz w:val="14"/>
          <w:szCs w:val="14"/>
          <w:b w:val="1"/>
          <w:bCs w:val="1"/>
          <w:color w:val="auto"/>
        </w:rPr>
        <w:t>Amendment No. 1 Effective Date’’</w:t>
      </w:r>
      <w:r>
        <w:rPr>
          <w:rFonts w:ascii="Times New Roman" w:cs="Times New Roman" w:eastAsia="Times New Roman" w:hAnsi="Times New Roman"/>
          <w:sz w:val="14"/>
          <w:szCs w:val="14"/>
          <w:color w:val="auto"/>
        </w:rPr>
        <w:t xml:space="preserve">), by and between </w:t>
      </w:r>
      <w:r>
        <w:rPr>
          <w:rFonts w:ascii="Times New Roman" w:cs="Times New Roman" w:eastAsia="Times New Roman" w:hAnsi="Times New Roman"/>
          <w:sz w:val="14"/>
          <w:szCs w:val="14"/>
          <w:b w:val="1"/>
          <w:bCs w:val="1"/>
          <w:color w:val="auto"/>
        </w:rPr>
        <w:t>FOG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Pharmaceuticals, Inc</w:t>
      </w:r>
      <w:r>
        <w:rPr>
          <w:rFonts w:ascii="Times New Roman" w:cs="Times New Roman" w:eastAsia="Times New Roman" w:hAnsi="Times New Roman"/>
          <w:sz w:val="14"/>
          <w:szCs w:val="14"/>
          <w:color w:val="auto"/>
        </w:rPr>
        <w:t>., a corporation existing under the laws of the province of Delaware, having a place of business at 100 Acorn Park Drive, Sixth Floor, Cambridge, MA 02140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President and Fellows of Harvard College</w:t>
      </w:r>
      <w:r>
        <w:rPr>
          <w:rFonts w:ascii="Times New Roman" w:cs="Times New Roman" w:eastAsia="Times New Roman" w:hAnsi="Times New Roman"/>
          <w:sz w:val="14"/>
          <w:szCs w:val="14"/>
          <w:color w:val="auto"/>
        </w:rPr>
        <w:t>, an educational and charitable corporation existing under the laws and the constitution of the Commonwealth of Massachusetts, having a place of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Richard A. and Susan F. Smith Campus Center, Suite 727E, 1350 Massachusetts Avenue, Cambridge, Massachusetts 02138 (“</w:t>
      </w:r>
      <w:r>
        <w:rPr>
          <w:rFonts w:ascii="Times New Roman" w:cs="Times New Roman" w:eastAsia="Times New Roman" w:hAnsi="Times New Roman"/>
          <w:sz w:val="14"/>
          <w:szCs w:val="14"/>
          <w:b w:val="1"/>
          <w:bCs w:val="1"/>
          <w:color w:val="auto"/>
        </w:rPr>
        <w:t>Harvard</w:t>
      </w:r>
      <w:r>
        <w:rPr>
          <w:rFonts w:ascii="Times New Roman" w:cs="Times New Roman" w:eastAsia="Times New Roman" w:hAnsi="Times New Roman"/>
          <w:sz w:val="14"/>
          <w:szCs w:val="14"/>
          <w:color w:val="auto"/>
        </w:rPr>
        <w:t>”). Harvard, on the one hand, and Licensee, on the other, each shall be referred to herein as a “Party” and together as the “Parties”.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entered into a License Agreement dated as of August 30, 2017 (the “License Agreement”); and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desire to amend the License Agreement in accordance with Section 11.10, in order to add the Development Milestones and Development Plan;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Parties hereto, intending to be legally bound, hereby agree as follows:</w:t>
      </w:r>
    </w:p>
    <w:p>
      <w:pPr>
        <w:spacing w:after="0" w:line="177" w:lineRule="exact"/>
        <w:rPr>
          <w:sz w:val="20"/>
          <w:szCs w:val="20"/>
          <w:color w:val="auto"/>
        </w:rPr>
      </w:pPr>
    </w:p>
    <w:p>
      <w:pPr>
        <w:ind w:left="820" w:hanging="281"/>
        <w:spacing w:after="0"/>
        <w:tabs>
          <w:tab w:leader="none" w:pos="8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in this Amendment No. 1 that are not defined herein shall have the meanings set forth in the License Agreement.</w:t>
      </w:r>
    </w:p>
    <w:p>
      <w:pPr>
        <w:spacing w:after="0" w:line="175"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 1.6 (Development Milestones) in the License Agreement is hereby amended by deleting Exhibit 1.6 in its entirety and replacing it with Exhibit 1.6 attached hereto as Schedule I.</w:t>
      </w:r>
    </w:p>
    <w:p>
      <w:pPr>
        <w:spacing w:after="0" w:line="175"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 1.7 (Development Plan) in the License Agreement is hereby amended by deleting Exhibit 1.7 in its entirety and replacing it with Exhibit 1.7 attached hereto as Schedule II.</w:t>
      </w:r>
    </w:p>
    <w:p>
      <w:pPr>
        <w:spacing w:after="0" w:line="175"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amended hereby, all other terms of the License Agreement shall remain unchanged and in full force and effect.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&lt;signature page follows&gt;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568325</wp:posOffset>
            </wp:positionV>
            <wp:extent cx="7188200"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817" w:right="37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Amendment No. 1 to be executed by their duly authorized representatives.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President and Fellows of Harvard College</w:t>
            </w:r>
          </w:p>
        </w:tc>
        <w:tc>
          <w:tcPr>
            <w:tcW w:w="56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FOG Pharmaceuticals, Inc.</w:t>
            </w:r>
          </w:p>
        </w:tc>
      </w:tr>
      <w:tr>
        <w:trPr>
          <w:trHeight w:val="33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 Jordan Grant</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20"/>
        </w:trPr>
        <w:tc>
          <w:tcPr>
            <w:tcW w:w="90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r>
      <w:tr>
        <w:trPr>
          <w:trHeight w:val="144"/>
        </w:trPr>
        <w:tc>
          <w:tcPr>
            <w:tcW w:w="56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Name: Jordan Grant</w:t>
            </w:r>
          </w:p>
        </w:tc>
        <w:tc>
          <w:tcPr>
            <w:tcW w:w="5640" w:type="dxa"/>
            <w:vAlign w:val="bottom"/>
            <w:gridSpan w:val="3"/>
          </w:tcPr>
          <w:p>
            <w:pPr>
              <w:ind w:left="240"/>
              <w:spacing w:after="0" w:line="144" w:lineRule="exact"/>
              <w:rPr>
                <w:sz w:val="20"/>
                <w:szCs w:val="20"/>
                <w:color w:val="auto"/>
              </w:rPr>
            </w:pPr>
            <w:r>
              <w:rPr>
                <w:rFonts w:ascii="Times New Roman" w:cs="Times New Roman" w:eastAsia="Times New Roman" w:hAnsi="Times New Roman"/>
                <w:sz w:val="14"/>
                <w:szCs w:val="14"/>
                <w:color w:val="auto"/>
              </w:rPr>
              <w:t>Name: Gregory L. Verdine</w:t>
            </w:r>
          </w:p>
        </w:tc>
      </w:tr>
      <w:tr>
        <w:trPr>
          <w:trHeight w:val="183"/>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Director of Technology Transactions</w:t>
            </w:r>
          </w:p>
        </w:tc>
        <w:tc>
          <w:tcPr>
            <w:tcW w:w="56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Title: President &amp; CEO</w:t>
            </w:r>
          </w:p>
        </w:tc>
      </w:tr>
      <w:tr>
        <w:trPr>
          <w:trHeight w:val="1063"/>
        </w:trPr>
        <w:tc>
          <w:tcPr>
            <w:tcW w:w="9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52" w:name="page453"/>
    <w:bookmarkEnd w:id="452"/>
    <w:p>
      <w:pPr>
        <w:ind w:left="5320"/>
        <w:spacing w:after="0"/>
        <w:rPr>
          <w:sz w:val="20"/>
          <w:szCs w:val="20"/>
          <w:color w:val="auto"/>
        </w:rPr>
      </w:pPr>
      <w:r>
        <w:rPr>
          <w:rFonts w:ascii="Times New Roman" w:cs="Times New Roman" w:eastAsia="Times New Roman" w:hAnsi="Times New Roman"/>
          <w:sz w:val="14"/>
          <w:szCs w:val="14"/>
          <w:color w:val="auto"/>
        </w:rPr>
        <w:t>Schedule I.</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Exhibit 1.6</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Development Milestones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 Licensed Products developed under this Agreement, the following milestones shall be achieved on or before the date set forth beside each such milestone.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Exhibit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8" w:right="1440" w:bottom="1440" w:gutter="0" w:footer="0" w:header="0"/>
        </w:sectPr>
      </w:pPr>
    </w:p>
    <w:bookmarkStart w:id="453" w:name="page454"/>
    <w:bookmarkEnd w:id="453"/>
    <w:p>
      <w:pPr>
        <w:ind w:left="5280"/>
        <w:spacing w:after="0"/>
        <w:rPr>
          <w:sz w:val="20"/>
          <w:szCs w:val="20"/>
          <w:color w:val="auto"/>
        </w:rPr>
      </w:pPr>
      <w:r>
        <w:rPr>
          <w:rFonts w:ascii="Times New Roman" w:cs="Times New Roman" w:eastAsia="Times New Roman" w:hAnsi="Times New Roman"/>
          <w:sz w:val="14"/>
          <w:szCs w:val="14"/>
          <w:color w:val="auto"/>
        </w:rPr>
        <w:t>Schedule II.</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Exhibit 1.7</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Development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Exhibit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9" w:right="1440" w:bottom="1440" w:gutter="0" w:footer="0" w:header="0"/>
        </w:sectPr>
      </w:pPr>
    </w:p>
    <w:bookmarkStart w:id="454" w:name="page455"/>
    <w:bookmarkEnd w:id="454"/>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Amendment No. 2 to License Agreement</w:t>
      </w:r>
    </w:p>
    <w:p>
      <w:pPr>
        <w:spacing w:after="0" w:line="175"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4"/>
          <w:szCs w:val="14"/>
          <w:color w:val="auto"/>
        </w:rPr>
        <w:t>This Amendment No. 2 to the License Agreement (this “</w:t>
      </w:r>
      <w:r>
        <w:rPr>
          <w:rFonts w:ascii="Times New Roman" w:cs="Times New Roman" w:eastAsia="Times New Roman" w:hAnsi="Times New Roman"/>
          <w:sz w:val="14"/>
          <w:szCs w:val="14"/>
          <w:b w:val="1"/>
          <w:bCs w:val="1"/>
          <w:color w:val="auto"/>
        </w:rPr>
        <w:t>Amendment No. 2</w:t>
      </w:r>
      <w:r>
        <w:rPr>
          <w:rFonts w:ascii="Times New Roman" w:cs="Times New Roman" w:eastAsia="Times New Roman" w:hAnsi="Times New Roman"/>
          <w:sz w:val="14"/>
          <w:szCs w:val="14"/>
          <w:color w:val="auto"/>
        </w:rPr>
        <w:t>”) is dated as of June 20, 2019 (the “</w:t>
      </w:r>
      <w:r>
        <w:rPr>
          <w:rFonts w:ascii="Times New Roman" w:cs="Times New Roman" w:eastAsia="Times New Roman" w:hAnsi="Times New Roman"/>
          <w:sz w:val="14"/>
          <w:szCs w:val="14"/>
          <w:b w:val="1"/>
          <w:bCs w:val="1"/>
          <w:color w:val="auto"/>
        </w:rPr>
        <w:t>Amendment No. 2 Effective Date</w:t>
      </w:r>
      <w:r>
        <w:rPr>
          <w:rFonts w:ascii="Times New Roman" w:cs="Times New Roman" w:eastAsia="Times New Roman" w:hAnsi="Times New Roman"/>
          <w:sz w:val="14"/>
          <w:szCs w:val="14"/>
          <w:color w:val="auto"/>
        </w:rPr>
        <w:t xml:space="preserve">”), by and between </w:t>
      </w:r>
      <w:r>
        <w:rPr>
          <w:rFonts w:ascii="Times New Roman" w:cs="Times New Roman" w:eastAsia="Times New Roman" w:hAnsi="Times New Roman"/>
          <w:sz w:val="14"/>
          <w:szCs w:val="14"/>
          <w:b w:val="1"/>
          <w:bCs w:val="1"/>
          <w:color w:val="auto"/>
        </w:rPr>
        <w:t>FOG Pharmaceuticals,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w:t>
      </w:r>
      <w:r>
        <w:rPr>
          <w:rFonts w:ascii="Times New Roman" w:cs="Times New Roman" w:eastAsia="Times New Roman" w:hAnsi="Times New Roman"/>
          <w:sz w:val="14"/>
          <w:szCs w:val="14"/>
          <w:color w:val="auto"/>
        </w:rPr>
        <w:t>., a corporation existing under the laws of Delaware, having a place of business at 100 Acom Park Drive, Sixth Floor, Cambridge, MA 02140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President and Fellows of Harvard College</w:t>
      </w:r>
      <w:r>
        <w:rPr>
          <w:rFonts w:ascii="Times New Roman" w:cs="Times New Roman" w:eastAsia="Times New Roman" w:hAnsi="Times New Roman"/>
          <w:sz w:val="14"/>
          <w:szCs w:val="14"/>
          <w:color w:val="auto"/>
        </w:rPr>
        <w:t>, an educational and charitable corporation existing under the laws and the constitution of the Commonwealth of Massachusetts, having a place of business at Richard A. and Susan F. Smith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Campus Center, Suite 727E, 1350 Massachusetts Avenue, Cambridge, Massachusetts 02138 (“</w:t>
      </w:r>
      <w:r>
        <w:rPr>
          <w:rFonts w:ascii="Times New Roman" w:cs="Times New Roman" w:eastAsia="Times New Roman" w:hAnsi="Times New Roman"/>
          <w:sz w:val="14"/>
          <w:szCs w:val="14"/>
          <w:b w:val="1"/>
          <w:bCs w:val="1"/>
          <w:color w:val="auto"/>
        </w:rPr>
        <w:t>Harvard</w:t>
      </w:r>
      <w:r>
        <w:rPr>
          <w:rFonts w:ascii="Times New Roman" w:cs="Times New Roman" w:eastAsia="Times New Roman" w:hAnsi="Times New Roman"/>
          <w:sz w:val="14"/>
          <w:szCs w:val="14"/>
          <w:color w:val="auto"/>
        </w:rPr>
        <w:t>”). Harvard, on the one hand, and Licensee, on the other, each shall be referred to herein as a “Party” and together as the “Parties”.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entered into a License Agreement dated as of August 30, 2017, as amended January 12, 2018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and</w:t>
      </w:r>
    </w:p>
    <w:p>
      <w:pPr>
        <w:spacing w:after="0" w:line="175" w:lineRule="exact"/>
        <w:rPr>
          <w:sz w:val="20"/>
          <w:szCs w:val="20"/>
          <w:color w:val="auto"/>
        </w:rPr>
      </w:pPr>
    </w:p>
    <w:p>
      <w:pPr>
        <w:ind w:right="4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desire to amend the Agreement in accordance with Section 11.10 in order to add Patent Rights under [***] (the “[***]</w:t>
      </w:r>
      <w:r>
        <w:rPr>
          <w:rFonts w:ascii="Times New Roman" w:cs="Times New Roman" w:eastAsia="Times New Roman" w:hAnsi="Times New Roman"/>
          <w:sz w:val="14"/>
          <w:szCs w:val="14"/>
          <w:b w:val="1"/>
          <w:bCs w:val="1"/>
          <w:color w:val="auto"/>
        </w:rPr>
        <w:t xml:space="preserve"> Patent Rights</w:t>
      </w:r>
      <w:r>
        <w:rPr>
          <w:rFonts w:ascii="Times New Roman" w:cs="Times New Roman" w:eastAsia="Times New Roman" w:hAnsi="Times New Roman"/>
          <w:sz w:val="14"/>
          <w:szCs w:val="14"/>
          <w:color w:val="auto"/>
        </w:rPr>
        <w:t>”) and confirm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removal of Patent Rights under [***].</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Parties hereto, intending to be legally bound, hereby agree as follows:</w:t>
      </w:r>
    </w:p>
    <w:p>
      <w:pPr>
        <w:spacing w:after="0" w:line="177" w:lineRule="exact"/>
        <w:rPr>
          <w:sz w:val="20"/>
          <w:szCs w:val="20"/>
          <w:color w:val="auto"/>
        </w:rPr>
      </w:pPr>
    </w:p>
    <w:p>
      <w:pPr>
        <w:ind w:left="820" w:hanging="281"/>
        <w:spacing w:after="0"/>
        <w:tabs>
          <w:tab w:leader="none" w:pos="8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in this Amendment No. 2 that are not defined herein shall have the meanings set forth in the Agreement.</w:t>
      </w:r>
    </w:p>
    <w:p>
      <w:pPr>
        <w:spacing w:after="0" w:line="175" w:lineRule="exact"/>
        <w:rPr>
          <w:rFonts w:ascii="Times New Roman" w:cs="Times New Roman" w:eastAsia="Times New Roman" w:hAnsi="Times New Roman"/>
          <w:sz w:val="14"/>
          <w:szCs w:val="14"/>
          <w:color w:val="auto"/>
        </w:rPr>
      </w:pPr>
    </w:p>
    <w:p>
      <w:pPr>
        <w:ind w:left="1020" w:right="400" w:hanging="481"/>
        <w:spacing w:after="0" w:line="283" w:lineRule="auto"/>
        <w:tabs>
          <w:tab w:leader="none" w:pos="813"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 is hereby amended to include the [***] Patent Rights as Patent Rights under the Agreement, and to confirm removal of the Patent Rights under [***]. Accordingly, Exhibit 1.21 of the Agreement is deleted and replaced in its entirety with the Exhibit 1.21 attached hereto.</w:t>
      </w:r>
    </w:p>
    <w:p>
      <w:pPr>
        <w:spacing w:after="0" w:line="124"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consideration for adding the [***] Patent Rights to the Patent Rights licensed under the Agreement, Licensee shall pay Harvard a non-refundable license issuance fee in the amount of</w:t>
      </w:r>
    </w:p>
    <w:p>
      <w:pPr>
        <w:spacing w:after="0" w:line="21" w:lineRule="exact"/>
        <w:rPr>
          <w:rFonts w:ascii="Times New Roman" w:cs="Times New Roman" w:eastAsia="Times New Roman" w:hAnsi="Times New Roman"/>
          <w:sz w:val="14"/>
          <w:szCs w:val="14"/>
          <w:color w:val="auto"/>
        </w:rPr>
      </w:pPr>
    </w:p>
    <w:p>
      <w:pPr>
        <w:ind w:left="1020" w:right="100" w:firstLine="6"/>
        <w:spacing w:after="0" w:line="256" w:lineRule="auto"/>
        <w:tabs>
          <w:tab w:leader="none" w:pos="1359"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 after the Amendment No. 2 Effective Date. Solely for the purposes of Harvard’s internal distributions, [***] Patent Rights shall be entitled to milestone payments under Section 4.3, royalties under Section 4.4 to the extent the [***] Patent Rights cover the Licensed Product subject to such royalty, and Non-Royalty Sublicense Income under Section 4.5 to the extent the [***] Patent Rights are included in the relevant Sublicense, but no consideration under Sections 4.1 or 4.2 of the Agreement.</w:t>
      </w:r>
    </w:p>
    <w:p>
      <w:pPr>
        <w:spacing w:after="0" w:line="142" w:lineRule="exact"/>
        <w:rPr>
          <w:rFonts w:ascii="Times New Roman" w:cs="Times New Roman" w:eastAsia="Times New Roman" w:hAnsi="Times New Roman"/>
          <w:sz w:val="14"/>
          <w:szCs w:val="14"/>
          <w:color w:val="auto"/>
        </w:rPr>
      </w:pPr>
    </w:p>
    <w:p>
      <w:pPr>
        <w:ind w:left="1020" w:hanging="481"/>
        <w:spacing w:after="0" w:line="261" w:lineRule="auto"/>
        <w:tabs>
          <w:tab w:leader="none" w:pos="813"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reimburse Harvard for all the documented, out-of-pocket expenses incurred by Harvard prior to the Amendment No. 2 Effective Date with respect to the preparation, filing, prosecution, protection and maintenance of the [***] Patent Rights within [***] after the Amendment No. 2 Effective Date. For purposes of this Section 4, expenses incurred for work or filing fees authorized by Harvard prior to the Amendment No. 2 Effective Date for which Harvard has not received a bill from outside counsel by the Amendment No. 2 Effective Date shall be deemed incurred after the Amendment No. 2 Effective Date.</w:t>
      </w:r>
    </w:p>
    <w:p>
      <w:pPr>
        <w:spacing w:after="0" w:line="140"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amended hereby, all other terms of the Agreement shall remain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568325</wp:posOffset>
            </wp:positionV>
            <wp:extent cx="7188200"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Amendment No. 1 to be executed by their duly authorized representatives.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President and Fellows of Harvard College</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FOG Pharmaceuticals, Inc.</w:t>
            </w:r>
          </w:p>
        </w:tc>
      </w:tr>
      <w:tr>
        <w:trPr>
          <w:trHeight w:val="33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 Isaac T. Kohlberg</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 Isaac T.</w:t>
            </w:r>
          </w:p>
        </w:tc>
        <w:tc>
          <w:tcPr>
            <w:tcW w:w="47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Kohlberg</w:t>
            </w:r>
          </w:p>
        </w:tc>
        <w:tc>
          <w:tcPr>
            <w:tcW w:w="116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Name: Gregory</w:t>
            </w:r>
          </w:p>
        </w:tc>
        <w:tc>
          <w:tcPr>
            <w:tcW w:w="45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L. Verdine</w:t>
            </w:r>
          </w:p>
        </w:tc>
      </w:tr>
      <w:tr>
        <w:trPr>
          <w:trHeight w:val="183"/>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Senior Associate Provost, Chief Technology Development Officer</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Title: President &amp; CEO</w:t>
            </w:r>
          </w:p>
        </w:tc>
      </w:tr>
      <w:tr>
        <w:trPr>
          <w:trHeight w:val="1063"/>
        </w:trPr>
        <w:tc>
          <w:tcPr>
            <w:tcW w:w="9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56" w:name="page457"/>
    <w:bookmarkEnd w:id="456"/>
    <w:p>
      <w:pPr>
        <w:ind w:left="5260"/>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24"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b w:val="1"/>
          <w:bCs w:val="1"/>
          <w:color w:val="auto"/>
        </w:rPr>
        <w:t>Patent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568325</wp:posOffset>
            </wp:positionV>
            <wp:extent cx="7188200"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7" w:right="1440" w:bottom="1440" w:gutter="0" w:footer="0" w:header="0"/>
        </w:sectPr>
      </w:pPr>
    </w:p>
    <w:bookmarkStart w:id="457" w:name="page458"/>
    <w:bookmarkEnd w:id="45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Amendment No. 3 to License Agreement</w:t>
      </w:r>
    </w:p>
    <w:p>
      <w:pPr>
        <w:spacing w:after="0" w:line="175"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color w:val="auto"/>
        </w:rPr>
        <w:t>This Amendment No. 3 to the License Agreement (this “</w:t>
      </w:r>
      <w:r>
        <w:rPr>
          <w:rFonts w:ascii="Times New Roman" w:cs="Times New Roman" w:eastAsia="Times New Roman" w:hAnsi="Times New Roman"/>
          <w:sz w:val="14"/>
          <w:szCs w:val="14"/>
          <w:b w:val="1"/>
          <w:bCs w:val="1"/>
          <w:color w:val="auto"/>
        </w:rPr>
        <w:t>Amendment No. 3</w:t>
      </w:r>
      <w:r>
        <w:rPr>
          <w:rFonts w:ascii="Times New Roman" w:cs="Times New Roman" w:eastAsia="Times New Roman" w:hAnsi="Times New Roman"/>
          <w:sz w:val="14"/>
          <w:szCs w:val="14"/>
          <w:color w:val="auto"/>
        </w:rPr>
        <w:t>”) is dated as of July 16, 2020 (the “</w:t>
      </w:r>
      <w:r>
        <w:rPr>
          <w:rFonts w:ascii="Times New Roman" w:cs="Times New Roman" w:eastAsia="Times New Roman" w:hAnsi="Times New Roman"/>
          <w:sz w:val="14"/>
          <w:szCs w:val="14"/>
          <w:b w:val="1"/>
          <w:bCs w:val="1"/>
          <w:color w:val="auto"/>
        </w:rPr>
        <w:t>Amendment No. 3 Effective Date</w:t>
      </w:r>
      <w:r>
        <w:rPr>
          <w:rFonts w:ascii="Times New Roman" w:cs="Times New Roman" w:eastAsia="Times New Roman" w:hAnsi="Times New Roman"/>
          <w:sz w:val="14"/>
          <w:szCs w:val="14"/>
          <w:color w:val="auto"/>
        </w:rPr>
        <w:t xml:space="preserve">”), by and between </w:t>
      </w:r>
      <w:r>
        <w:rPr>
          <w:rFonts w:ascii="Times New Roman" w:cs="Times New Roman" w:eastAsia="Times New Roman" w:hAnsi="Times New Roman"/>
          <w:sz w:val="14"/>
          <w:szCs w:val="14"/>
          <w:b w:val="1"/>
          <w:bCs w:val="1"/>
          <w:color w:val="auto"/>
        </w:rPr>
        <w:t>FOG Pharmaceuticals,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w:t>
      </w:r>
      <w:r>
        <w:rPr>
          <w:rFonts w:ascii="Times New Roman" w:cs="Times New Roman" w:eastAsia="Times New Roman" w:hAnsi="Times New Roman"/>
          <w:sz w:val="14"/>
          <w:szCs w:val="14"/>
          <w:color w:val="auto"/>
        </w:rPr>
        <w:t>, a corporation existing under the laws of Delaware, having a place of business at 30 Acorn Park Drive, Cambridge, MA 02140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President and Fellows of Harvard College</w:t>
      </w:r>
      <w:r>
        <w:rPr>
          <w:rFonts w:ascii="Times New Roman" w:cs="Times New Roman" w:eastAsia="Times New Roman" w:hAnsi="Times New Roman"/>
          <w:sz w:val="14"/>
          <w:szCs w:val="14"/>
          <w:color w:val="auto"/>
        </w:rPr>
        <w:t>,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educational and charitable corporation existing under the laws and the constitution of the Commonwealth of Massachusetts, having a place of business at Richard A. and Susan F. Smith Campus Center, Suite 727E, 1350 Massachusetts Avenue, Cambridge, Massachusetts 02138 (“</w:t>
      </w:r>
      <w:r>
        <w:rPr>
          <w:rFonts w:ascii="Times New Roman" w:cs="Times New Roman" w:eastAsia="Times New Roman" w:hAnsi="Times New Roman"/>
          <w:sz w:val="14"/>
          <w:szCs w:val="14"/>
          <w:b w:val="1"/>
          <w:bCs w:val="1"/>
          <w:color w:val="auto"/>
        </w:rPr>
        <w:t>Harvard</w:t>
      </w:r>
      <w:r>
        <w:rPr>
          <w:rFonts w:ascii="Times New Roman" w:cs="Times New Roman" w:eastAsia="Times New Roman" w:hAnsi="Times New Roman"/>
          <w:sz w:val="14"/>
          <w:szCs w:val="14"/>
          <w:color w:val="auto"/>
        </w:rPr>
        <w:t>”). Harvard, on the one hand, and Licensee, on the other, each shall be referred to herein as a “Party” and together as the “Parties”.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entered into a License Agreement dated as of August 30, 2017, as amended January 12, 2018 and as further amended June 20, 2019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w:t>
      </w:r>
    </w:p>
    <w:p>
      <w:pPr>
        <w:spacing w:after="0" w:line="159"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Harvard and Licensee desire to amend the Agreement in accordance with Section 11.10 in order to add Patent Rights under [***] (the “[***]</w:t>
      </w:r>
      <w:r>
        <w:rPr>
          <w:rFonts w:ascii="Times New Roman" w:cs="Times New Roman" w:eastAsia="Times New Roman" w:hAnsi="Times New Roman"/>
          <w:sz w:val="14"/>
          <w:szCs w:val="14"/>
          <w:b w:val="1"/>
          <w:bCs w:val="1"/>
          <w:color w:val="auto"/>
        </w:rPr>
        <w:t xml:space="preserve"> Patent Rights</w:t>
      </w:r>
      <w:r>
        <w:rPr>
          <w:rFonts w:ascii="Times New Roman" w:cs="Times New Roman" w:eastAsia="Times New Roman" w:hAnsi="Times New Roman"/>
          <w:sz w:val="14"/>
          <w:szCs w:val="14"/>
          <w:color w:val="auto"/>
        </w:rPr>
        <w:t>”) and to update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existing Patent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Parties hereto, intending to be legally bound, hereby agree as follows:</w:t>
      </w:r>
    </w:p>
    <w:p>
      <w:pPr>
        <w:spacing w:after="0" w:line="177" w:lineRule="exact"/>
        <w:rPr>
          <w:sz w:val="20"/>
          <w:szCs w:val="20"/>
          <w:color w:val="auto"/>
        </w:rPr>
      </w:pPr>
    </w:p>
    <w:p>
      <w:pPr>
        <w:ind w:left="820" w:hanging="281"/>
        <w:spacing w:after="0"/>
        <w:tabs>
          <w:tab w:leader="none" w:pos="82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in this Amendment No. 3 that are not defined herein shall have the meanings set forth in the Agreement.</w:t>
      </w:r>
    </w:p>
    <w:p>
      <w:pPr>
        <w:spacing w:after="0" w:line="175" w:lineRule="exact"/>
        <w:rPr>
          <w:rFonts w:ascii="Times New Roman" w:cs="Times New Roman" w:eastAsia="Times New Roman" w:hAnsi="Times New Roman"/>
          <w:sz w:val="14"/>
          <w:szCs w:val="14"/>
          <w:color w:val="auto"/>
        </w:rPr>
      </w:pPr>
    </w:p>
    <w:p>
      <w:pPr>
        <w:ind w:left="1020" w:right="240" w:hanging="481"/>
        <w:spacing w:after="0" w:line="283" w:lineRule="auto"/>
        <w:tabs>
          <w:tab w:leader="none" w:pos="813"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 is hereby amended to include the [***] Patent Rights as Patent Rights under the Agreement. Accordingly, Exhibit 1.21 of the Agreement is deleted and replaced in its entirety with the Exhibit 1.21 attached hereto.</w:t>
      </w:r>
    </w:p>
    <w:p>
      <w:pPr>
        <w:spacing w:after="0" w:line="124"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consideration for adding the [***] Patent Rights to the Patent Rights licensed under the Agreement, Licensee shall pay Harvard a non-refundable license issuance fee in the amount of</w:t>
      </w:r>
    </w:p>
    <w:p>
      <w:pPr>
        <w:spacing w:after="0" w:line="21" w:lineRule="exact"/>
        <w:rPr>
          <w:rFonts w:ascii="Times New Roman" w:cs="Times New Roman" w:eastAsia="Times New Roman" w:hAnsi="Times New Roman"/>
          <w:sz w:val="14"/>
          <w:szCs w:val="14"/>
          <w:color w:val="auto"/>
        </w:rPr>
      </w:pPr>
    </w:p>
    <w:p>
      <w:pPr>
        <w:jc w:val="both"/>
        <w:ind w:left="1020" w:right="100" w:firstLine="6"/>
        <w:spacing w:after="0" w:line="256" w:lineRule="auto"/>
        <w:tabs>
          <w:tab w:leader="none" w:pos="1359" w:val="left"/>
        </w:tabs>
        <w:numPr>
          <w:ilvl w:val="1"/>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 after the Amendment No. 3 Effective Date. Solely for the purposes of Harvard’s internal distributions, [***] Patent Rights shall be entitled to milestone payments under Section 4.3, royalties under Section 4.4 to the extent the [***] Patent Rights cover the Licensed Product subject to such royalty, and Non-Royalty Income under Section 4.5 to the extent the [***] Patent Rights are included in the relevant Sublicense or Strategic Partnership, but no consideration under Sections 4.1 or 4.2 of the Agreement.</w:t>
      </w:r>
    </w:p>
    <w:p>
      <w:pPr>
        <w:spacing w:after="0" w:line="142" w:lineRule="exact"/>
        <w:rPr>
          <w:rFonts w:ascii="Times New Roman" w:cs="Times New Roman" w:eastAsia="Times New Roman" w:hAnsi="Times New Roman"/>
          <w:sz w:val="14"/>
          <w:szCs w:val="14"/>
          <w:color w:val="auto"/>
        </w:rPr>
      </w:pPr>
    </w:p>
    <w:p>
      <w:pPr>
        <w:ind w:left="1020" w:hanging="481"/>
        <w:spacing w:after="0" w:line="261" w:lineRule="auto"/>
        <w:tabs>
          <w:tab w:leader="none" w:pos="813"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reimburse Harvard for all the documented, out-of-pocket expenses incurred by Harvard prior to the Amendment No. 3 Effective Date with respect to the preparation, filing, prosecution, protection and maintenance of the [***] Patent Rights within [***] after the Amendment No. 3 Effective Date. For purposes of this Section 4, expenses incurred for work or filing fees authorized by Harvard prior to the Amendment No. 3 Effective Date for which Harvard has not received a bill from outside counsel by the Amendment No. 3 Effective Date shall be deemed incurred after the Amendment No. 3 Effective Date.</w:t>
      </w:r>
    </w:p>
    <w:p>
      <w:pPr>
        <w:spacing w:after="0" w:line="140" w:lineRule="exact"/>
        <w:rPr>
          <w:rFonts w:ascii="Times New Roman" w:cs="Times New Roman" w:eastAsia="Times New Roman" w:hAnsi="Times New Roman"/>
          <w:sz w:val="14"/>
          <w:szCs w:val="14"/>
          <w:color w:val="auto"/>
        </w:rPr>
      </w:pPr>
    </w:p>
    <w:p>
      <w:pPr>
        <w:ind w:left="820" w:hanging="281"/>
        <w:spacing w:after="0"/>
        <w:tabs>
          <w:tab w:leader="none" w:pos="82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amended hereby, all other terms of the Agreement shall remain unchanged and in full force and effect.</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568325</wp:posOffset>
            </wp:positionV>
            <wp:extent cx="7188200"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Amendment No. 3 to be executed by their duly authorized representatives.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President and Fellows of Harvard College</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FOG Pharmaceuticals, Inc.</w:t>
            </w:r>
          </w:p>
        </w:tc>
      </w:tr>
      <w:tr>
        <w:trPr>
          <w:trHeight w:val="33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 Isaac T. Kohlberg</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 Isaac T.</w:t>
            </w:r>
          </w:p>
        </w:tc>
        <w:tc>
          <w:tcPr>
            <w:tcW w:w="47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Kohlberg</w:t>
            </w:r>
          </w:p>
        </w:tc>
        <w:tc>
          <w:tcPr>
            <w:tcW w:w="116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Name: Gregory</w:t>
            </w:r>
          </w:p>
        </w:tc>
        <w:tc>
          <w:tcPr>
            <w:tcW w:w="45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L. Verdine</w:t>
            </w:r>
          </w:p>
        </w:tc>
      </w:tr>
      <w:tr>
        <w:trPr>
          <w:trHeight w:val="183"/>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Senior Associate Provost, Chief Technology Development Officer</w:t>
            </w:r>
          </w:p>
        </w:tc>
        <w:tc>
          <w:tcPr>
            <w:tcW w:w="56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Title: President &amp; CEO</w:t>
            </w:r>
          </w:p>
        </w:tc>
      </w:tr>
      <w:tr>
        <w:trPr>
          <w:trHeight w:val="1063"/>
        </w:trPr>
        <w:tc>
          <w:tcPr>
            <w:tcW w:w="9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59" w:name="page460"/>
    <w:bookmarkEnd w:id="459"/>
    <w:p>
      <w:pPr>
        <w:ind w:left="5260"/>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24"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b w:val="1"/>
          <w:bCs w:val="1"/>
          <w:color w:val="auto"/>
        </w:rPr>
        <w:t>Patent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Exhibit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817" w:right="1440"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LOAN AND SECURITY AGREEMENT</w:t>
      </w:r>
    </w:p>
    <w:p>
      <w:pPr>
        <w:spacing w:after="0" w:line="175" w:lineRule="exact"/>
        <w:rPr>
          <w:sz w:val="20"/>
          <w:szCs w:val="20"/>
          <w:color w:val="auto"/>
        </w:rPr>
      </w:pPr>
    </w:p>
    <w:p>
      <w:pPr>
        <w:ind w:right="2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THIS LOAN AND SECURITY AGREEMENT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dated as of the Effective Date between</w:t>
      </w:r>
      <w:r>
        <w:rPr>
          <w:rFonts w:ascii="Times New Roman" w:cs="Times New Roman" w:eastAsia="Times New Roman" w:hAnsi="Times New Roman"/>
          <w:sz w:val="14"/>
          <w:szCs w:val="14"/>
          <w:b w:val="1"/>
          <w:bCs w:val="1"/>
          <w:color w:val="auto"/>
        </w:rPr>
        <w:t xml:space="preserve"> SILICON VALLEY BANK</w:t>
      </w:r>
      <w:r>
        <w:rPr>
          <w:rFonts w:ascii="Times New Roman" w:cs="Times New Roman" w:eastAsia="Times New Roman" w:hAnsi="Times New Roman"/>
          <w:sz w:val="14"/>
          <w:szCs w:val="14"/>
          <w:color w:val="auto"/>
        </w:rPr>
        <w:t>, a California corporation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borrower listed on Schedule I hereto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The parties agree as follows:</w:t>
      </w:r>
    </w:p>
    <w:p>
      <w:pPr>
        <w:spacing w:after="0" w:line="121" w:lineRule="exact"/>
        <w:rPr>
          <w:sz w:val="20"/>
          <w:szCs w:val="20"/>
          <w:color w:val="auto"/>
        </w:rPr>
      </w:pPr>
    </w:p>
    <w:p>
      <w:pPr>
        <w:ind w:left="660" w:hanging="145"/>
        <w:spacing w:after="0"/>
        <w:tabs>
          <w:tab w:leader="none" w:pos="660" w:val="left"/>
        </w:tabs>
        <w:numPr>
          <w:ilvl w:val="1"/>
          <w:numId w:val="3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LOAN AND TERMS OF PAYMENT</w:t>
      </w:r>
    </w:p>
    <w:p>
      <w:pPr>
        <w:spacing w:after="0" w:line="175"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1.1 Term Loan</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b w:val="1"/>
          <w:bCs w:val="1"/>
          <w:color w:val="auto"/>
        </w:rPr>
      </w:pPr>
    </w:p>
    <w:p>
      <w:pPr>
        <w:ind w:right="200" w:firstLine="1155"/>
        <w:spacing w:after="0" w:line="258" w:lineRule="auto"/>
        <w:tabs>
          <w:tab w:leader="none" w:pos="1341" w:val="left"/>
        </w:tabs>
        <w:numPr>
          <w:ilvl w:val="2"/>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Availability</w:t>
      </w:r>
      <w:r>
        <w:rPr>
          <w:rFonts w:ascii="Times New Roman" w:cs="Times New Roman" w:eastAsia="Times New Roman" w:hAnsi="Times New Roman"/>
          <w:sz w:val="14"/>
          <w:szCs w:val="14"/>
          <w:color w:val="auto"/>
        </w:rPr>
        <w:t>. Subject to the terms and conditions of this Agreement, upon Borrower’s request, Bank shall make 1 term loan advance in an amount equal to the Term Loan A Availability Amount (the “</w:t>
      </w:r>
      <w:r>
        <w:rPr>
          <w:rFonts w:ascii="Times New Roman" w:cs="Times New Roman" w:eastAsia="Times New Roman" w:hAnsi="Times New Roman"/>
          <w:sz w:val="14"/>
          <w:szCs w:val="14"/>
          <w:b w:val="1"/>
          <w:bCs w:val="1"/>
          <w:color w:val="auto"/>
        </w:rPr>
        <w:t>Term Loan A Advance</w:t>
      </w:r>
      <w:r>
        <w:rPr>
          <w:rFonts w:ascii="Times New Roman" w:cs="Times New Roman" w:eastAsia="Times New Roman" w:hAnsi="Times New Roman"/>
          <w:sz w:val="14"/>
          <w:szCs w:val="14"/>
          <w:color w:val="auto"/>
        </w:rPr>
        <w:t>”) on or about the Effective Date. Subject to the terms and conditions of this Agreement, upon Borrower’s request, during the Draw Period, Bank shall make term loan advances not exceeding the Term Loan B Availability Amount (each such advance is referred to herein as a “</w:t>
      </w:r>
      <w:r>
        <w:rPr>
          <w:rFonts w:ascii="Times New Roman" w:cs="Times New Roman" w:eastAsia="Times New Roman" w:hAnsi="Times New Roman"/>
          <w:sz w:val="14"/>
          <w:szCs w:val="14"/>
          <w:b w:val="1"/>
          <w:bCs w:val="1"/>
          <w:color w:val="auto"/>
        </w:rPr>
        <w:t>Term Loan B Advance</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color w:val="auto"/>
        </w:rPr>
        <w:t>Term Loan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Advances</w:t>
      </w:r>
      <w:r>
        <w:rPr>
          <w:rFonts w:ascii="Times New Roman" w:cs="Times New Roman" w:eastAsia="Times New Roman" w:hAnsi="Times New Roman"/>
          <w:sz w:val="14"/>
          <w:szCs w:val="14"/>
          <w:color w:val="auto"/>
        </w:rPr>
        <w:t>”). The Term Loan A Advance and the Term Loan B Advances are each referred to herein as a “</w:t>
      </w:r>
      <w:r>
        <w:rPr>
          <w:rFonts w:ascii="Times New Roman" w:cs="Times New Roman" w:eastAsia="Times New Roman" w:hAnsi="Times New Roman"/>
          <w:sz w:val="14"/>
          <w:szCs w:val="14"/>
          <w:b w:val="1"/>
          <w:bCs w:val="1"/>
          <w:color w:val="auto"/>
        </w:rPr>
        <w:t>Term Loan Advance</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color w:val="auto"/>
        </w:rPr>
        <w:t>Term Loan Advances</w:t>
      </w:r>
      <w:r>
        <w:rPr>
          <w:rFonts w:ascii="Times New Roman" w:cs="Times New Roman" w:eastAsia="Times New Roman" w:hAnsi="Times New Roman"/>
          <w:sz w:val="14"/>
          <w:szCs w:val="14"/>
          <w:color w:val="auto"/>
        </w:rPr>
        <w:t>”. Borrower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Term Loan Advances as set forth on Schedule I hereto.</w:t>
      </w:r>
    </w:p>
    <w:p>
      <w:pPr>
        <w:spacing w:after="0" w:line="143" w:lineRule="exact"/>
        <w:rPr>
          <w:rFonts w:ascii="Times New Roman" w:cs="Times New Roman" w:eastAsia="Times New Roman" w:hAnsi="Times New Roman"/>
          <w:sz w:val="14"/>
          <w:szCs w:val="14"/>
          <w:color w:val="auto"/>
        </w:rPr>
      </w:pPr>
    </w:p>
    <w:p>
      <w:pPr>
        <w:ind w:right="120" w:firstLine="1155"/>
        <w:spacing w:after="0" w:line="283" w:lineRule="auto"/>
        <w:tabs>
          <w:tab w:leader="none" w:pos="1349" w:val="left"/>
        </w:tabs>
        <w:numPr>
          <w:ilvl w:val="2"/>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Repayment</w:t>
      </w:r>
      <w:r>
        <w:rPr>
          <w:rFonts w:ascii="Times New Roman" w:cs="Times New Roman" w:eastAsia="Times New Roman" w:hAnsi="Times New Roman"/>
          <w:sz w:val="14"/>
          <w:szCs w:val="14"/>
          <w:color w:val="auto"/>
        </w:rPr>
        <w:t>. Borrower shall repay each Term Loan Advance as set forth in Schedule I hereto. All outstanding principal and accrued and unpaid interest under each Term Loan Advance, and all other outstanding Obligations with respect to such Term Loan Advance, are due and payable in full on the Term Loan Maturity Date.</w:t>
      </w:r>
    </w:p>
    <w:p>
      <w:pPr>
        <w:spacing w:after="0" w:line="124" w:lineRule="exact"/>
        <w:rPr>
          <w:rFonts w:ascii="Times New Roman" w:cs="Times New Roman" w:eastAsia="Times New Roman" w:hAnsi="Times New Roman"/>
          <w:sz w:val="14"/>
          <w:szCs w:val="14"/>
          <w:color w:val="auto"/>
        </w:rPr>
      </w:pPr>
    </w:p>
    <w:p>
      <w:pPr>
        <w:ind w:right="60" w:firstLine="1155"/>
        <w:spacing w:after="0" w:line="261" w:lineRule="auto"/>
        <w:tabs>
          <w:tab w:leader="none" w:pos="1341" w:val="left"/>
        </w:tabs>
        <w:numPr>
          <w:ilvl w:val="2"/>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Permitted Prepayment</w:t>
      </w:r>
      <w:r>
        <w:rPr>
          <w:rFonts w:ascii="Times New Roman" w:cs="Times New Roman" w:eastAsia="Times New Roman" w:hAnsi="Times New Roman"/>
          <w:sz w:val="14"/>
          <w:szCs w:val="14"/>
          <w:color w:val="auto"/>
        </w:rPr>
        <w:t>. Borrower shall have the option to prepay all, but not less than all, of the Term Loan Advances, provided Borrower (i) delivers written notice to Bank of its election to prepay the Term Loan Advances at least ten (10) days prior to such prepayment, and (ii) pays, on the date of such prepayment (A) the outstanding principal plus accrued and unpaid interest with respect to the Term Loan Advances, (B) the Final Payment, (C) the Prepayment Fee, and (D) all other sums, if any, that shall have become due and payable with respect to the Term Loan Advances, including interest at the Default Rate with respect to any past due amounts.</w:t>
      </w:r>
    </w:p>
    <w:p>
      <w:pPr>
        <w:spacing w:after="0" w:line="140" w:lineRule="exact"/>
        <w:rPr>
          <w:rFonts w:ascii="Times New Roman" w:cs="Times New Roman" w:eastAsia="Times New Roman" w:hAnsi="Times New Roman"/>
          <w:sz w:val="14"/>
          <w:szCs w:val="14"/>
          <w:color w:val="auto"/>
        </w:rPr>
      </w:pPr>
    </w:p>
    <w:p>
      <w:pPr>
        <w:ind w:firstLine="1155"/>
        <w:spacing w:after="0" w:line="261" w:lineRule="auto"/>
        <w:tabs>
          <w:tab w:leader="none" w:pos="1349" w:val="left"/>
        </w:tabs>
        <w:numPr>
          <w:ilvl w:val="2"/>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Prepayment Upon an Acceleration</w:t>
      </w:r>
      <w:r>
        <w:rPr>
          <w:rFonts w:ascii="Times New Roman" w:cs="Times New Roman" w:eastAsia="Times New Roman" w:hAnsi="Times New Roman"/>
          <w:sz w:val="14"/>
          <w:szCs w:val="14"/>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Final Payment,</w:t>
      </w:r>
    </w:p>
    <w:p>
      <w:pPr>
        <w:ind w:right="40" w:firstLine="4"/>
        <w:spacing w:after="0" w:line="261" w:lineRule="auto"/>
        <w:tabs>
          <w:tab w:leader="none" w:pos="245"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Prepayment Fee, and (iv) all other sums, if any, that shall have become due and payable with respect to the Term Loan Advances, including interest at the Default Rate with respect to any past due amounts.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1.2 Payment of Interest on the Credit Extensions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340" w:hanging="185"/>
        <w:spacing w:after="0"/>
        <w:tabs>
          <w:tab w:leader="none" w:pos="134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 Payments</w:t>
      </w:r>
      <w:r>
        <w:rPr>
          <w:rFonts w:ascii="Times New Roman" w:cs="Times New Roman" w:eastAsia="Times New Roman" w:hAnsi="Times New Roman"/>
          <w:sz w:val="14"/>
          <w:szCs w:val="14"/>
          <w:color w:val="auto"/>
        </w:rPr>
        <w:t>. Interest on the principal amount of each Term Loan Advance is payable as set forth on Schedule I hereto.</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w:t>
      </w:r>
    </w:p>
    <w:p>
      <w:pPr>
        <w:spacing w:after="0" w:line="175" w:lineRule="exact"/>
        <w:rPr>
          <w:rFonts w:ascii="Times New Roman" w:cs="Times New Roman" w:eastAsia="Times New Roman" w:hAnsi="Times New Roman"/>
          <w:sz w:val="14"/>
          <w:szCs w:val="14"/>
          <w:color w:val="auto"/>
        </w:rPr>
      </w:pPr>
    </w:p>
    <w:p>
      <w:pPr>
        <w:ind w:left="1840" w:hanging="174"/>
        <w:spacing w:after="0"/>
        <w:tabs>
          <w:tab w:leader="none" w:pos="1840"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Loan Advances</w:t>
      </w:r>
      <w:r>
        <w:rPr>
          <w:rFonts w:ascii="Times New Roman" w:cs="Times New Roman" w:eastAsia="Times New Roman" w:hAnsi="Times New Roman"/>
          <w:sz w:val="14"/>
          <w:szCs w:val="14"/>
          <w:color w:val="auto"/>
        </w:rPr>
        <w:t>. Subject to Section 1.2(c), the outstanding principal amount of any Term Loan Advance shall accrue interest as set forth on Schedule I hereto.</w:t>
      </w:r>
    </w:p>
    <w:p>
      <w:pPr>
        <w:spacing w:after="0" w:line="175" w:lineRule="exact"/>
        <w:rPr>
          <w:rFonts w:ascii="Times New Roman" w:cs="Times New Roman" w:eastAsia="Times New Roman" w:hAnsi="Times New Roman"/>
          <w:sz w:val="14"/>
          <w:szCs w:val="14"/>
          <w:color w:val="auto"/>
        </w:rPr>
      </w:pPr>
    </w:p>
    <w:p>
      <w:pPr>
        <w:ind w:left="1160" w:right="40" w:firstLine="506"/>
        <w:spacing w:after="0" w:line="283" w:lineRule="auto"/>
        <w:tabs>
          <w:tab w:leader="none" w:pos="1877"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All-In Rate</w:t>
      </w:r>
      <w:r>
        <w:rPr>
          <w:rFonts w:ascii="Times New Roman" w:cs="Times New Roman" w:eastAsia="Times New Roman" w:hAnsi="Times New Roman"/>
          <w:sz w:val="14"/>
          <w:szCs w:val="14"/>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82" w:lineRule="exact"/>
        <w:rPr>
          <w:rFonts w:ascii="Times New Roman" w:cs="Times New Roman" w:eastAsia="Times New Roman" w:hAnsi="Times New Roman"/>
          <w:sz w:val="14"/>
          <w:szCs w:val="14"/>
          <w:color w:val="auto"/>
        </w:rPr>
      </w:pPr>
    </w:p>
    <w:p>
      <w:pPr>
        <w:ind w:right="80" w:firstLine="1162"/>
        <w:spacing w:after="0" w:line="258" w:lineRule="auto"/>
        <w:tabs>
          <w:tab w:leader="none" w:pos="1348"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 Rate</w:t>
      </w:r>
      <w:r>
        <w:rPr>
          <w:rFonts w:ascii="Times New Roman" w:cs="Times New Roman" w:eastAsia="Times New Roman" w:hAnsi="Times New Roman"/>
          <w:sz w:val="14"/>
          <w:szCs w:val="14"/>
          <w:color w:val="auto"/>
        </w:rPr>
        <w:t>. Immediately upon the occurrence and during the continuance of an Event of Default, the outstanding Obligations shall bear interest at a rate per annum which is five percent (5.0%) above the rate that is otherwise applicable thereto (the “</w:t>
      </w:r>
      <w:r>
        <w:rPr>
          <w:rFonts w:ascii="Times New Roman" w:cs="Times New Roman" w:eastAsia="Times New Roman" w:hAnsi="Times New Roman"/>
          <w:sz w:val="14"/>
          <w:szCs w:val="14"/>
          <w:b w:val="1"/>
          <w:bCs w:val="1"/>
          <w:color w:val="auto"/>
        </w:rPr>
        <w:t>Default Rate</w:t>
      </w:r>
      <w:r>
        <w:rPr>
          <w:rFonts w:ascii="Times New Roman" w:cs="Times New Roman" w:eastAsia="Times New Roman" w:hAnsi="Times New Roman"/>
          <w:sz w:val="14"/>
          <w:szCs w:val="14"/>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817" w:right="359" w:bottom="1440" w:gutter="0" w:footer="0" w:header="0"/>
        </w:sectPr>
      </w:pPr>
    </w:p>
    <w:bookmarkStart w:id="461" w:name="page462"/>
    <w:bookmarkEnd w:id="461"/>
    <w:p>
      <w:pPr>
        <w:ind w:firstLine="1155"/>
        <w:spacing w:after="0" w:line="283" w:lineRule="auto"/>
        <w:tabs>
          <w:tab w:leader="none" w:pos="1349"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to Interest Rate</w:t>
      </w:r>
      <w:r>
        <w:rPr>
          <w:rFonts w:ascii="Times New Roman" w:cs="Times New Roman" w:eastAsia="Times New Roman" w:hAnsi="Times New Roman"/>
          <w:sz w:val="14"/>
          <w:szCs w:val="14"/>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24" w:lineRule="exact"/>
        <w:rPr>
          <w:rFonts w:ascii="Times New Roman" w:cs="Times New Roman" w:eastAsia="Times New Roman" w:hAnsi="Times New Roman"/>
          <w:sz w:val="14"/>
          <w:szCs w:val="14"/>
          <w:color w:val="auto"/>
        </w:rPr>
      </w:pPr>
    </w:p>
    <w:p>
      <w:pPr>
        <w:jc w:val="both"/>
        <w:ind w:right="180" w:firstLine="1155"/>
        <w:spacing w:after="0" w:line="267" w:lineRule="auto"/>
        <w:tabs>
          <w:tab w:leader="none" w:pos="1341"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 Computation</w:t>
      </w:r>
      <w:r>
        <w:rPr>
          <w:rFonts w:ascii="Times New Roman" w:cs="Times New Roman" w:eastAsia="Times New Roman" w:hAnsi="Times New Roman"/>
          <w:sz w:val="14"/>
          <w:szCs w:val="14"/>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1.3 Fees</w:t>
      </w:r>
      <w:r>
        <w:rPr>
          <w:rFonts w:ascii="Times New Roman" w:cs="Times New Roman" w:eastAsia="Times New Roman" w:hAnsi="Times New Roman"/>
          <w:sz w:val="14"/>
          <w:szCs w:val="14"/>
          <w:color w:val="auto"/>
        </w:rPr>
        <w:t>. Borrower shall pay to Bank:</w:t>
      </w:r>
    </w:p>
    <w:p>
      <w:pPr>
        <w:spacing w:after="0" w:line="177" w:lineRule="exact"/>
        <w:rPr>
          <w:sz w:val="20"/>
          <w:szCs w:val="20"/>
          <w:color w:val="auto"/>
        </w:rPr>
      </w:pPr>
    </w:p>
    <w:p>
      <w:pPr>
        <w:ind w:left="1340" w:hanging="185"/>
        <w:spacing w:after="0"/>
        <w:tabs>
          <w:tab w:leader="none" w:pos="134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Final Payment</w:t>
      </w:r>
      <w:r>
        <w:rPr>
          <w:rFonts w:ascii="Times New Roman" w:cs="Times New Roman" w:eastAsia="Times New Roman" w:hAnsi="Times New Roman"/>
          <w:sz w:val="14"/>
          <w:szCs w:val="14"/>
          <w:color w:val="auto"/>
        </w:rPr>
        <w:t>. The Final Payment, when due hereunder, which shall be fully earned and non-refundable as of such date;</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Prepayment Fee</w:t>
      </w:r>
      <w:r>
        <w:rPr>
          <w:rFonts w:ascii="Times New Roman" w:cs="Times New Roman" w:eastAsia="Times New Roman" w:hAnsi="Times New Roman"/>
          <w:sz w:val="14"/>
          <w:szCs w:val="14"/>
          <w:color w:val="auto"/>
        </w:rPr>
        <w:t>. The Prepayment Fee, when due hereunder, which shall be fully earned and non-refundable as of such date; and</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Bank Expenses</w:t>
      </w:r>
      <w:r>
        <w:rPr>
          <w:rFonts w:ascii="Times New Roman" w:cs="Times New Roman" w:eastAsia="Times New Roman" w:hAnsi="Times New Roman"/>
          <w:sz w:val="14"/>
          <w:szCs w:val="14"/>
          <w:color w:val="auto"/>
        </w:rPr>
        <w:t>. All Bank Expenses incurred through and after the Effective Date, when due (or, if no stated due date, upon demand by Bank).</w:t>
      </w:r>
    </w:p>
    <w:p>
      <w:pPr>
        <w:spacing w:after="0" w:line="17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4"/>
          <w:szCs w:val="14"/>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1.4 Payments; Application of Payments; Debit of Accounts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80" w:firstLine="1155"/>
        <w:spacing w:after="0" w:line="261" w:lineRule="auto"/>
        <w:tabs>
          <w:tab w:leader="none" w:pos="1341"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(including prepayments) to be made by Borrower under any Loan Document shall be made in immediately available funds in Dollars, without setoff, counterclaim, or deduction,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40" w:lineRule="exact"/>
        <w:rPr>
          <w:rFonts w:ascii="Times New Roman" w:cs="Times New Roman" w:eastAsia="Times New Roman" w:hAnsi="Times New Roman"/>
          <w:sz w:val="14"/>
          <w:szCs w:val="14"/>
          <w:color w:val="auto"/>
        </w:rPr>
      </w:pPr>
    </w:p>
    <w:p>
      <w:pPr>
        <w:ind w:right="140" w:firstLine="1155"/>
        <w:spacing w:after="0" w:line="267" w:lineRule="auto"/>
        <w:tabs>
          <w:tab w:leader="none" w:pos="1349"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35" w:lineRule="exact"/>
        <w:rPr>
          <w:rFonts w:ascii="Times New Roman" w:cs="Times New Roman" w:eastAsia="Times New Roman" w:hAnsi="Times New Roman"/>
          <w:sz w:val="14"/>
          <w:szCs w:val="14"/>
          <w:color w:val="auto"/>
        </w:rPr>
      </w:pPr>
    </w:p>
    <w:p>
      <w:pPr>
        <w:ind w:right="60" w:firstLine="1155"/>
        <w:spacing w:after="0" w:line="283" w:lineRule="auto"/>
        <w:tabs>
          <w:tab w:leader="none" w:pos="1341"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1.5 Change in Circumstances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1155"/>
        <w:spacing w:after="0" w:line="256" w:lineRule="auto"/>
        <w:tabs>
          <w:tab w:leader="none" w:pos="1341"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Increased Costs</w:t>
      </w:r>
      <w:r>
        <w:rPr>
          <w:rFonts w:ascii="Times New Roman" w:cs="Times New Roman" w:eastAsia="Times New Roman" w:hAnsi="Times New Roman"/>
          <w:sz w:val="14"/>
          <w:szCs w:val="14"/>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43" w:lineRule="exact"/>
        <w:rPr>
          <w:rFonts w:ascii="Times New Roman" w:cs="Times New Roman" w:eastAsia="Times New Roman" w:hAnsi="Times New Roman"/>
          <w:sz w:val="14"/>
          <w:szCs w:val="14"/>
          <w:color w:val="auto"/>
        </w:rPr>
      </w:pPr>
    </w:p>
    <w:p>
      <w:pPr>
        <w:jc w:val="both"/>
        <w:ind w:right="140" w:firstLine="1155"/>
        <w:spacing w:after="0" w:line="283" w:lineRule="auto"/>
        <w:tabs>
          <w:tab w:leader="none" w:pos="1349"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 Requirements</w:t>
      </w:r>
      <w:r>
        <w:rPr>
          <w:rFonts w:ascii="Times New Roman" w:cs="Times New Roman" w:eastAsia="Times New Roman" w:hAnsi="Times New Roman"/>
          <w:sz w:val="14"/>
          <w:szCs w:val="14"/>
          <w:color w:val="auto"/>
        </w:rPr>
        <w:t>. If Bank determines that any Change in Law affecting Bank regarding capital or liquidity requirements, has or would reasonably be expected to have the effect of reducing the rate of return on Bank’s capital as a consequence of this Agreement, any term loan facility, or the Credit Extensions made by Bank to a level below that which Bank could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62" w:name="page463"/>
    <w:bookmarkEnd w:id="462"/>
    <w:p>
      <w:pPr>
        <w:ind w:right="280"/>
        <w:spacing w:after="0" w:line="283" w:lineRule="auto"/>
        <w:rPr>
          <w:sz w:val="20"/>
          <w:szCs w:val="20"/>
          <w:color w:val="auto"/>
        </w:rPr>
      </w:pPr>
      <w:r>
        <w:rPr>
          <w:rFonts w:ascii="Times New Roman" w:cs="Times New Roman" w:eastAsia="Times New Roman" w:hAnsi="Times New Roman"/>
          <w:sz w:val="14"/>
          <w:szCs w:val="14"/>
          <w:color w:val="auto"/>
        </w:rPr>
        <w:t>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25" w:lineRule="exact"/>
        <w:rPr>
          <w:sz w:val="20"/>
          <w:szCs w:val="20"/>
          <w:color w:val="auto"/>
        </w:rPr>
      </w:pPr>
    </w:p>
    <w:p>
      <w:pPr>
        <w:ind w:right="20" w:firstLine="1155"/>
        <w:spacing w:after="0" w:line="261" w:lineRule="auto"/>
        <w:tabs>
          <w:tab w:leader="none" w:pos="1341"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Delay in Requests</w:t>
      </w:r>
      <w:r>
        <w:rPr>
          <w:rFonts w:ascii="Times New Roman" w:cs="Times New Roman" w:eastAsia="Times New Roman" w:hAnsi="Times New Roman"/>
          <w:sz w:val="14"/>
          <w:szCs w:val="14"/>
          <w:color w:val="auto"/>
        </w:rPr>
        <w:t>. Failure or delay on the part of Bank to demand compensation pursuant to this Section 1.5 shall not constitute a waiver of Bank’s right to demand such compensation; provided that Borrower shall not be required to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1.6 Taxes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00" w:firstLine="1155"/>
        <w:spacing w:after="0" w:line="257" w:lineRule="auto"/>
        <w:tabs>
          <w:tab w:leader="none" w:pos="1341"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Free of Taxes</w:t>
      </w:r>
      <w:r>
        <w:rPr>
          <w:rFonts w:ascii="Times New Roman" w:cs="Times New Roman" w:eastAsia="Times New Roman" w:hAnsi="Times New Roman"/>
          <w:sz w:val="14"/>
          <w:szCs w:val="14"/>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43" w:lineRule="exact"/>
        <w:rPr>
          <w:rFonts w:ascii="Times New Roman" w:cs="Times New Roman" w:eastAsia="Times New Roman" w:hAnsi="Times New Roman"/>
          <w:sz w:val="14"/>
          <w:szCs w:val="14"/>
          <w:color w:val="auto"/>
        </w:rPr>
      </w:pPr>
    </w:p>
    <w:p>
      <w:pPr>
        <w:ind w:right="480" w:firstLine="1155"/>
        <w:spacing w:after="0" w:line="283" w:lineRule="auto"/>
        <w:tabs>
          <w:tab w:leader="none" w:pos="1349"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Other Taxes by Borrower</w:t>
      </w:r>
      <w:r>
        <w:rPr>
          <w:rFonts w:ascii="Times New Roman" w:cs="Times New Roman" w:eastAsia="Times New Roman" w:hAnsi="Times New Roman"/>
          <w:sz w:val="14"/>
          <w:szCs w:val="14"/>
          <w:color w:val="auto"/>
        </w:rPr>
        <w:t>. Without limiting the provisions of subsection (a) above, Borrower shall timely pay any Other Taxes to the relevant Governmental Authority in accordance with Applicable Law.</w:t>
      </w:r>
    </w:p>
    <w:p>
      <w:pPr>
        <w:spacing w:after="0" w:line="124" w:lineRule="exact"/>
        <w:rPr>
          <w:rFonts w:ascii="Times New Roman" w:cs="Times New Roman" w:eastAsia="Times New Roman" w:hAnsi="Times New Roman"/>
          <w:sz w:val="14"/>
          <w:szCs w:val="14"/>
          <w:color w:val="auto"/>
        </w:rPr>
      </w:pPr>
    </w:p>
    <w:p>
      <w:pPr>
        <w:ind w:right="260" w:firstLine="1155"/>
        <w:spacing w:after="0" w:line="261" w:lineRule="auto"/>
        <w:tabs>
          <w:tab w:leader="none" w:pos="1341"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Indemnification</w:t>
      </w:r>
      <w:r>
        <w:rPr>
          <w:rFonts w:ascii="Times New Roman" w:cs="Times New Roman" w:eastAsia="Times New Roman" w:hAnsi="Times New Roman"/>
          <w:sz w:val="14"/>
          <w:szCs w:val="14"/>
          <w:color w:val="auto"/>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40" w:lineRule="exact"/>
        <w:rPr>
          <w:rFonts w:ascii="Times New Roman" w:cs="Times New Roman" w:eastAsia="Times New Roman" w:hAnsi="Times New Roman"/>
          <w:sz w:val="14"/>
          <w:szCs w:val="14"/>
          <w:color w:val="auto"/>
        </w:rPr>
      </w:pPr>
    </w:p>
    <w:p>
      <w:pPr>
        <w:jc w:val="both"/>
        <w:ind w:firstLine="1155"/>
        <w:spacing w:after="0" w:line="267" w:lineRule="auto"/>
        <w:tabs>
          <w:tab w:leader="none" w:pos="1349"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Evidence of Payments</w:t>
      </w:r>
      <w:r>
        <w:rPr>
          <w:rFonts w:ascii="Times New Roman" w:cs="Times New Roman" w:eastAsia="Times New Roman" w:hAnsi="Times New Roman"/>
          <w:sz w:val="14"/>
          <w:szCs w:val="14"/>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35" w:lineRule="exact"/>
        <w:rPr>
          <w:rFonts w:ascii="Times New Roman" w:cs="Times New Roman" w:eastAsia="Times New Roman" w:hAnsi="Times New Roman"/>
          <w:sz w:val="14"/>
          <w:szCs w:val="14"/>
          <w:color w:val="auto"/>
        </w:rPr>
      </w:pPr>
    </w:p>
    <w:p>
      <w:pPr>
        <w:ind w:right="140" w:firstLine="1155"/>
        <w:spacing w:after="0" w:line="257" w:lineRule="auto"/>
        <w:tabs>
          <w:tab w:leader="none" w:pos="1341"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Status of Bank</w:t>
      </w:r>
      <w:r>
        <w:rPr>
          <w:rFonts w:ascii="Times New Roman" w:cs="Times New Roman" w:eastAsia="Times New Roman" w:hAnsi="Times New Roman"/>
          <w:sz w:val="14"/>
          <w:szCs w:val="14"/>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1.7 Procedures for Borrowing</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1155"/>
        <w:spacing w:after="0" w:line="256" w:lineRule="auto"/>
        <w:tabs>
          <w:tab w:leader="none" w:pos="1341"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prior satisfaction of all other applicable conditions to the making of a Term Loan Advance set forth in this Agreement (which must be satisfied no later than 12:00 p.m. Eastern time on the applicable Funding Date), to obtain a Term Loan Advance, Borrower shall notify Bank (which notice shall be irrevocable) by 12:00 p.m. Eastern time at least two (2) Business Days prior to the proposed Funding Date of the Term Loan Advance. Such notice shall be made by electronic mail or by telephone and, together with any such notification, Borrower shall deliver to Bank by electronic mail a completed Payment/Advance Form executed by an Authorized Signer and such other reports and information as Bank may reasonably request.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63" w:name="page464"/>
    <w:bookmarkEnd w:id="463"/>
    <w:p>
      <w:pPr>
        <w:ind w:right="40" w:firstLine="1155"/>
        <w:spacing w:after="0" w:line="283" w:lineRule="auto"/>
        <w:tabs>
          <w:tab w:leader="none" w:pos="1349" w:val="left"/>
        </w:tabs>
        <w:numPr>
          <w:ilvl w:val="1"/>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shall credit proceeds of a Credit Extension to the Designated Deposit Account. Bank may make Term Loan Advances under this Agreement based on instructions from an Authorized Signer or without instructions if such Term Loan Advances are necessary to meet Obligations which have become due.</w:t>
      </w:r>
    </w:p>
    <w:p>
      <w:pPr>
        <w:spacing w:after="0" w:line="122"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3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CONDITIONS OF CREDIT EXTENSIONS</w:t>
      </w:r>
    </w:p>
    <w:p>
      <w:pPr>
        <w:spacing w:after="0" w:line="175"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2.1 Conditions Precedent to Initial Credit Extension</w:t>
      </w:r>
      <w:r>
        <w:rPr>
          <w:rFonts w:ascii="Times New Roman" w:cs="Times New Roman" w:eastAsia="Times New Roman" w:hAnsi="Times New Roman"/>
          <w:sz w:val="14"/>
          <w:szCs w:val="14"/>
          <w:color w:val="auto"/>
        </w:rPr>
        <w:t>. Bank’s obligation to make the initial Credit Extension is subject to the condition precedent that Bank shall have received, in form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substance satisfactory to Bank, such documents, and completion of such other matters, as Bank may reasonably deem necessary or appropriate, including, without limitation:</w:t>
      </w:r>
    </w:p>
    <w:p>
      <w:pPr>
        <w:spacing w:after="0" w:line="123" w:lineRule="exact"/>
        <w:rPr>
          <w:sz w:val="20"/>
          <w:szCs w:val="20"/>
          <w:color w:val="auto"/>
        </w:rPr>
      </w:pPr>
    </w:p>
    <w:p>
      <w:pPr>
        <w:ind w:left="1340" w:hanging="185"/>
        <w:spacing w:after="0"/>
        <w:tabs>
          <w:tab w:leader="none" w:pos="134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executed Loan Documents;</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executed Warrant, together with a capitalization table and copies of Borrower’s equity documents;</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executed Control Agreements required by Bank;</w:t>
      </w:r>
    </w:p>
    <w:p>
      <w:pPr>
        <w:spacing w:after="0" w:line="175" w:lineRule="exact"/>
        <w:rPr>
          <w:rFonts w:ascii="Times New Roman" w:cs="Times New Roman" w:eastAsia="Times New Roman" w:hAnsi="Times New Roman"/>
          <w:sz w:val="14"/>
          <w:szCs w:val="14"/>
          <w:color w:val="auto"/>
        </w:rPr>
      </w:pPr>
    </w:p>
    <w:p>
      <w:pPr>
        <w:ind w:right="340" w:firstLine="1155"/>
        <w:spacing w:after="0" w:line="267" w:lineRule="auto"/>
        <w:tabs>
          <w:tab w:leader="none" w:pos="1349"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Documents of Borrower and (i) a long-form good standing certificate of Borrower certified by the Secretary of State of the State of Delaware and (ii) a good standing/foreign qualification certificate certified by the Secretary of State of the Commonwealth of Massachusetts, in the case of (i) and (ii), each as of a date no earlier than 30 days prior to the Effective Date;</w:t>
      </w:r>
    </w:p>
    <w:p>
      <w:pPr>
        <w:spacing w:after="0" w:line="13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duly executed by a Responsible Officer or secretary of Borrower with respect to Borrower’s (i) Operating Documents and (ii) Borrowing Resolutions;</w:t>
      </w:r>
    </w:p>
    <w:p>
      <w:pPr>
        <w:spacing w:after="0" w:line="133" w:lineRule="exact"/>
        <w:rPr>
          <w:rFonts w:ascii="Times New Roman" w:cs="Times New Roman" w:eastAsia="Times New Roman" w:hAnsi="Times New Roman"/>
          <w:sz w:val="14"/>
          <w:szCs w:val="14"/>
          <w:color w:val="auto"/>
        </w:rPr>
      </w:pPr>
    </w:p>
    <w:p>
      <w:pPr>
        <w:ind w:right="120" w:firstLine="1162"/>
        <w:spacing w:after="0" w:line="267" w:lineRule="auto"/>
        <w:tabs>
          <w:tab w:leader="none" w:pos="1333"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3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executed Perfection Certificate of Borrower;</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executed signature to the Stock Pledge Agreement;</w:t>
      </w:r>
    </w:p>
    <w:p>
      <w:pPr>
        <w:spacing w:after="0" w:line="175" w:lineRule="exact"/>
        <w:rPr>
          <w:rFonts w:ascii="Times New Roman" w:cs="Times New Roman" w:eastAsia="Times New Roman" w:hAnsi="Times New Roman"/>
          <w:sz w:val="14"/>
          <w:szCs w:val="14"/>
          <w:color w:val="auto"/>
        </w:rPr>
      </w:pPr>
    </w:p>
    <w:p>
      <w:pPr>
        <w:ind w:left="1320" w:hanging="165"/>
        <w:spacing w:after="0"/>
        <w:tabs>
          <w:tab w:leader="none" w:pos="132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power forms (5 originals) executed by Borrower with respect to capital stock of Securities Corp. and delivery of stock certificates evidencing ownership interest in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Corp.;</w:t>
      </w:r>
    </w:p>
    <w:p>
      <w:pPr>
        <w:spacing w:after="0" w:line="160" w:lineRule="exact"/>
        <w:rPr>
          <w:rFonts w:ascii="Times New Roman" w:cs="Times New Roman" w:eastAsia="Times New Roman" w:hAnsi="Times New Roman"/>
          <w:sz w:val="14"/>
          <w:szCs w:val="14"/>
          <w:color w:val="auto"/>
        </w:rPr>
      </w:pPr>
    </w:p>
    <w:p>
      <w:pPr>
        <w:ind w:right="20" w:firstLine="1155"/>
        <w:spacing w:after="0" w:line="283" w:lineRule="auto"/>
        <w:tabs>
          <w:tab w:leader="none" w:pos="1318"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satisfactory to Bank that the insurance policies and endorsements required by Section 5.5 hereof are in full force and effect, together with appropriate evidence showing lender loss payable and additional insured clauses or endorsements in favor of Bank; and</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the fees and Bank Expenses then due as specified in Section 1.3 hereof.</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2.2 Conditions Precedent to all Credit Extensions</w:t>
      </w:r>
      <w:r>
        <w:rPr>
          <w:rFonts w:ascii="Times New Roman" w:cs="Times New Roman" w:eastAsia="Times New Roman" w:hAnsi="Times New Roman"/>
          <w:sz w:val="14"/>
          <w:szCs w:val="14"/>
          <w:color w:val="auto"/>
        </w:rPr>
        <w:t>. Bank’s obligation to make each Credit Extension, including the initial Credit Extension, is subject to the following conditions precedent:</w:t>
      </w:r>
    </w:p>
    <w:p>
      <w:pPr>
        <w:spacing w:after="0" w:line="177" w:lineRule="exact"/>
        <w:rPr>
          <w:sz w:val="20"/>
          <w:szCs w:val="20"/>
          <w:color w:val="auto"/>
        </w:rPr>
      </w:pPr>
    </w:p>
    <w:p>
      <w:pPr>
        <w:ind w:left="1340" w:hanging="185"/>
        <w:spacing w:after="0"/>
        <w:tabs>
          <w:tab w:leader="none" w:pos="134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Borrower’s Credit Extension request and the related materials and documents as required by and in accordance with Section 1.7;</w:t>
      </w:r>
    </w:p>
    <w:p>
      <w:pPr>
        <w:spacing w:after="0" w:line="175" w:lineRule="exact"/>
        <w:rPr>
          <w:rFonts w:ascii="Times New Roman" w:cs="Times New Roman" w:eastAsia="Times New Roman" w:hAnsi="Times New Roman"/>
          <w:sz w:val="14"/>
          <w:szCs w:val="14"/>
          <w:color w:val="auto"/>
        </w:rPr>
      </w:pPr>
    </w:p>
    <w:p>
      <w:pPr>
        <w:ind w:firstLine="1155"/>
        <w:spacing w:after="0" w:line="256" w:lineRule="auto"/>
        <w:tabs>
          <w:tab w:leader="none" w:pos="1349"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43" w:lineRule="exact"/>
        <w:rPr>
          <w:rFonts w:ascii="Times New Roman" w:cs="Times New Roman" w:eastAsia="Times New Roman" w:hAnsi="Times New Roman"/>
          <w:sz w:val="14"/>
          <w:szCs w:val="14"/>
          <w:color w:val="auto"/>
        </w:rPr>
      </w:pPr>
    </w:p>
    <w:p>
      <w:pPr>
        <w:ind w:left="1360" w:hanging="198"/>
        <w:spacing w:after="0"/>
        <w:tabs>
          <w:tab w:leader="none" w:pos="136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Adverse Change shall not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64" w:name="page465"/>
    <w:bookmarkEnd w:id="464"/>
    <w:p>
      <w:pPr>
        <w:ind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2.3 Covenant to Deliver</w:t>
      </w:r>
      <w:r>
        <w:rPr>
          <w:rFonts w:ascii="Times New Roman" w:cs="Times New Roman" w:eastAsia="Times New Roman" w:hAnsi="Times New Roman"/>
          <w:sz w:val="14"/>
          <w:szCs w:val="14"/>
          <w:color w:val="auto"/>
        </w:rPr>
        <w:t>. Borrower shall deliver to Bank each item required to be delivered to Bank under this Agreement as a condition precedent to any Credit Extension. A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33" w:lineRule="exact"/>
        <w:rPr>
          <w:sz w:val="20"/>
          <w:szCs w:val="20"/>
          <w:color w:val="auto"/>
        </w:rPr>
      </w:pPr>
    </w:p>
    <w:p>
      <w:pPr>
        <w:ind w:left="660" w:hanging="145"/>
        <w:spacing w:after="0"/>
        <w:tabs>
          <w:tab w:leader="none" w:pos="660" w:val="left"/>
        </w:tabs>
        <w:numPr>
          <w:ilvl w:val="0"/>
          <w:numId w:val="3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CREATION OF SECURITY INTEREST</w:t>
      </w:r>
    </w:p>
    <w:p>
      <w:pPr>
        <w:spacing w:after="0" w:line="175"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3.1 Grant of Security Interest</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b w:val="1"/>
          <w:bCs w:val="1"/>
          <w:color w:val="auto"/>
        </w:rPr>
      </w:pPr>
    </w:p>
    <w:p>
      <w:pPr>
        <w:ind w:right="340" w:firstLine="1155"/>
        <w:spacing w:after="0" w:line="283" w:lineRule="auto"/>
        <w:tabs>
          <w:tab w:leader="none" w:pos="1341"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24" w:lineRule="exact"/>
        <w:rPr>
          <w:rFonts w:ascii="Times New Roman" w:cs="Times New Roman" w:eastAsia="Times New Roman" w:hAnsi="Times New Roman"/>
          <w:sz w:val="14"/>
          <w:szCs w:val="14"/>
          <w:color w:val="auto"/>
        </w:rPr>
      </w:pPr>
    </w:p>
    <w:p>
      <w:pPr>
        <w:ind w:right="100" w:firstLine="1155"/>
        <w:spacing w:after="0" w:line="267" w:lineRule="auto"/>
        <w:tabs>
          <w:tab w:leader="none" w:pos="1349"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34" w:lineRule="exact"/>
        <w:rPr>
          <w:sz w:val="20"/>
          <w:szCs w:val="20"/>
          <w:color w:val="auto"/>
        </w:rPr>
      </w:pPr>
    </w:p>
    <w:p>
      <w:pPr>
        <w:ind w:right="60" w:firstLine="515"/>
        <w:spacing w:after="0" w:line="268" w:lineRule="auto"/>
        <w:rPr>
          <w:sz w:val="20"/>
          <w:szCs w:val="20"/>
          <w:color w:val="auto"/>
        </w:rPr>
      </w:pPr>
      <w:r>
        <w:rPr>
          <w:rFonts w:ascii="Times New Roman" w:cs="Times New Roman" w:eastAsia="Times New Roman" w:hAnsi="Times New Roman"/>
          <w:sz w:val="14"/>
          <w:szCs w:val="14"/>
          <w:b w:val="1"/>
          <w:bCs w:val="1"/>
          <w:color w:val="auto"/>
        </w:rPr>
        <w:t>3.2 Authorization to File Financing Statements</w:t>
      </w:r>
      <w:r>
        <w:rPr>
          <w:rFonts w:ascii="Times New Roman" w:cs="Times New Roman" w:eastAsia="Times New Roman" w:hAnsi="Times New Roman"/>
          <w:sz w:val="14"/>
          <w:szCs w:val="14"/>
          <w:color w:val="auto"/>
        </w:rPr>
        <w:t>. Borrower hereby authorizes Bank to file financing statements, without notice to Borrower, with all jurisdictions deemed necessary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appropriate by Bank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w:t>
      </w:r>
    </w:p>
    <w:p>
      <w:pPr>
        <w:spacing w:after="0" w:line="133"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4"/>
          <w:szCs w:val="14"/>
          <w:b w:val="1"/>
          <w:bCs w:val="1"/>
          <w:color w:val="auto"/>
        </w:rPr>
        <w:t>3.3 Termination</w:t>
      </w:r>
      <w:r>
        <w:rPr>
          <w:rFonts w:ascii="Times New Roman" w:cs="Times New Roman" w:eastAsia="Times New Roman" w:hAnsi="Times New Roman"/>
          <w:sz w:val="14"/>
          <w:szCs w:val="14"/>
          <w:color w:val="auto"/>
        </w:rPr>
        <w:t>. If this Agreement is terminated, Bank’s Lien in the Collateral shall continue until the Obligations (other than inchoate indemnity obligations) are repaid in full in cash.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in full in cash of the Obligations (other than inchoate indemnity obligations) and at such time as Bank’s obligation to make Credit Extensions has terminated, Bank promptly shall, at Borrower’s sole cost and expense, terminate its security interest in the Collateral and all rights therein shall revert to Borrower. In the event (a) all Obligations (other than inchoate indemnity obligations), except for Bank Services, are satisfied in full, and (b) this Agreement is terminated, Bank shall promptly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(x) 105.0% of the face amount of all such Letters of Credit denominated in Dollars and (y)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45" w:lineRule="exact"/>
        <w:rPr>
          <w:sz w:val="20"/>
          <w:szCs w:val="20"/>
          <w:color w:val="auto"/>
        </w:rPr>
      </w:pPr>
    </w:p>
    <w:p>
      <w:pPr>
        <w:ind w:left="660" w:hanging="145"/>
        <w:spacing w:after="0"/>
        <w:tabs>
          <w:tab w:leader="none" w:pos="660" w:val="left"/>
        </w:tabs>
        <w:numPr>
          <w:ilvl w:val="0"/>
          <w:numId w:val="3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REPRESENTATIONS AND WARRANTIES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Borrower represents and warrants as follows: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4.1 Due Organization, Authorization; Power and Authority</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20" w:firstLine="1155"/>
        <w:spacing w:after="0" w:line="267" w:lineRule="auto"/>
        <w:tabs>
          <w:tab w:leader="none" w:pos="1341"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and each of its Subsidiaries are each duly organized, validly existing and in good standing as a Registered Organization in their respective jurisdictions of formation and are qualified and licensed to do business and are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35" w:lineRule="exact"/>
        <w:rPr>
          <w:rFonts w:ascii="Times New Roman" w:cs="Times New Roman" w:eastAsia="Times New Roman" w:hAnsi="Times New Roman"/>
          <w:sz w:val="14"/>
          <w:szCs w:val="14"/>
          <w:color w:val="auto"/>
        </w:rPr>
      </w:pPr>
    </w:p>
    <w:p>
      <w:pPr>
        <w:ind w:right="20" w:firstLine="1155"/>
        <w:spacing w:after="0" w:line="267" w:lineRule="auto"/>
        <w:tabs>
          <w:tab w:leader="none" w:pos="1349"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35" w:lineRule="exact"/>
        <w:rPr>
          <w:rFonts w:ascii="Times New Roman" w:cs="Times New Roman" w:eastAsia="Times New Roman" w:hAnsi="Times New Roman"/>
          <w:sz w:val="14"/>
          <w:szCs w:val="14"/>
          <w:color w:val="auto"/>
        </w:rPr>
      </w:pPr>
    </w:p>
    <w:p>
      <w:pPr>
        <w:ind w:firstLine="1155"/>
        <w:spacing w:after="0" w:line="257" w:lineRule="auto"/>
        <w:tabs>
          <w:tab w:leader="none" w:pos="1341"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65" w:name="page466"/>
    <w:bookmarkEnd w:id="465"/>
    <w:p>
      <w:pPr>
        <w:ind w:right="20"/>
        <w:spacing w:after="0" w:line="283" w:lineRule="auto"/>
        <w:rPr>
          <w:sz w:val="20"/>
          <w:szCs w:val="20"/>
          <w:color w:val="auto"/>
        </w:rPr>
      </w:pPr>
      <w:r>
        <w:rPr>
          <w:rFonts w:ascii="Times New Roman" w:cs="Times New Roman" w:eastAsia="Times New Roman" w:hAnsi="Times New Roman"/>
          <w:sz w:val="14"/>
          <w:szCs w:val="14"/>
          <w:color w:val="auto"/>
        </w:rPr>
        <w:t>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4.2 Collateral</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20" w:firstLine="1155"/>
        <w:spacing w:after="0" w:line="283" w:lineRule="auto"/>
        <w:tabs>
          <w:tab w:leader="none" w:pos="1341"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24" w:lineRule="exact"/>
        <w:rPr>
          <w:rFonts w:ascii="Times New Roman" w:cs="Times New Roman" w:eastAsia="Times New Roman" w:hAnsi="Times New Roman"/>
          <w:sz w:val="14"/>
          <w:szCs w:val="14"/>
          <w:color w:val="auto"/>
        </w:rPr>
      </w:pPr>
    </w:p>
    <w:p>
      <w:pPr>
        <w:ind w:right="140" w:firstLine="1155"/>
        <w:spacing w:after="0" w:line="267" w:lineRule="auto"/>
        <w:tabs>
          <w:tab w:leader="none" w:pos="1349"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5.7(c). The Accounts are bona fide, existing obligations of the Account Debtors.</w:t>
      </w:r>
    </w:p>
    <w:p>
      <w:pPr>
        <w:spacing w:after="0" w:line="135" w:lineRule="exact"/>
        <w:rPr>
          <w:rFonts w:ascii="Times New Roman" w:cs="Times New Roman" w:eastAsia="Times New Roman" w:hAnsi="Times New Roman"/>
          <w:sz w:val="14"/>
          <w:szCs w:val="14"/>
          <w:color w:val="auto"/>
        </w:rPr>
      </w:pPr>
    </w:p>
    <w:p>
      <w:pPr>
        <w:ind w:right="340" w:firstLine="1155"/>
        <w:spacing w:after="0" w:line="283" w:lineRule="auto"/>
        <w:tabs>
          <w:tab w:leader="none" w:pos="1341"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is not in the possession of any third party bailee (such as a warehouse) except as otherwise provided in the Perfection Certificate or as permitted pursuant to Section 6.2. None of the components of the Collateral shall be maintained at locations other than as provided in the Perfection Certificate or as permitted pursuant to Section 6.2.</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Inventory is in all material respects of good and marketable quality, free from material defects.</w:t>
      </w:r>
    </w:p>
    <w:p>
      <w:pPr>
        <w:spacing w:after="0" w:line="175" w:lineRule="exact"/>
        <w:rPr>
          <w:rFonts w:ascii="Times New Roman" w:cs="Times New Roman" w:eastAsia="Times New Roman" w:hAnsi="Times New Roman"/>
          <w:sz w:val="14"/>
          <w:szCs w:val="14"/>
          <w:color w:val="auto"/>
        </w:rPr>
      </w:pPr>
    </w:p>
    <w:p>
      <w:pPr>
        <w:ind w:firstLine="1155"/>
        <w:spacing w:after="0" w:line="258" w:lineRule="auto"/>
        <w:tabs>
          <w:tab w:leader="none" w:pos="1341"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 For avoidance of doubt, nothing in this subsection 4.2(e) shall require an outside the ordinary course independent analysis or investigation of the Borrower’s freedom to operate.</w:t>
      </w:r>
    </w:p>
    <w:p>
      <w:pPr>
        <w:spacing w:after="0" w:line="143" w:lineRule="exact"/>
        <w:rPr>
          <w:rFonts w:ascii="Times New Roman" w:cs="Times New Roman" w:eastAsia="Times New Roman" w:hAnsi="Times New Roman"/>
          <w:sz w:val="14"/>
          <w:szCs w:val="14"/>
          <w:color w:val="auto"/>
        </w:rPr>
      </w:pPr>
    </w:p>
    <w:p>
      <w:pPr>
        <w:ind w:right="140" w:firstLine="1155"/>
        <w:spacing w:after="0" w:line="283" w:lineRule="auto"/>
        <w:tabs>
          <w:tab w:leader="none" w:pos="1326"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noted on the Perfection Certificate or for which notice has been given to Bank pursuant to and in accordance with Section 5.8(b), Borrower is not a party to, nor is it bound by, any Restricted License.</w:t>
      </w:r>
    </w:p>
    <w:p>
      <w:pPr>
        <w:spacing w:after="0" w:line="123" w:lineRule="exact"/>
        <w:rPr>
          <w:sz w:val="20"/>
          <w:szCs w:val="20"/>
          <w:color w:val="auto"/>
        </w:rPr>
      </w:pPr>
    </w:p>
    <w:p>
      <w:pPr>
        <w:ind w:right="3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4.3 Litigation</w:t>
      </w:r>
      <w:r>
        <w:rPr>
          <w:rFonts w:ascii="Times New Roman" w:cs="Times New Roman" w:eastAsia="Times New Roman" w:hAnsi="Times New Roman"/>
          <w:sz w:val="14"/>
          <w:szCs w:val="14"/>
          <w:color w:val="auto"/>
        </w:rPr>
        <w:t>. Other than as set forth in the Perfection Certificate or as disclosed to Bank pursuant to Section 5.3(h), there are no actions, investigations or proceedings pending 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knowledge of any Responsible Officer, threatened in writing by or against Borrower or any of its Subsidiaries involving more than, individually or in the aggregate, $50,000.00, not covered by independent third party insurance as to which liability has been accepted by the carrier providing such insurance.</w:t>
      </w:r>
    </w:p>
    <w:p>
      <w:pPr>
        <w:spacing w:after="0" w:line="133" w:lineRule="exact"/>
        <w:rPr>
          <w:sz w:val="20"/>
          <w:szCs w:val="20"/>
          <w:color w:val="auto"/>
        </w:rPr>
      </w:pPr>
    </w:p>
    <w:p>
      <w:pPr>
        <w:ind w:right="10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4.4 Financial Statements; Financial Condition</w:t>
      </w:r>
      <w:r>
        <w:rPr>
          <w:rFonts w:ascii="Times New Roman" w:cs="Times New Roman" w:eastAsia="Times New Roman" w:hAnsi="Times New Roman"/>
          <w:sz w:val="14"/>
          <w:szCs w:val="14"/>
          <w:color w:val="auto"/>
        </w:rPr>
        <w:t>. All consolidated financial statements for Borrower and any of its Subsidiaries delivered to Bank by submission to the Financial Statement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38"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4.5 Solvency</w:t>
      </w:r>
      <w:r>
        <w:rPr>
          <w:rFonts w:ascii="Times New Roman" w:cs="Times New Roman" w:eastAsia="Times New Roman" w:hAnsi="Times New Roman"/>
          <w:sz w:val="14"/>
          <w:szCs w:val="14"/>
          <w:color w:val="auto"/>
        </w:rPr>
        <w:t>. The fair salable value of Borrower’s consolidated assets (including goodwill minus disposition costs) exceeds the fair value of Borrower’s liabilities; Borrower is not left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unreasonably small capital after the transactions in this Agreement; and Borrower and each of its Subsidiaries are able to pay their debts (including trade debts) as they mature.</w:t>
      </w:r>
    </w:p>
    <w:p>
      <w:pPr>
        <w:spacing w:after="0" w:line="79" w:lineRule="exact"/>
        <w:rPr>
          <w:sz w:val="20"/>
          <w:szCs w:val="20"/>
          <w:color w:val="auto"/>
        </w:rPr>
      </w:pPr>
    </w:p>
    <w:p>
      <w:pPr>
        <w:ind w:right="20" w:firstLine="515"/>
        <w:spacing w:after="0" w:line="255" w:lineRule="auto"/>
        <w:rPr>
          <w:sz w:val="20"/>
          <w:szCs w:val="20"/>
          <w:color w:val="auto"/>
        </w:rPr>
      </w:pPr>
      <w:r>
        <w:rPr>
          <w:rFonts w:ascii="Times New Roman" w:cs="Times New Roman" w:eastAsia="Times New Roman" w:hAnsi="Times New Roman"/>
          <w:sz w:val="14"/>
          <w:szCs w:val="14"/>
          <w:b w:val="1"/>
          <w:bCs w:val="1"/>
          <w:color w:val="auto"/>
        </w:rPr>
        <w:t>4.6 Regulatory Compliance</w:t>
      </w:r>
      <w:r>
        <w:rPr>
          <w:rFonts w:ascii="Times New Roman" w:cs="Times New Roman" w:eastAsia="Times New Roman" w:hAnsi="Times New Roman"/>
          <w:sz w:val="14"/>
          <w:szCs w:val="14"/>
          <w:color w:val="auto"/>
        </w:rPr>
        <w:t>. Borrower is not an “investment company” or a company “controlled” by an “investment company” under the Investment Company Act of 1940, as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477520</wp:posOffset>
            </wp:positionV>
            <wp:extent cx="7188200"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466" w:name="page467"/>
    <w:bookmarkEnd w:id="466"/>
    <w:p>
      <w:pPr>
        <w:ind w:right="20"/>
        <w:spacing w:after="0" w:line="283" w:lineRule="auto"/>
        <w:rPr>
          <w:sz w:val="20"/>
          <w:szCs w:val="20"/>
          <w:color w:val="auto"/>
        </w:rPr>
      </w:pPr>
      <w:r>
        <w:rPr>
          <w:rFonts w:ascii="Times New Roman" w:cs="Times New Roman" w:eastAsia="Times New Roman" w:hAnsi="Times New Roman"/>
          <w:sz w:val="14"/>
          <w:szCs w:val="14"/>
          <w:color w:val="auto"/>
        </w:rPr>
        <w:t>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4.7 Subsidiaries; Investments</w:t>
      </w:r>
      <w:r>
        <w:rPr>
          <w:rFonts w:ascii="Times New Roman" w:cs="Times New Roman" w:eastAsia="Times New Roman" w:hAnsi="Times New Roman"/>
          <w:sz w:val="14"/>
          <w:szCs w:val="14"/>
          <w:color w:val="auto"/>
        </w:rPr>
        <w:t>. Borrower does not own any stock, partnership, or other ownership interest or other equity securities except for Permitted Investments.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4.8 Tax Returns and Payments; Pension Contributions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1155"/>
        <w:spacing w:after="0" w:line="257" w:lineRule="auto"/>
        <w:tabs>
          <w:tab w:leader="none" w:pos="1341"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$5,000.00. Borrower is unaware of any claims or adjustments proposed for any of Borrower’s or any of its Subsidiary’s prior tax years which could result in additional taxes becoming due and payable by Borrower or any of its Subsidiaries in excess of $5,000.00 in the aggregate.</w:t>
      </w:r>
    </w:p>
    <w:p>
      <w:pPr>
        <w:spacing w:after="0" w:line="143" w:lineRule="exact"/>
        <w:rPr>
          <w:rFonts w:ascii="Times New Roman" w:cs="Times New Roman" w:eastAsia="Times New Roman" w:hAnsi="Times New Roman"/>
          <w:sz w:val="14"/>
          <w:szCs w:val="14"/>
          <w:color w:val="auto"/>
        </w:rPr>
      </w:pPr>
    </w:p>
    <w:p>
      <w:pPr>
        <w:ind w:right="40" w:firstLine="1155"/>
        <w:spacing w:after="0" w:line="261" w:lineRule="auto"/>
        <w:tabs>
          <w:tab w:leader="none" w:pos="1349"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39" w:lineRule="exact"/>
        <w:rPr>
          <w:sz w:val="20"/>
          <w:szCs w:val="20"/>
          <w:color w:val="auto"/>
        </w:rPr>
      </w:pPr>
    </w:p>
    <w:p>
      <w:pPr>
        <w:ind w:right="8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4.9 Full Disclosure</w:t>
      </w:r>
      <w:r>
        <w:rPr>
          <w:rFonts w:ascii="Times New Roman" w:cs="Times New Roman" w:eastAsia="Times New Roman" w:hAnsi="Times New Roman"/>
          <w:sz w:val="14"/>
          <w:szCs w:val="14"/>
          <w:color w:val="auto"/>
        </w:rPr>
        <w:t>. No written representation, warranty or other statement of Borrower or any of its Subsidiaries in any report, certificate or written statement submitted to the Financial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43" w:lineRule="exact"/>
        <w:rPr>
          <w:sz w:val="20"/>
          <w:szCs w:val="20"/>
          <w:color w:val="auto"/>
        </w:rPr>
      </w:pPr>
    </w:p>
    <w:p>
      <w:pPr>
        <w:ind w:right="1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4.10 Sanctions</w:t>
      </w:r>
      <w:r>
        <w:rPr>
          <w:rFonts w:ascii="Times New Roman" w:cs="Times New Roman" w:eastAsia="Times New Roman" w:hAnsi="Times New Roman"/>
          <w:sz w:val="14"/>
          <w:szCs w:val="14"/>
          <w:color w:val="auto"/>
        </w:rPr>
        <w:t>. Neither Borrower nor any of its Subsidiaries is: (a) in violation of any Sanctions; or (b) a Sanctioned Person. Neither Borrower nor any of its Subsidiaries, directors,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41" w:lineRule="exact"/>
        <w:rPr>
          <w:sz w:val="20"/>
          <w:szCs w:val="20"/>
          <w:color w:val="auto"/>
        </w:rPr>
      </w:pPr>
    </w:p>
    <w:p>
      <w:pPr>
        <w:ind w:left="660" w:hanging="141"/>
        <w:spacing w:after="0"/>
        <w:tabs>
          <w:tab w:leader="none" w:pos="660" w:val="left"/>
        </w:tabs>
        <w:numPr>
          <w:ilvl w:val="0"/>
          <w:numId w:val="3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AFFIRMATIVE COVENANTS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Borrower shall do all of the following:</w:t>
      </w:r>
    </w:p>
    <w:p>
      <w:pPr>
        <w:spacing w:after="0" w:line="173"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5.1 Use of Proceeds</w:t>
      </w:r>
      <w:r>
        <w:rPr>
          <w:rFonts w:ascii="Times New Roman" w:cs="Times New Roman" w:eastAsia="Times New Roman" w:hAnsi="Times New Roman"/>
          <w:sz w:val="14"/>
          <w:szCs w:val="14"/>
          <w:color w:val="auto"/>
        </w:rPr>
        <w:t>. Cause the proceeds of the Credit Extensions to be used solely (a) as working capital or (b) to fund its general business purposes, and not for personal, family, household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agricultural purposes.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5.2 Government Compliance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80" w:firstLine="1155"/>
        <w:spacing w:after="0" w:line="267" w:lineRule="auto"/>
        <w:tabs>
          <w:tab w:leader="none" w:pos="1341"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35" w:lineRule="exact"/>
        <w:rPr>
          <w:rFonts w:ascii="Times New Roman" w:cs="Times New Roman" w:eastAsia="Times New Roman" w:hAnsi="Times New Roman"/>
          <w:sz w:val="14"/>
          <w:szCs w:val="14"/>
          <w:color w:val="auto"/>
        </w:rPr>
      </w:pPr>
    </w:p>
    <w:p>
      <w:pPr>
        <w:ind w:firstLine="1155"/>
        <w:spacing w:after="0" w:line="283" w:lineRule="auto"/>
        <w:tabs>
          <w:tab w:leader="none" w:pos="1349"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45" w:right="31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4"/>
          <w:szCs w:val="14"/>
          <w:b w:val="1"/>
          <w:bCs w:val="1"/>
          <w:color w:val="auto"/>
        </w:rPr>
        <w:t>5.3 Financial Statements, Reports</w:t>
      </w:r>
      <w:r>
        <w:rPr>
          <w:rFonts w:ascii="Times New Roman" w:cs="Times New Roman" w:eastAsia="Times New Roman" w:hAnsi="Times New Roman"/>
          <w:sz w:val="14"/>
          <w:szCs w:val="14"/>
          <w:color w:val="auto"/>
        </w:rPr>
        <w:t>. Deliver to Bank by submitting to the Financial Statement Repository:</w:t>
      </w:r>
    </w:p>
    <w:p>
      <w:pPr>
        <w:spacing w:after="0" w:line="177" w:lineRule="exact"/>
        <w:rPr>
          <w:sz w:val="20"/>
          <w:szCs w:val="20"/>
          <w:color w:val="auto"/>
        </w:rPr>
      </w:pPr>
    </w:p>
    <w:p>
      <w:pPr>
        <w:ind w:left="-520" w:right="300" w:firstLine="1162"/>
        <w:spacing w:after="0" w:line="283" w:lineRule="auto"/>
        <w:tabs>
          <w:tab w:leader="none" w:pos="828"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Monthly Financial Statements</w:t>
      </w:r>
      <w:r>
        <w:rPr>
          <w:rFonts w:ascii="Times New Roman" w:cs="Times New Roman" w:eastAsia="Times New Roman" w:hAnsi="Times New Roman"/>
          <w:sz w:val="14"/>
          <w:szCs w:val="14"/>
          <w:color w:val="auto"/>
        </w:rPr>
        <w:t>. As soon as available, but no later than 30 days after the last day of each month, a company prepared consolidated balance sheet and income statement covering Borrower’s consolidated operations for such month and in a form reasonably acceptable to Bank;</w:t>
      </w:r>
    </w:p>
    <w:p>
      <w:pPr>
        <w:spacing w:after="0" w:line="124" w:lineRule="exact"/>
        <w:rPr>
          <w:rFonts w:ascii="Times New Roman" w:cs="Times New Roman" w:eastAsia="Times New Roman" w:hAnsi="Times New Roman"/>
          <w:sz w:val="14"/>
          <w:szCs w:val="14"/>
          <w:color w:val="auto"/>
        </w:rPr>
      </w:pPr>
    </w:p>
    <w:p>
      <w:pPr>
        <w:ind w:left="-520" w:right="200" w:firstLine="1162"/>
        <w:spacing w:after="0" w:line="267" w:lineRule="auto"/>
        <w:tabs>
          <w:tab w:leader="none" w:pos="836"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Statement</w:t>
      </w:r>
      <w:r>
        <w:rPr>
          <w:rFonts w:ascii="Times New Roman" w:cs="Times New Roman" w:eastAsia="Times New Roman" w:hAnsi="Times New Roman"/>
          <w:sz w:val="14"/>
          <w:szCs w:val="14"/>
          <w:color w:val="auto"/>
        </w:rPr>
        <w:t>. Within 30 days after the last day of each month and together with the statements set forth in Section 5.3(a), a duly completed Compliance Statement, confirming that as of the end of such month, Borrower was in full compliance with all of the terms and conditions of this Agreement, and setting forth calculations showing compliance with the financial covenants set forth in this Agreement (if any) and such other information as Bank may reasonably request;</w:t>
      </w:r>
    </w:p>
    <w:p>
      <w:pPr>
        <w:spacing w:after="0" w:line="135" w:lineRule="exact"/>
        <w:rPr>
          <w:rFonts w:ascii="Times New Roman" w:cs="Times New Roman" w:eastAsia="Times New Roman" w:hAnsi="Times New Roman"/>
          <w:sz w:val="14"/>
          <w:szCs w:val="14"/>
          <w:color w:val="auto"/>
        </w:rPr>
      </w:pPr>
    </w:p>
    <w:p>
      <w:pPr>
        <w:ind w:left="-520" w:right="40" w:firstLine="1162"/>
        <w:spacing w:after="0" w:line="261" w:lineRule="auto"/>
        <w:tabs>
          <w:tab w:leader="none" w:pos="828"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Operating Budget and Financial Projections</w:t>
      </w:r>
      <w:r>
        <w:rPr>
          <w:rFonts w:ascii="Times New Roman" w:cs="Times New Roman" w:eastAsia="Times New Roman" w:hAnsi="Times New Roman"/>
          <w:sz w:val="14"/>
          <w:szCs w:val="14"/>
          <w:color w:val="auto"/>
        </w:rPr>
        <w:t>. As soon as available, and in any event no later than 30 days following the end of Borrower’s fiscal year, and within 5 days following any updates or amendments thereto, (A) annual operating budgets (including income statements, balance sheets and cash flow statements, by month) for the upcoming fiscal year of Borrower, and (B) annual financial projections for the following fiscal year (on a quarterly basis), in each case as approved by the Board, together with any related business forecasts used in the preparation of such annual financial projections;</w:t>
      </w:r>
    </w:p>
    <w:p>
      <w:pPr>
        <w:spacing w:after="0" w:line="140" w:lineRule="exact"/>
        <w:rPr>
          <w:rFonts w:ascii="Times New Roman" w:cs="Times New Roman" w:eastAsia="Times New Roman" w:hAnsi="Times New Roman"/>
          <w:sz w:val="14"/>
          <w:szCs w:val="14"/>
          <w:color w:val="auto"/>
        </w:rPr>
      </w:pPr>
    </w:p>
    <w:p>
      <w:pPr>
        <w:ind w:left="-520" w:right="100" w:firstLine="1162"/>
        <w:spacing w:after="0" w:line="267" w:lineRule="auto"/>
        <w:tabs>
          <w:tab w:leader="none" w:pos="836"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Audited Financial Statements</w:t>
      </w:r>
      <w:r>
        <w:rPr>
          <w:rFonts w:ascii="Times New Roman" w:cs="Times New Roman" w:eastAsia="Times New Roman" w:hAnsi="Times New Roman"/>
          <w:sz w:val="14"/>
          <w:szCs w:val="14"/>
          <w:color w:val="auto"/>
        </w:rPr>
        <w:t>. As soon as available, and in any event within 180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35" w:lineRule="exact"/>
        <w:rPr>
          <w:rFonts w:ascii="Times New Roman" w:cs="Times New Roman" w:eastAsia="Times New Roman" w:hAnsi="Times New Roman"/>
          <w:sz w:val="14"/>
          <w:szCs w:val="14"/>
          <w:color w:val="auto"/>
        </w:rPr>
      </w:pPr>
    </w:p>
    <w:p>
      <w:pPr>
        <w:ind w:left="-520" w:right="60" w:firstLine="1162"/>
        <w:spacing w:after="0" w:line="257" w:lineRule="auto"/>
        <w:tabs>
          <w:tab w:leader="none" w:pos="828"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In the event that Borrower or any of its Subsidiaries becomes subject to the reporting requirements under the Exchange Act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promptly notify Bank in writing (which may be by electronic mail) of the posting of any such documents;</w:t>
      </w:r>
    </w:p>
    <w:p>
      <w:pPr>
        <w:spacing w:after="0" w:line="111" w:lineRule="exact"/>
        <w:rPr>
          <w:rFonts w:ascii="Times New Roman" w:cs="Times New Roman" w:eastAsia="Times New Roman" w:hAnsi="Times New Roman"/>
          <w:sz w:val="14"/>
          <w:szCs w:val="14"/>
          <w:color w:val="auto"/>
        </w:rPr>
      </w:pPr>
    </w:p>
    <w:p>
      <w:pPr>
        <w:ind w:left="-520" w:right="260" w:firstLine="1162"/>
        <w:spacing w:after="0" w:line="283" w:lineRule="auto"/>
        <w:tabs>
          <w:tab w:leader="none" w:pos="813"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 Holder and Subordinated Debt Holder Reports</w:t>
      </w:r>
      <w:r>
        <w:rPr>
          <w:rFonts w:ascii="Times New Roman" w:cs="Times New Roman" w:eastAsia="Times New Roman" w:hAnsi="Times New Roman"/>
          <w:sz w:val="14"/>
          <w:szCs w:val="14"/>
          <w:color w:val="auto"/>
        </w:rPr>
        <w:t>. Within five (5) days of delivery, copies of all statements, reports and notices made available to Borrower’s security holders or to any holders of Subordinated Debt (solely in their capacities as security holders or holders of Subordinated Debt and not in any other role);</w:t>
      </w:r>
    </w:p>
    <w:p>
      <w:pPr>
        <w:spacing w:after="0" w:line="124" w:lineRule="exact"/>
        <w:rPr>
          <w:rFonts w:ascii="Times New Roman" w:cs="Times New Roman" w:eastAsia="Times New Roman" w:hAnsi="Times New Roman"/>
          <w:sz w:val="14"/>
          <w:szCs w:val="14"/>
          <w:color w:val="auto"/>
        </w:rPr>
      </w:pPr>
    </w:p>
    <w:p>
      <w:pPr>
        <w:jc w:val="both"/>
        <w:ind w:left="-520" w:right="140" w:firstLine="1162"/>
        <w:spacing w:after="0" w:line="267" w:lineRule="auto"/>
        <w:tabs>
          <w:tab w:leader="none" w:pos="836"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Beneficial Ownership Information</w:t>
      </w:r>
      <w:r>
        <w:rPr>
          <w:rFonts w:ascii="Times New Roman" w:cs="Times New Roman" w:eastAsia="Times New Roman" w:hAnsi="Times New Roman"/>
          <w:sz w:val="14"/>
          <w:szCs w:val="14"/>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35" w:lineRule="exact"/>
        <w:rPr>
          <w:rFonts w:ascii="Times New Roman" w:cs="Times New Roman" w:eastAsia="Times New Roman" w:hAnsi="Times New Roman"/>
          <w:sz w:val="14"/>
          <w:szCs w:val="14"/>
          <w:color w:val="auto"/>
        </w:rPr>
      </w:pPr>
    </w:p>
    <w:p>
      <w:pPr>
        <w:ind w:left="-520" w:right="80" w:firstLine="1162"/>
        <w:spacing w:after="0" w:line="283" w:lineRule="auto"/>
        <w:tabs>
          <w:tab w:leader="none" w:pos="836"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Action Notice</w:t>
      </w:r>
      <w:r>
        <w:rPr>
          <w:rFonts w:ascii="Times New Roman" w:cs="Times New Roman" w:eastAsia="Times New Roman" w:hAnsi="Times New Roman"/>
          <w:sz w:val="14"/>
          <w:szCs w:val="14"/>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$50,000.00 or more;</w:t>
      </w:r>
    </w:p>
    <w:p>
      <w:pPr>
        <w:spacing w:after="0" w:line="124" w:lineRule="exact"/>
        <w:rPr>
          <w:rFonts w:ascii="Times New Roman" w:cs="Times New Roman" w:eastAsia="Times New Roman" w:hAnsi="Times New Roman"/>
          <w:sz w:val="14"/>
          <w:szCs w:val="14"/>
          <w:color w:val="auto"/>
        </w:rPr>
      </w:pPr>
    </w:p>
    <w:p>
      <w:pPr>
        <w:ind w:left="-520" w:firstLine="1162"/>
        <w:spacing w:after="0" w:line="283" w:lineRule="auto"/>
        <w:tabs>
          <w:tab w:leader="none" w:pos="805"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Tort Claim Notice</w:t>
      </w:r>
      <w:r>
        <w:rPr>
          <w:rFonts w:ascii="Times New Roman" w:cs="Times New Roman" w:eastAsia="Times New Roman" w:hAnsi="Times New Roman"/>
          <w:sz w:val="14"/>
          <w:szCs w:val="14"/>
          <w:color w:val="auto"/>
        </w:rPr>
        <w: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24" w:lineRule="exact"/>
        <w:rPr>
          <w:rFonts w:ascii="Times New Roman" w:cs="Times New Roman" w:eastAsia="Times New Roman" w:hAnsi="Times New Roman"/>
          <w:sz w:val="14"/>
          <w:szCs w:val="14"/>
          <w:color w:val="auto"/>
        </w:rPr>
      </w:pPr>
    </w:p>
    <w:p>
      <w:pPr>
        <w:ind w:left="-520" w:right="20" w:firstLine="1162"/>
        <w:spacing w:after="0" w:line="267" w:lineRule="auto"/>
        <w:tabs>
          <w:tab w:leader="none" w:pos="805"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Government Filings</w:t>
      </w:r>
      <w:r>
        <w:rPr>
          <w:rFonts w:ascii="Times New Roman" w:cs="Times New Roman" w:eastAsia="Times New Roman" w:hAnsi="Times New Roman"/>
          <w:sz w:val="14"/>
          <w:szCs w:val="14"/>
          <w:color w:val="auto"/>
        </w:rPr>
        <w:t>. Within five (5) days after the same are sent or received, copies of all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w:t>
      </w:r>
    </w:p>
    <w:p>
      <w:pPr>
        <w:spacing w:after="0" w:line="135" w:lineRule="exact"/>
        <w:rPr>
          <w:rFonts w:ascii="Times New Roman" w:cs="Times New Roman" w:eastAsia="Times New Roman" w:hAnsi="Times New Roman"/>
          <w:sz w:val="14"/>
          <w:szCs w:val="14"/>
          <w:color w:val="auto"/>
        </w:rPr>
      </w:pPr>
    </w:p>
    <w:p>
      <w:pPr>
        <w:ind w:left="-520" w:right="240" w:firstLine="1162"/>
        <w:spacing w:after="0" w:line="283" w:lineRule="auto"/>
        <w:tabs>
          <w:tab w:leader="none" w:pos="836"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Registered Organization</w:t>
      </w:r>
      <w:r>
        <w:rPr>
          <w:rFonts w:ascii="Times New Roman" w:cs="Times New Roman" w:eastAsia="Times New Roman" w:hAnsi="Times New Roman"/>
          <w:sz w:val="14"/>
          <w:szCs w:val="14"/>
          <w:color w:val="auto"/>
        </w:rPr>
        <w:t>. If Borrower is not a Registered Organization as of the Effective Date but later becomes one, promptly notify Bank of such occurrence and provide Bank with Borrower’s organizational identification number;</w:t>
      </w:r>
    </w:p>
    <w:p>
      <w:pPr>
        <w:spacing w:after="0" w:line="124" w:lineRule="exact"/>
        <w:rPr>
          <w:rFonts w:ascii="Times New Roman" w:cs="Times New Roman" w:eastAsia="Times New Roman" w:hAnsi="Times New Roman"/>
          <w:sz w:val="14"/>
          <w:szCs w:val="14"/>
          <w:color w:val="auto"/>
        </w:rPr>
      </w:pPr>
    </w:p>
    <w:p>
      <w:pPr>
        <w:ind w:left="800" w:hanging="158"/>
        <w:spacing w:after="0"/>
        <w:tabs>
          <w:tab w:leader="none" w:pos="800"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Prompt written notice of the occurrence of a Default or Event of Default;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495300</wp:posOffset>
            </wp:positionV>
            <wp:extent cx="7188200"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20"/>
          </w:cols>
          <w:pgMar w:left="820" w:top="985" w:right="359" w:bottom="1440" w:gutter="0" w:footer="0" w:header="0"/>
        </w:sectPr>
      </w:pPr>
    </w:p>
    <w:bookmarkStart w:id="468" w:name="page469"/>
    <w:bookmarkEnd w:id="468"/>
    <w:p>
      <w:pPr>
        <w:ind w:right="80" w:firstLine="1162"/>
        <w:spacing w:after="0" w:line="283" w:lineRule="auto"/>
        <w:tabs>
          <w:tab w:leader="none" w:pos="1395"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Information</w:t>
      </w:r>
      <w:r>
        <w:rPr>
          <w:rFonts w:ascii="Times New Roman" w:cs="Times New Roman" w:eastAsia="Times New Roman" w:hAnsi="Times New Roman"/>
          <w:sz w:val="14"/>
          <w:szCs w:val="14"/>
          <w:color w:val="auto"/>
        </w:rPr>
        <w:t>. Promptly, from time to time, such other information regarding Borrower or any of its Subsidiaries or compliance with the terms of any Loan Documents as reasonably requested by Bank.</w:t>
      </w:r>
    </w:p>
    <w:p>
      <w:pPr>
        <w:spacing w:after="0" w:line="125" w:lineRule="exact"/>
        <w:rPr>
          <w:sz w:val="20"/>
          <w:szCs w:val="20"/>
          <w:color w:val="auto"/>
        </w:rPr>
      </w:pPr>
    </w:p>
    <w:p>
      <w:pPr>
        <w:ind w:right="100" w:firstLine="511"/>
        <w:spacing w:after="0" w:line="254" w:lineRule="auto"/>
        <w:rPr>
          <w:sz w:val="20"/>
          <w:szCs w:val="20"/>
          <w:color w:val="auto"/>
        </w:rPr>
      </w:pPr>
      <w:r>
        <w:rPr>
          <w:rFonts w:ascii="Times New Roman" w:cs="Times New Roman" w:eastAsia="Times New Roman" w:hAnsi="Times New Roman"/>
          <w:sz w:val="14"/>
          <w:szCs w:val="14"/>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5.4 Taxes; Pensions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right="20" w:firstLine="1155"/>
        <w:spacing w:after="0" w:line="261" w:lineRule="auto"/>
        <w:tabs>
          <w:tab w:leader="none" w:pos="1341"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Section 4.8(a)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40" w:lineRule="exact"/>
        <w:rPr>
          <w:rFonts w:ascii="Times New Roman" w:cs="Times New Roman" w:eastAsia="Times New Roman" w:hAnsi="Times New Roman"/>
          <w:sz w:val="14"/>
          <w:szCs w:val="14"/>
          <w:color w:val="auto"/>
        </w:rPr>
      </w:pPr>
    </w:p>
    <w:p>
      <w:pPr>
        <w:jc w:val="both"/>
        <w:ind w:right="160" w:firstLine="1155"/>
        <w:spacing w:after="0" w:line="267" w:lineRule="auto"/>
        <w:tabs>
          <w:tab w:leader="none" w:pos="1349"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5.5 Insurance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right="280" w:firstLine="1155"/>
        <w:spacing w:after="0" w:line="283" w:lineRule="auto"/>
        <w:tabs>
          <w:tab w:leader="none" w:pos="1341"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its business and the Collateral insured for risks and in amounts standard for companies of similar stage and size in Borrower’s industry and location and as Bank may reasonably request. Insurance policies shall be in a form, with financially sound and reputable insurance companies that are not Affiliates of Borrower, and in amounts that are satisfactory to Bank.</w:t>
      </w:r>
    </w:p>
    <w:p>
      <w:pPr>
        <w:spacing w:after="0" w:line="124" w:lineRule="exact"/>
        <w:rPr>
          <w:rFonts w:ascii="Times New Roman" w:cs="Times New Roman" w:eastAsia="Times New Roman" w:hAnsi="Times New Roman"/>
          <w:sz w:val="14"/>
          <w:szCs w:val="14"/>
          <w:color w:val="auto"/>
        </w:rPr>
      </w:pPr>
    </w:p>
    <w:p>
      <w:pPr>
        <w:ind w:right="120" w:firstLine="1155"/>
        <w:spacing w:after="0" w:line="283" w:lineRule="auto"/>
        <w:tabs>
          <w:tab w:leader="none" w:pos="1349"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24"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proceeds payable under any property policy are, at Bank’s option, payable to Bank on account of the Obligations.</w:t>
      </w:r>
    </w:p>
    <w:p>
      <w:pPr>
        <w:spacing w:after="0" w:line="175" w:lineRule="exact"/>
        <w:rPr>
          <w:rFonts w:ascii="Times New Roman" w:cs="Times New Roman" w:eastAsia="Times New Roman" w:hAnsi="Times New Roman"/>
          <w:sz w:val="14"/>
          <w:szCs w:val="14"/>
          <w:color w:val="auto"/>
        </w:rPr>
      </w:pPr>
    </w:p>
    <w:p>
      <w:pPr>
        <w:ind w:right="80" w:firstLine="1155"/>
        <w:spacing w:after="0" w:line="258" w:lineRule="auto"/>
        <w:tabs>
          <w:tab w:leader="none" w:pos="1349"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Bank’s request, Borrower shall deliver certified copies of insurance policies and evidence of all premium payments. Each provider of any such insurance required under this Section 5.5 shall agree, by endorsement upon the policy or policies issued by it or by independent instruments furnished to Bank, that it will give Bank 30 days’ prior written notice before any such policy or policies shall be canceled or altered in any material respect. If Borrower fails to obtain insurance as required under this Section 5.5 or to pay any amount or furnish any required proof of payment to third persons and Bank, Bank may make all or part of such payment or obtain such insurance policies required in this Section 5.5, and take any action under the policies Bank deems prudent.</w:t>
      </w:r>
    </w:p>
    <w:p>
      <w:pPr>
        <w:spacing w:after="0" w:line="142"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5.6 Access to Collateral; Books and Records</w:t>
      </w:r>
      <w:r>
        <w:rPr>
          <w:rFonts w:ascii="Times New Roman" w:cs="Times New Roman" w:eastAsia="Times New Roman" w:hAnsi="Times New Roman"/>
          <w:sz w:val="14"/>
          <w:szCs w:val="14"/>
          <w:color w:val="auto"/>
        </w:rPr>
        <w:t>. At reasonable times, on one (1) Business Day’s notice (provided no notice is required if an Event of Default has occurred and is continuing),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Bank, or its agents, shall have the right to inspect the Collateral and the right to audit and copy Borrower’s Books. Such inspections and audits shall be conducted as frequently as Bank determines in its sole discretion that conditions warrant. The foregoing inspections and audits shall be conducted at Borrower’s expense and the charge therefor shall be $1,000.00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69" w:name="page470"/>
    <w:bookmarkEnd w:id="469"/>
    <w:p>
      <w:pPr>
        <w:ind w:right="60"/>
        <w:spacing w:after="0" w:line="283" w:lineRule="auto"/>
        <w:rPr>
          <w:sz w:val="20"/>
          <w:szCs w:val="20"/>
          <w:color w:val="auto"/>
        </w:rPr>
      </w:pPr>
      <w:r>
        <w:rPr>
          <w:rFonts w:ascii="Times New Roman" w:cs="Times New Roman" w:eastAsia="Times New Roman" w:hAnsi="Times New Roman"/>
          <w:sz w:val="14"/>
          <w:szCs w:val="14"/>
          <w:color w:val="auto"/>
        </w:rPr>
        <w:t>Bank’s rights or remedies) Borrower shall pay Bank a fee of $2,000.00 plus any out-of-pocket expenses incurred by Bank to compensate Bank for the anticipated costs and expenses of the cancellation or rescheduling.</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5.7 Accounts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1155"/>
        <w:spacing w:after="0" w:line="261" w:lineRule="auto"/>
        <w:tabs>
          <w:tab w:leader="none" w:pos="1341"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all of Borrower’s, any of its Subsidiaries’ (excluding Securities Corp.), and any Guarantor’s operating accounts, depository accounts and excess cash with Bank or Bank’s Affiliates. In addition to the foregoing, Borrower shall at all times have on deposit in operating and depository accounts maintained in the name of Borrower with Bank, cash in an amount equal to the lesser of (i) one hundred percent (100.0%) of the Dollar value of Borrower’s consolidated cash, including any Subsidiaries’, Affiliates’, or related entities’ cash, in the aggregate, at all financial institutions, and (ii) one hundred ten percent (110.0%) of the then-outstanding Obligations of Borrower to Bank.</w:t>
      </w:r>
    </w:p>
    <w:p>
      <w:pPr>
        <w:spacing w:after="0" w:line="98" w:lineRule="exact"/>
        <w:rPr>
          <w:rFonts w:ascii="Times New Roman" w:cs="Times New Roman" w:eastAsia="Times New Roman" w:hAnsi="Times New Roman"/>
          <w:sz w:val="14"/>
          <w:szCs w:val="14"/>
          <w:color w:val="auto"/>
        </w:rPr>
      </w:pPr>
    </w:p>
    <w:p>
      <w:pPr>
        <w:ind w:right="20" w:firstLine="1166"/>
        <w:spacing w:after="0" w:line="283" w:lineRule="auto"/>
        <w:tabs>
          <w:tab w:leader="none" w:pos="1360" w:val="left"/>
        </w:tabs>
        <w:numPr>
          <w:ilvl w:val="1"/>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foregoing, Borrower, any Subsidiary of Borrower and any Guarantor, shall obtain any business credit card (other than the Permitted Credit Cards) and letter of credit exclusively from Bank.</w:t>
      </w:r>
    </w:p>
    <w:p>
      <w:pPr>
        <w:spacing w:after="0" w:line="125" w:lineRule="exact"/>
        <w:rPr>
          <w:sz w:val="20"/>
          <w:szCs w:val="20"/>
          <w:color w:val="auto"/>
        </w:rPr>
      </w:pPr>
    </w:p>
    <w:p>
      <w:pPr>
        <w:ind w:firstLine="1155"/>
        <w:spacing w:after="0" w:line="257" w:lineRule="auto"/>
        <w:tabs>
          <w:tab w:leader="none" w:pos="1341"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5.8 Protection of Intellectual Property Rights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20" w:firstLine="1155"/>
        <w:spacing w:after="0" w:line="261" w:lineRule="auto"/>
        <w:tabs>
          <w:tab w:leader="none" w:pos="1341"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Protect, defend and maintain the validity and enforceability of Borrower’s and each 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of Borrower’s and each Subsidiary’s Intellectual Property; and (iii) not allow any Intellectual Property material to Borrower’s or any Subsidiary’s business, as determined in the good faith business discretion of the Board, to be abandoned, forfeited or dedicated to the public without Bank’s written consent.</w:t>
      </w:r>
    </w:p>
    <w:p>
      <w:pPr>
        <w:spacing w:after="0" w:line="140" w:lineRule="exact"/>
        <w:rPr>
          <w:rFonts w:ascii="Times New Roman" w:cs="Times New Roman" w:eastAsia="Times New Roman" w:hAnsi="Times New Roman"/>
          <w:sz w:val="14"/>
          <w:szCs w:val="14"/>
          <w:color w:val="auto"/>
        </w:rPr>
      </w:pPr>
    </w:p>
    <w:p>
      <w:pPr>
        <w:ind w:firstLine="1155"/>
        <w:spacing w:after="0" w:line="258" w:lineRule="auto"/>
        <w:tabs>
          <w:tab w:leader="none" w:pos="1349"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42" w:lineRule="exact"/>
        <w:rPr>
          <w:sz w:val="20"/>
          <w:szCs w:val="20"/>
          <w:color w:val="auto"/>
        </w:rPr>
      </w:pPr>
    </w:p>
    <w:p>
      <w:pPr>
        <w:ind w:right="8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5.9 Litigation Cooperation</w:t>
      </w:r>
      <w:r>
        <w:rPr>
          <w:rFonts w:ascii="Times New Roman" w:cs="Times New Roman" w:eastAsia="Times New Roman" w:hAnsi="Times New Roman"/>
          <w:sz w:val="14"/>
          <w:szCs w:val="14"/>
          <w:color w:val="auto"/>
        </w:rPr>
        <w:t>. From the date hereof and continuing through the termination of this Agreement, make available to Bank, without expense to Bank, Borrower and its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33"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5.10 Inventory; Returns</w:t>
      </w:r>
      <w:r>
        <w:rPr>
          <w:rFonts w:ascii="Times New Roman" w:cs="Times New Roman" w:eastAsia="Times New Roman" w:hAnsi="Times New Roman"/>
          <w:sz w:val="14"/>
          <w:szCs w:val="14"/>
          <w:color w:val="auto"/>
        </w:rPr>
        <w:t>. Keep all Inventory in good and marketable condition, free from material defects. Returns and allowances between Borrower and its Account Debtors shall follow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Borrower’s customary practices as they exist at the Effective Date. Borrower shall promptly notify Bank of all returns, recoveries, disputes and claims that involve more than $50,000.00.</w:t>
      </w:r>
    </w:p>
    <w:p>
      <w:pPr>
        <w:spacing w:after="0" w:line="121"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5.11 Further Assurances</w:t>
      </w:r>
      <w:r>
        <w:rPr>
          <w:rFonts w:ascii="Times New Roman" w:cs="Times New Roman" w:eastAsia="Times New Roman" w:hAnsi="Times New Roman"/>
          <w:sz w:val="14"/>
          <w:szCs w:val="14"/>
          <w:color w:val="auto"/>
        </w:rPr>
        <w:t>. Execute any further instruments and take such further action as Bank reasonably requests to perfect, protect, ensure the priority of or continue Bank’s Lien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Collateral or to effect the purposes of this Agreement.</w:t>
      </w:r>
    </w:p>
    <w:p>
      <w:pPr>
        <w:spacing w:after="0" w:line="121"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5.12 Sanctions</w:t>
      </w:r>
      <w:r>
        <w:rPr>
          <w:rFonts w:ascii="Times New Roman" w:cs="Times New Roman" w:eastAsia="Times New Roman" w:hAnsi="Times New Roman"/>
          <w:sz w:val="14"/>
          <w:szCs w:val="14"/>
          <w:color w:val="auto"/>
        </w:rPr>
        <w:t>. (a) Not, and not permit any of its Subsidiaries to, engage in any of the activities described in Section 4.10 in the future; (b) not, and not permit any of its Subsidiaries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5.12. In addition, have implemented, and will consistently apply while this Agreement is in effect, procedures to ensure that the representations and warranties in Section 4.10 remain true and correct while this Agreement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70" w:name="page471"/>
    <w:bookmarkEnd w:id="470"/>
    <w:p>
      <w:pPr>
        <w:ind w:left="660" w:hanging="141"/>
        <w:spacing w:after="0"/>
        <w:tabs>
          <w:tab w:leader="none" w:pos="660" w:val="left"/>
        </w:tabs>
        <w:numPr>
          <w:ilvl w:val="0"/>
          <w:numId w:val="4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NEGATIVE COVENANTS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Borrower shall not do any of the following without Bank’s prior written consent:</w:t>
      </w:r>
    </w:p>
    <w:p>
      <w:pPr>
        <w:spacing w:after="0" w:line="173"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6.1 Dispositions</w:t>
      </w:r>
      <w:r>
        <w:rPr>
          <w:rFonts w:ascii="Times New Roman" w:cs="Times New Roman" w:eastAsia="Times New Roman" w:hAnsi="Times New Roman"/>
          <w:sz w:val="14"/>
          <w:szCs w:val="14"/>
          <w:color w:val="auto"/>
        </w:rPr>
        <w:t>. Convey, sell, lease, transfer, assign, or otherwise dispose of (including, without limitation, pursuant to a Division) (collectively, “</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or permit any of its Subsidiaries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and (f) consisting of non-exclusive licenses for the use of the property of Borrower or its Subsidiaries in the ordinary course of business.</w:t>
      </w:r>
    </w:p>
    <w:p>
      <w:pPr>
        <w:spacing w:after="0" w:line="143"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6.2 Changes in Business, Management, Control, or Business Locations</w:t>
      </w:r>
      <w:r>
        <w:rPr>
          <w:rFonts w:ascii="Times New Roman" w:cs="Times New Roman" w:eastAsia="Times New Roman" w:hAnsi="Times New Roman"/>
          <w:sz w:val="14"/>
          <w:szCs w:val="14"/>
          <w:color w:val="auto"/>
        </w:rPr>
        <w:t>. (a) Engage in or permit any of its Subsidiaries to engage in any business other than the businesses currently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engaged in by Borrower and such Subsidiary, as applicable, or reasonably related thereto; (b) liquidate or dissolve or permit any of its Subsidiaries to liquidate or dissolve; (c) fail to provide notice to Bank of any Key Person departing from or ceasing to be employed by Borrower within five (5) days after such Key Person’s departure from Borrower; (d) permit, allow or suffer to occur any Change in Control; or (e) without at least 30 days prior written notice to Bank, (i) add any new offices or business locations, including warehouses (unless such new offices or business locations contain less than $10,000.00 in Borrower’s assets or property) or deliver any portion of the Collateral valued, individually or in the aggregate, in excess of $10,000.00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$10,000.00 of Borrower’s assets or property, then Borrower will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$10,000.00 to a bailee, and Bank and such bailee are not already parties to a bailee agreement governing both the Collateral and the location to which Borrower intends to deliver the Collateral, then Borrower will cause such bailee to execute and deliver a bailee agreement in form and substance satisfactory to Bank.</w:t>
      </w:r>
    </w:p>
    <w:p>
      <w:pPr>
        <w:spacing w:after="0" w:line="144" w:lineRule="exact"/>
        <w:rPr>
          <w:sz w:val="20"/>
          <w:szCs w:val="20"/>
          <w:color w:val="auto"/>
        </w:rPr>
      </w:pPr>
    </w:p>
    <w:p>
      <w:pPr>
        <w:ind w:right="4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6.3 Mergers or Acquisitions</w:t>
      </w:r>
      <w:r>
        <w:rPr>
          <w:rFonts w:ascii="Times New Roman" w:cs="Times New Roman" w:eastAsia="Times New Roman" w:hAnsi="Times New Roman"/>
          <w:sz w:val="14"/>
          <w:szCs w:val="14"/>
          <w:color w:val="auto"/>
        </w:rPr>
        <w:t>. Merge or consolidate, or permit any of its Subsidiaries to merge or consolidate, with any other Person, or acquire, or permit any of its Subsidiaries to acquire,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6.4 Indebtedness</w:t>
      </w:r>
      <w:r>
        <w:rPr>
          <w:rFonts w:ascii="Times New Roman" w:cs="Times New Roman" w:eastAsia="Times New Roman" w:hAnsi="Times New Roman"/>
          <w:sz w:val="14"/>
          <w:szCs w:val="14"/>
          <w:color w:val="auto"/>
        </w:rPr>
        <w:t>. Create, incur, assume, or be liable for any Indebtedness, or permit any Subsidiary to do so, other than Permitted Indebtedness.</w:t>
      </w:r>
    </w:p>
    <w:p>
      <w:pPr>
        <w:spacing w:after="0" w:line="175"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6.5 Encumbrance</w:t>
      </w:r>
      <w:r>
        <w:rPr>
          <w:rFonts w:ascii="Times New Roman" w:cs="Times New Roman" w:eastAsia="Times New Roman" w:hAnsi="Times New Roman"/>
          <w:sz w:val="14"/>
          <w:szCs w:val="14"/>
          <w:color w:val="auto"/>
        </w:rPr>
        <w:t>. Create, incur, allow, or suffer to exist any Lien on any of its property, or assign or convey any right to receive income, including the sale of any Accounts, or permit any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6.6 Maintenance of Collateral Accounts</w:t>
      </w:r>
      <w:r>
        <w:rPr>
          <w:rFonts w:ascii="Times New Roman" w:cs="Times New Roman" w:eastAsia="Times New Roman" w:hAnsi="Times New Roman"/>
          <w:sz w:val="14"/>
          <w:szCs w:val="14"/>
          <w:color w:val="auto"/>
        </w:rPr>
        <w:t>. Maintain any Collateral Account except pursuant to the terms of Section 5.7(c).</w:t>
      </w:r>
    </w:p>
    <w:p>
      <w:pPr>
        <w:spacing w:after="0" w:line="175"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6.7 Distributions; Investments</w:t>
      </w:r>
      <w:r>
        <w:rPr>
          <w:rFonts w:ascii="Times New Roman" w:cs="Times New Roman" w:eastAsia="Times New Roman" w:hAnsi="Times New Roman"/>
          <w:sz w:val="14"/>
          <w:szCs w:val="14"/>
          <w:color w:val="auto"/>
        </w:rPr>
        <w:t>. (a) Pay any dividends or make any distribution or payment or redeem, retire or purchase any stock, partnership, membership, or other ownership interest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equity securities, provided that Borrower may repurchase the stock of former employees, officers, directors, or consultants pursuant to stock repurchase agreements so long as an Event of Default does not exist at the time of any such repurchase and would not exist after giving effect to any such repurchase, provided that the aggregate amount of all such repurchases does not exceed $100,000.00 per fiscal year; or (b) directly or indirectly make any Investment (including, without limitation, by the formation of any Subsidiary) other than Permitted Investments, or permit any of its Subsidiaries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71" w:name="page472"/>
    <w:bookmarkEnd w:id="471"/>
    <w:p>
      <w:pPr>
        <w:ind w:right="3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6.8 Transactions with Affiliates</w:t>
      </w:r>
      <w:r>
        <w:rPr>
          <w:rFonts w:ascii="Times New Roman" w:cs="Times New Roman" w:eastAsia="Times New Roman" w:hAnsi="Times New Roman"/>
          <w:sz w:val="14"/>
          <w:szCs w:val="14"/>
          <w:color w:val="auto"/>
        </w:rPr>
        <w:t>. Directly or indirectly enter into or permit to exist any material transaction with any Affiliate of Borrower, except for transactions that are in the ordinary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course of Borrower’s business, upon fair and reasonable terms that are no less favorable to Borrower than would be obtained in an arm’s length transaction with a non-affiliated Person.</w:t>
      </w:r>
    </w:p>
    <w:p>
      <w:pPr>
        <w:spacing w:after="0" w:line="121"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6.9 Subordinated Debt</w:t>
      </w:r>
      <w:r>
        <w:rPr>
          <w:rFonts w:ascii="Times New Roman" w:cs="Times New Roman" w:eastAsia="Times New Roman" w:hAnsi="Times New Roman"/>
          <w:sz w:val="14"/>
          <w:szCs w:val="14"/>
          <w:color w:val="auto"/>
        </w:rPr>
        <w:t>. Except as expressly permitted under the terms of the subordination, intercreditor, or other similar agreement to which any Subordinated Debt is subject: (a) make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w:t>
      </w:r>
    </w:p>
    <w:p>
      <w:pPr>
        <w:spacing w:after="0" w:line="13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6.10 Compliance</w:t>
      </w:r>
      <w:r>
        <w:rPr>
          <w:rFonts w:ascii="Times New Roman" w:cs="Times New Roman" w:eastAsia="Times New Roman" w:hAnsi="Times New Roman"/>
          <w:sz w:val="14"/>
          <w:szCs w:val="14"/>
          <w:color w:val="auto"/>
        </w:rPr>
        <w:t>. (a) Become an “investment company” or a company controlled by an “investment company”, under the Investment Company Act of 1940, as amended, or undertake as 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44" w:lineRule="exact"/>
        <w:rPr>
          <w:sz w:val="20"/>
          <w:szCs w:val="20"/>
          <w:color w:val="auto"/>
        </w:rPr>
      </w:pPr>
    </w:p>
    <w:p>
      <w:pPr>
        <w:ind w:left="660" w:hanging="145"/>
        <w:spacing w:after="0"/>
        <w:tabs>
          <w:tab w:leader="none" w:pos="660" w:val="left"/>
        </w:tabs>
        <w:numPr>
          <w:ilvl w:val="0"/>
          <w:numId w:val="4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EVENTS OF DEFAULT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one of the following shall constitute an event of default (an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under this Agreement:</w:t>
      </w:r>
    </w:p>
    <w:p>
      <w:pPr>
        <w:spacing w:after="0" w:line="175" w:lineRule="exact"/>
        <w:rPr>
          <w:sz w:val="20"/>
          <w:szCs w:val="20"/>
          <w:color w:val="auto"/>
        </w:rPr>
      </w:pPr>
    </w:p>
    <w:p>
      <w:pPr>
        <w:jc w:val="both"/>
        <w:ind w:right="8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7.1 Payment Default</w:t>
      </w:r>
      <w:r>
        <w:rPr>
          <w:rFonts w:ascii="Times New Roman" w:cs="Times New Roman" w:eastAsia="Times New Roman" w:hAnsi="Times New Roman"/>
          <w:sz w:val="14"/>
          <w:szCs w:val="14"/>
          <w:color w:val="auto"/>
        </w:rPr>
        <w:t>. Borrower fails to (a) make any payment of principal or interest on any Credit Extension on its due date, or (b) pay any other Obligations within three (3) Business Days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7.2 </w:t>
      </w:r>
      <w:r>
        <w:rPr>
          <w:rFonts w:ascii="Times New Roman" w:cs="Times New Roman" w:eastAsia="Times New Roman" w:hAnsi="Times New Roman"/>
          <w:sz w:val="14"/>
          <w:szCs w:val="14"/>
          <w:color w:val="auto"/>
        </w:rPr>
        <w:t>Covenant Default.</w:t>
      </w:r>
    </w:p>
    <w:p>
      <w:pPr>
        <w:spacing w:after="0" w:line="177" w:lineRule="exact"/>
        <w:rPr>
          <w:sz w:val="20"/>
          <w:szCs w:val="20"/>
          <w:color w:val="auto"/>
        </w:rPr>
      </w:pPr>
    </w:p>
    <w:p>
      <w:pPr>
        <w:ind w:firstLine="1155"/>
        <w:spacing w:after="0" w:line="283" w:lineRule="auto"/>
        <w:tabs>
          <w:tab w:leader="none" w:pos="1341"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fails or neglects to perform any obligation in Section 5 (other than Sections 5.2 (Government Compliance), 5.9 (Litigation Cooperation), 5.10 (Inventory; Returns) and 5.11 (Further Assurances)) or violates any covenant in Section 6; or</w:t>
      </w:r>
    </w:p>
    <w:p>
      <w:pPr>
        <w:spacing w:after="0" w:line="124" w:lineRule="exact"/>
        <w:rPr>
          <w:rFonts w:ascii="Times New Roman" w:cs="Times New Roman" w:eastAsia="Times New Roman" w:hAnsi="Times New Roman"/>
          <w:sz w:val="14"/>
          <w:szCs w:val="14"/>
          <w:color w:val="auto"/>
        </w:rPr>
      </w:pPr>
    </w:p>
    <w:p>
      <w:pPr>
        <w:ind w:firstLine="1155"/>
        <w:spacing w:after="0" w:line="254" w:lineRule="auto"/>
        <w:tabs>
          <w:tab w:leader="none" w:pos="1349" w:val="left"/>
        </w:tabs>
        <w:numPr>
          <w:ilvl w:val="1"/>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w:t>
      </w:r>
    </w:p>
    <w:p>
      <w:pPr>
        <w:spacing w:after="0" w:line="1" w:lineRule="exact"/>
        <w:rPr>
          <w:rFonts w:ascii="Times New Roman" w:cs="Times New Roman" w:eastAsia="Times New Roman" w:hAnsi="Times New Roman"/>
          <w:sz w:val="14"/>
          <w:szCs w:val="14"/>
          <w:color w:val="auto"/>
        </w:rPr>
      </w:pPr>
    </w:p>
    <w:p>
      <w:pPr>
        <w:ind w:left="200" w:hanging="196"/>
        <w:spacing w:after="0"/>
        <w:tabs>
          <w:tab w:leader="none" w:pos="2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7.3 Material Adverse Change</w:t>
      </w:r>
      <w:r>
        <w:rPr>
          <w:rFonts w:ascii="Times New Roman" w:cs="Times New Roman" w:eastAsia="Times New Roman" w:hAnsi="Times New Roman"/>
          <w:sz w:val="14"/>
          <w:szCs w:val="14"/>
          <w:color w:val="auto"/>
        </w:rPr>
        <w:t>. A Material Adverse Change occurs;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7.4 Attachment; Levy; Restraint on Business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60" w:firstLine="1155"/>
        <w:spacing w:after="0" w:line="267" w:lineRule="auto"/>
        <w:tabs>
          <w:tab w:leader="none" w:pos="1341"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service of process seeking to attach, by trustee or similar process, any funds of Borrower or any Subsidiary, or (ii) a notice of lien or levy is filed against any of Borrower’s or any of its Subsidiaries’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72" w:name="page473"/>
    <w:bookmarkEnd w:id="472"/>
    <w:p>
      <w:pPr>
        <w:ind w:right="280" w:firstLine="1155"/>
        <w:spacing w:after="0" w:line="283" w:lineRule="auto"/>
        <w:tabs>
          <w:tab w:leader="none" w:pos="1349"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23" w:lineRule="exact"/>
        <w:rPr>
          <w:sz w:val="20"/>
          <w:szCs w:val="20"/>
          <w:color w:val="auto"/>
        </w:rPr>
      </w:pPr>
    </w:p>
    <w:p>
      <w:pPr>
        <w:jc w:val="both"/>
        <w:ind w:right="5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7.5 Insolvency</w:t>
      </w:r>
      <w:r>
        <w:rPr>
          <w:rFonts w:ascii="Times New Roman" w:cs="Times New Roman" w:eastAsia="Times New Roman" w:hAnsi="Times New Roman"/>
          <w:sz w:val="14"/>
          <w:szCs w:val="14"/>
          <w:color w:val="auto"/>
        </w:rPr>
        <w:t>. (a) Borrower or any of its Subsidiaries is unable to pay its debts (including trade debts) as they become due or otherwise becomes insolvent; (b) Borrower or any of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Subsidiaries begins an Insolvency Proceeding; or (c) an Insolvency Proceeding is begun against Borrower or any of its Subsidiaries and is not dismissed or stayed within 45 days (but no Credit Extensions shall be made while any of the conditions described in clause (a) exist or until any Insolvency Proceeding is dismissed);</w:t>
      </w:r>
    </w:p>
    <w:p>
      <w:pPr>
        <w:spacing w:after="0" w:line="133" w:lineRule="exact"/>
        <w:rPr>
          <w:sz w:val="20"/>
          <w:szCs w:val="20"/>
          <w:color w:val="auto"/>
        </w:rPr>
      </w:pPr>
    </w:p>
    <w:p>
      <w:pPr>
        <w:jc w:val="both"/>
        <w:ind w:right="6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7.6 Other Agreements</w:t>
      </w:r>
      <w:r>
        <w:rPr>
          <w:rFonts w:ascii="Times New Roman" w:cs="Times New Roman" w:eastAsia="Times New Roman" w:hAnsi="Times New Roman"/>
          <w:sz w:val="14"/>
          <w:szCs w:val="14"/>
          <w:color w:val="auto"/>
        </w:rPr>
        <w:t>. There is, under any agreement to which Borrower, any of Borrower’s Subsidiaries, or any Guarantor is a party with a third party or parties, (a) any default resulting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right by such third party or parties, whether or not exercised, to accelerate the maturity of any Indebtedness in an amount individually or in the aggregate in excess of $250,000.00; or (b) any breach or default by Borrower, any of Borrower’s Subsidiaries, or Guarantor, the result of which could reasonably be expected have a material adverse effect on Borrower’s, any of Borrower’s Subsidiaries’, or any Guarantor’s business or operations;</w:t>
      </w:r>
    </w:p>
    <w:p>
      <w:pPr>
        <w:spacing w:after="0" w:line="138" w:lineRule="exact"/>
        <w:rPr>
          <w:sz w:val="20"/>
          <w:szCs w:val="20"/>
          <w:color w:val="auto"/>
        </w:rPr>
      </w:pPr>
    </w:p>
    <w:p>
      <w:pPr>
        <w:ind w:right="10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7.7 Judgments; Penalties</w:t>
      </w:r>
      <w:r>
        <w:rPr>
          <w:rFonts w:ascii="Times New Roman" w:cs="Times New Roman" w:eastAsia="Times New Roman" w:hAnsi="Times New Roman"/>
          <w:sz w:val="14"/>
          <w:szCs w:val="14"/>
          <w:color w:val="auto"/>
        </w:rPr>
        <w:t>. One or more fines, penalties or final judgments, orders or decrees for the payment of money in an amount, individually or in the aggregate, of at least $250,000.00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38" w:lineRule="exact"/>
        <w:rPr>
          <w:sz w:val="20"/>
          <w:szCs w:val="20"/>
          <w:color w:val="auto"/>
        </w:rPr>
      </w:pPr>
    </w:p>
    <w:p>
      <w:pPr>
        <w:ind w:right="2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7.8 Misrepresentations</w:t>
      </w:r>
      <w:r>
        <w:rPr>
          <w:rFonts w:ascii="Times New Roman" w:cs="Times New Roman" w:eastAsia="Times New Roman" w:hAnsi="Times New Roman"/>
          <w:sz w:val="14"/>
          <w:szCs w:val="14"/>
          <w:color w:val="auto"/>
        </w:rPr>
        <w:t>. Borrower or any of its Subsidiaries or any Person acting for Borrower or any of its Subsidiaries makes any representation, warranty, or other statement now or later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38"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7.9 Subordinated Debt</w:t>
      </w:r>
      <w:r>
        <w:rPr>
          <w:rFonts w:ascii="Times New Roman" w:cs="Times New Roman" w:eastAsia="Times New Roman" w:hAnsi="Times New Roman"/>
          <w:sz w:val="14"/>
          <w:szCs w:val="14"/>
          <w:color w:val="auto"/>
        </w:rPr>
        <w:t>. If: (a) any document, instrument, or agreement evidencing any Subordinated Debt shall for any reason be revoked or invalidated or otherwise cease to be in full force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7.10 Lien Priority</w:t>
      </w:r>
      <w:r>
        <w:rPr>
          <w:rFonts w:ascii="Times New Roman" w:cs="Times New Roman" w:eastAsia="Times New Roman" w:hAnsi="Times New Roman"/>
          <w:sz w:val="14"/>
          <w:szCs w:val="14"/>
          <w:color w:val="auto"/>
        </w:rPr>
        <w:t>. There is a material impairment in the perfection or priority of Bank’s security interest in the Collateral that is not attributable to Bank’s own action or failure;</w:t>
      </w:r>
    </w:p>
    <w:p>
      <w:pPr>
        <w:spacing w:after="0" w:line="175"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7.11 Guaranty</w:t>
      </w:r>
      <w:r>
        <w:rPr>
          <w:rFonts w:ascii="Times New Roman" w:cs="Times New Roman" w:eastAsia="Times New Roman" w:hAnsi="Times New Roman"/>
          <w:sz w:val="14"/>
          <w:szCs w:val="14"/>
          <w:color w:val="auto"/>
        </w:rPr>
        <w:t>. (a) Any guaranty of any Obligations terminates or ceases for any reason to be in full force and effect; (b) any Guarantor does not perform any obligation or covenant under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guaranty of the Obligations; (c) any circumstance described in Sections 7.3, 7.4, 7.5, 7.6, 7.7, or 7.8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41"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7.12 Governmental Approvals</w:t>
      </w:r>
      <w:r>
        <w:rPr>
          <w:rFonts w:ascii="Times New Roman" w:cs="Times New Roman" w:eastAsia="Times New Roman" w:hAnsi="Times New Roman"/>
          <w:sz w:val="14"/>
          <w:szCs w:val="14"/>
          <w:color w:val="auto"/>
        </w:rPr>
        <w:t>. Any Governmental Approval shall have been (a) revoked, rescinded, suspended, modified in an adverse manner or not renewed in the ordinary course for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475615</wp:posOffset>
            </wp:positionV>
            <wp:extent cx="7188200"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73" w:name="page474"/>
    <w:bookmarkEnd w:id="473"/>
    <w:p>
      <w:pPr>
        <w:ind w:left="660" w:hanging="145"/>
        <w:spacing w:after="0"/>
        <w:tabs>
          <w:tab w:leader="none" w:pos="660" w:val="left"/>
        </w:tabs>
        <w:numPr>
          <w:ilvl w:val="0"/>
          <w:numId w:val="4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BANK’S RIGHTS AND REMEDIES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8.1 Rights and Remedies</w:t>
      </w:r>
      <w:r>
        <w:rPr>
          <w:rFonts w:ascii="Times New Roman" w:cs="Times New Roman" w:eastAsia="Times New Roman" w:hAnsi="Times New Roman"/>
          <w:sz w:val="14"/>
          <w:szCs w:val="14"/>
          <w:color w:val="auto"/>
        </w:rPr>
        <w:t>. Upon the occurrence and during the continuance of an Event of Default, Bank may, without notice or demand, do any or all of the following:</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declare all Obligations immediately due and payable (but if an Event of Default described in Section 7.5 occurs all Obligations are immediately due and payable without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action by Bank);</w:t>
      </w:r>
    </w:p>
    <w:p>
      <w:pPr>
        <w:spacing w:after="0" w:line="161" w:lineRule="exact"/>
        <w:rPr>
          <w:sz w:val="20"/>
          <w:szCs w:val="20"/>
          <w:color w:val="auto"/>
        </w:rPr>
      </w:pPr>
    </w:p>
    <w:p>
      <w:pPr>
        <w:ind w:left="1360" w:hanging="198"/>
        <w:spacing w:after="0"/>
        <w:tabs>
          <w:tab w:leader="none" w:pos="136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stop advancing money or extending credit for Borrower’s benefit under this Agreement or under any other agreement between Borrower and Bank;</w:t>
      </w:r>
    </w:p>
    <w:p>
      <w:pPr>
        <w:spacing w:after="0" w:line="175" w:lineRule="exact"/>
        <w:rPr>
          <w:rFonts w:ascii="Times New Roman" w:cs="Times New Roman" w:eastAsia="Times New Roman" w:hAnsi="Times New Roman"/>
          <w:sz w:val="14"/>
          <w:szCs w:val="14"/>
          <w:color w:val="auto"/>
        </w:rPr>
      </w:pPr>
    </w:p>
    <w:p>
      <w:pPr>
        <w:jc w:val="both"/>
        <w:ind w:right="160" w:firstLine="1162"/>
        <w:spacing w:after="0" w:line="258" w:lineRule="auto"/>
        <w:tabs>
          <w:tab w:leader="none" w:pos="134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that Borrower (i) deposit cash with Bank in an amount equal to at least (A) 105.0% of the aggregate face amount of any Letters of Credit denominated in Dollars remaining undrawn, and (B)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43" w:lineRule="exact"/>
        <w:rPr>
          <w:rFonts w:ascii="Times New Roman" w:cs="Times New Roman" w:eastAsia="Times New Roman" w:hAnsi="Times New Roman"/>
          <w:sz w:val="14"/>
          <w:szCs w:val="14"/>
          <w:color w:val="auto"/>
        </w:rPr>
      </w:pPr>
    </w:p>
    <w:p>
      <w:pPr>
        <w:jc w:val="both"/>
        <w:ind w:right="80" w:firstLine="1162"/>
        <w:spacing w:after="0" w:line="261" w:lineRule="auto"/>
        <w:tabs>
          <w:tab w:leader="none" w:pos="1357"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40" w:lineRule="exact"/>
        <w:rPr>
          <w:rFonts w:ascii="Times New Roman" w:cs="Times New Roman" w:eastAsia="Times New Roman" w:hAnsi="Times New Roman"/>
          <w:sz w:val="14"/>
          <w:szCs w:val="14"/>
          <w:color w:val="auto"/>
        </w:rPr>
      </w:pPr>
    </w:p>
    <w:p>
      <w:pPr>
        <w:ind w:right="100" w:firstLine="1162"/>
        <w:spacing w:after="0" w:line="283" w:lineRule="auto"/>
        <w:tabs>
          <w:tab w:leader="none" w:pos="134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24" w:lineRule="exact"/>
        <w:rPr>
          <w:rFonts w:ascii="Times New Roman" w:cs="Times New Roman" w:eastAsia="Times New Roman" w:hAnsi="Times New Roman"/>
          <w:sz w:val="14"/>
          <w:szCs w:val="14"/>
          <w:color w:val="auto"/>
        </w:rPr>
      </w:pPr>
    </w:p>
    <w:p>
      <w:pPr>
        <w:ind w:right="260" w:firstLine="1162"/>
        <w:spacing w:after="0" w:line="261" w:lineRule="auto"/>
        <w:tabs>
          <w:tab w:leader="none" w:pos="1333"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40" w:lineRule="exact"/>
        <w:rPr>
          <w:rFonts w:ascii="Times New Roman" w:cs="Times New Roman" w:eastAsia="Times New Roman" w:hAnsi="Times New Roman"/>
          <w:sz w:val="14"/>
          <w:szCs w:val="14"/>
          <w:color w:val="auto"/>
        </w:rPr>
      </w:pPr>
    </w:p>
    <w:p>
      <w:pPr>
        <w:ind w:left="1360" w:hanging="198"/>
        <w:spacing w:after="0"/>
        <w:tabs>
          <w:tab w:leader="none" w:pos="136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 to the Obligations any (i) balances and deposits of Borrower it holds, or (ii) amount held by Bank owing to or for the credit or the account of Borrower;</w:t>
      </w:r>
    </w:p>
    <w:p>
      <w:pPr>
        <w:spacing w:after="0" w:line="175" w:lineRule="exact"/>
        <w:rPr>
          <w:rFonts w:ascii="Times New Roman" w:cs="Times New Roman" w:eastAsia="Times New Roman" w:hAnsi="Times New Roman"/>
          <w:sz w:val="14"/>
          <w:szCs w:val="14"/>
          <w:color w:val="auto"/>
        </w:rPr>
      </w:pPr>
    </w:p>
    <w:p>
      <w:pPr>
        <w:ind w:firstLine="1162"/>
        <w:spacing w:after="0" w:line="261" w:lineRule="auto"/>
        <w:tabs>
          <w:tab w:leader="none" w:pos="1357"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40" w:lineRule="exact"/>
        <w:rPr>
          <w:rFonts w:ascii="Times New Roman" w:cs="Times New Roman" w:eastAsia="Times New Roman" w:hAnsi="Times New Roman"/>
          <w:sz w:val="14"/>
          <w:szCs w:val="14"/>
          <w:color w:val="auto"/>
        </w:rPr>
      </w:pPr>
    </w:p>
    <w:p>
      <w:pPr>
        <w:ind w:right="420" w:firstLine="1155"/>
        <w:spacing w:after="0" w:line="283" w:lineRule="auto"/>
        <w:tabs>
          <w:tab w:leader="none" w:pos="1318"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24" w:lineRule="exact"/>
        <w:rPr>
          <w:rFonts w:ascii="Times New Roman" w:cs="Times New Roman" w:eastAsia="Times New Roman" w:hAnsi="Times New Roman"/>
          <w:sz w:val="14"/>
          <w:szCs w:val="14"/>
          <w:color w:val="auto"/>
        </w:rPr>
      </w:pPr>
    </w:p>
    <w:p>
      <w:pPr>
        <w:ind w:left="1320" w:hanging="165"/>
        <w:spacing w:after="0"/>
        <w:tabs>
          <w:tab w:leader="none" w:pos="13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and receive possession of Borrower’s Books; and</w:t>
      </w:r>
    </w:p>
    <w:p>
      <w:pPr>
        <w:spacing w:after="0" w:line="175" w:lineRule="exact"/>
        <w:rPr>
          <w:rFonts w:ascii="Times New Roman" w:cs="Times New Roman" w:eastAsia="Times New Roman" w:hAnsi="Times New Roman"/>
          <w:sz w:val="14"/>
          <w:szCs w:val="14"/>
          <w:color w:val="auto"/>
        </w:rPr>
      </w:pPr>
    </w:p>
    <w:p>
      <w:pPr>
        <w:ind w:right="420" w:firstLine="1155"/>
        <w:spacing w:after="0" w:line="283" w:lineRule="auto"/>
        <w:tabs>
          <w:tab w:leader="none" w:pos="1349"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5" w:right="359" w:bottom="1440" w:gutter="0" w:footer="0" w:header="0"/>
        </w:sectPr>
      </w:pPr>
    </w:p>
    <w:bookmarkStart w:id="474" w:name="page475"/>
    <w:bookmarkEnd w:id="474"/>
    <w:p>
      <w:pPr>
        <w:ind w:firstLine="511"/>
        <w:spacing w:after="0" w:line="254" w:lineRule="auto"/>
        <w:rPr>
          <w:sz w:val="20"/>
          <w:szCs w:val="20"/>
          <w:color w:val="auto"/>
        </w:rPr>
      </w:pPr>
      <w:r>
        <w:rPr>
          <w:rFonts w:ascii="Times New Roman" w:cs="Times New Roman" w:eastAsia="Times New Roman" w:hAnsi="Times New Roman"/>
          <w:sz w:val="14"/>
          <w:szCs w:val="14"/>
          <w:b w:val="1"/>
          <w:bCs w:val="1"/>
          <w:color w:val="auto"/>
        </w:rPr>
        <w:t>8.2 Power of Attorney</w:t>
      </w:r>
      <w:r>
        <w:rPr>
          <w:rFonts w:ascii="Times New Roman" w:cs="Times New Roman" w:eastAsia="Times New Roman" w:hAnsi="Times New Roman"/>
          <w:sz w:val="14"/>
          <w:szCs w:val="14"/>
          <w:color w:val="auto"/>
        </w:rPr>
        <w:t>. Borrower hereby irrevocably appoints Bank as its true and lawful attorney-in- fact, (a) exercisable upon the occurrence and during the continuance of an Event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Default under Section 7.1,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46"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8.3 Protective Payments</w:t>
      </w:r>
      <w:r>
        <w:rPr>
          <w:rFonts w:ascii="Times New Roman" w:cs="Times New Roman" w:eastAsia="Times New Roman" w:hAnsi="Times New Roman"/>
          <w:sz w:val="14"/>
          <w:szCs w:val="14"/>
          <w:color w:val="auto"/>
        </w:rPr>
        <w:t>. If Borrower fails to obtain the insurance called for by Section 5.5 or fails to pay any premium thereon or fails to pay any other amount which Borrower is obligated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41" w:lineRule="exact"/>
        <w:rPr>
          <w:sz w:val="20"/>
          <w:szCs w:val="20"/>
          <w:color w:val="auto"/>
        </w:rPr>
      </w:pPr>
    </w:p>
    <w:p>
      <w:pPr>
        <w:ind w:firstLine="515"/>
        <w:spacing w:after="0" w:line="259" w:lineRule="auto"/>
        <w:rPr>
          <w:sz w:val="20"/>
          <w:szCs w:val="20"/>
          <w:color w:val="auto"/>
        </w:rPr>
      </w:pPr>
      <w:r>
        <w:rPr>
          <w:rFonts w:ascii="Times New Roman" w:cs="Times New Roman" w:eastAsia="Times New Roman" w:hAnsi="Times New Roman"/>
          <w:sz w:val="14"/>
          <w:szCs w:val="14"/>
          <w:b w:val="1"/>
          <w:bCs w:val="1"/>
          <w:color w:val="auto"/>
        </w:rPr>
        <w:t>8.4 Application of Payments and Proceeds</w:t>
      </w:r>
      <w:r>
        <w:rPr>
          <w:rFonts w:ascii="Times New Roman" w:cs="Times New Roman" w:eastAsia="Times New Roman" w:hAnsi="Times New Roman"/>
          <w:sz w:val="14"/>
          <w:szCs w:val="14"/>
          <w:color w:val="auto"/>
        </w:rPr>
        <w:t>. Bank may apply any funds in its possession, whether from Borrower account balances, payments, proceeds realized as the result of any collection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41" w:lineRule="exact"/>
        <w:rPr>
          <w:sz w:val="20"/>
          <w:szCs w:val="20"/>
          <w:color w:val="auto"/>
        </w:rPr>
      </w:pPr>
    </w:p>
    <w:p>
      <w:pPr>
        <w:jc w:val="both"/>
        <w:ind w:right="10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8.5 Bank’s Liability for Collateral</w:t>
      </w:r>
      <w:r>
        <w:rPr>
          <w:rFonts w:ascii="Times New Roman" w:cs="Times New Roman" w:eastAsia="Times New Roman" w:hAnsi="Times New Roman"/>
          <w:sz w:val="14"/>
          <w:szCs w:val="14"/>
          <w:color w:val="auto"/>
        </w:rPr>
        <w:t>. Bank’s sole duty with respect to the custody, safekeeping and physical preservation of the Collateral in its possession or under its control, under 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9-207 of the Code or otherwise, shall be to deal with it in the same manner as Bank deals with its own property consisting of similar instruments or interests. Borrower bears all risk of loss, damage or destruction of the Collateral.</w:t>
      </w:r>
    </w:p>
    <w:p>
      <w:pPr>
        <w:spacing w:after="0" w:line="133" w:lineRule="exact"/>
        <w:rPr>
          <w:sz w:val="20"/>
          <w:szCs w:val="20"/>
          <w:color w:val="auto"/>
        </w:rPr>
      </w:pPr>
    </w:p>
    <w:p>
      <w:pPr>
        <w:ind w:right="10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8.6 No Waiver; Remedies Cumulative</w:t>
      </w:r>
      <w:r>
        <w:rPr>
          <w:rFonts w:ascii="Times New Roman" w:cs="Times New Roman" w:eastAsia="Times New Roman" w:hAnsi="Times New Roman"/>
          <w:sz w:val="14"/>
          <w:szCs w:val="14"/>
          <w:color w:val="auto"/>
        </w:rPr>
        <w:t>. Bank’s failure, at any time or times, to require strict performance by Borrower of any provision of this Agreement or any other Loan Document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43" w:lineRule="exact"/>
        <w:rPr>
          <w:sz w:val="20"/>
          <w:szCs w:val="20"/>
          <w:color w:val="auto"/>
        </w:rPr>
      </w:pPr>
    </w:p>
    <w:p>
      <w:pPr>
        <w:ind w:right="4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8.7 Demand Waiver</w:t>
      </w:r>
      <w:r>
        <w:rPr>
          <w:rFonts w:ascii="Times New Roman" w:cs="Times New Roman" w:eastAsia="Times New Roman" w:hAnsi="Times New Roman"/>
          <w:sz w:val="14"/>
          <w:szCs w:val="14"/>
          <w:color w:val="auto"/>
        </w:rPr>
        <w:t>. Borrower waives demand, notice of default or dishonor, notice of payment and nonpayment, notice of any default, nonpayment at maturity, release, compromise,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settlement, extension, or renewal of accounts, documents, instruments, chattel paper, and guarantees held by Bank on which Borrower is liable.</w:t>
      </w:r>
    </w:p>
    <w:p>
      <w:pPr>
        <w:spacing w:after="0" w:line="121" w:lineRule="exact"/>
        <w:rPr>
          <w:sz w:val="20"/>
          <w:szCs w:val="20"/>
          <w:color w:val="auto"/>
        </w:rPr>
      </w:pPr>
    </w:p>
    <w:p>
      <w:pPr>
        <w:ind w:left="660" w:hanging="145"/>
        <w:spacing w:after="0"/>
        <w:tabs>
          <w:tab w:leader="none" w:pos="660" w:val="left"/>
        </w:tabs>
        <w:numPr>
          <w:ilvl w:val="0"/>
          <w:numId w:val="4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NOTICES</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7188200"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75" w:name="page476"/>
    <w:bookmarkEnd w:id="475"/>
    <w:p>
      <w:pPr>
        <w:ind w:right="20"/>
        <w:spacing w:after="0" w:line="283" w:lineRule="auto"/>
        <w:rPr>
          <w:sz w:val="20"/>
          <w:szCs w:val="20"/>
          <w:color w:val="auto"/>
        </w:rPr>
      </w:pPr>
      <w:r>
        <w:rPr>
          <w:rFonts w:ascii="Times New Roman" w:cs="Times New Roman" w:eastAsia="Times New Roman" w:hAnsi="Times New Roman"/>
          <w:sz w:val="14"/>
          <w:szCs w:val="14"/>
          <w:color w:val="auto"/>
        </w:rPr>
        <w:t>have been sent at the opening of business on the next Business Day of the recipient. Bank or Borrower may change its mailing or electronic mail address by giving the other party written notice thereof in accordance with the terms of this Section 9.</w:t>
      </w:r>
    </w:p>
    <w:p>
      <w:pPr>
        <w:sectPr>
          <w:pgSz w:w="11900" w:h="16838" w:orient="portrait"/>
          <w:cols w:equalWidth="0" w:num="1">
            <w:col w:w="11240"/>
          </w:cols>
          <w:pgMar w:left="300" w:top="987" w:right="359" w:bottom="1440" w:gutter="0" w:footer="0" w:header="0"/>
        </w:sectPr>
      </w:pP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If to Borrower: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 Acorn Park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Cambridge, MA 02139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Attn: Chief Financial Officer</w:t>
      </w:r>
    </w:p>
    <w:p>
      <w:pPr>
        <w:spacing w:after="0" w:line="99" w:lineRule="exact"/>
        <w:rPr>
          <w:sz w:val="20"/>
          <w:szCs w:val="20"/>
          <w:color w:val="auto"/>
        </w:rPr>
      </w:pPr>
    </w:p>
    <w:p>
      <w:pPr>
        <w:sectPr>
          <w:pgSz w:w="11900" w:h="16838" w:orient="portrait"/>
          <w:cols w:equalWidth="0" w:num="2">
            <w:col w:w="3280" w:space="720"/>
            <w:col w:w="7240"/>
          </w:cols>
          <w:pgMar w:left="300" w:top="987" w:right="35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3"/>
          <w:szCs w:val="13"/>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Silicon Valley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53 State Street, 28</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Boston, Massachusetts 02109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Lauren Cole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LCole@svb.com</w:t>
      </w:r>
    </w:p>
    <w:p>
      <w:pPr>
        <w:spacing w:after="0" w:line="77" w:lineRule="exact"/>
        <w:rPr>
          <w:sz w:val="20"/>
          <w:szCs w:val="20"/>
          <w:color w:val="auto"/>
        </w:rPr>
      </w:pPr>
    </w:p>
    <w:p>
      <w:pPr>
        <w:sectPr>
          <w:pgSz w:w="11900" w:h="16838" w:orient="portrait"/>
          <w:cols w:equalWidth="0" w:num="2">
            <w:col w:w="3280" w:space="720"/>
            <w:col w:w="7240"/>
          </w:cols>
          <w:pgMar w:left="300" w:top="987" w:right="3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3"/>
          <w:szCs w:val="13"/>
          <w:color w:val="auto"/>
        </w:rPr>
        <w:t>with a copy to (which shall</w:t>
      </w:r>
    </w:p>
    <w:p>
      <w:pPr>
        <w:spacing w:after="0" w:line="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Morrison &amp; Foerster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 02116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David A. Ephraim, Esquire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DEphraim@mofo.com</w:t>
      </w:r>
    </w:p>
    <w:p>
      <w:pPr>
        <w:spacing w:after="0" w:line="190" w:lineRule="exact"/>
        <w:rPr>
          <w:sz w:val="20"/>
          <w:szCs w:val="20"/>
          <w:color w:val="auto"/>
        </w:rPr>
      </w:pPr>
    </w:p>
    <w:p>
      <w:pPr>
        <w:sectPr>
          <w:pgSz w:w="11900" w:h="16838" w:orient="portrait"/>
          <w:cols w:equalWidth="0" w:num="2">
            <w:col w:w="3280" w:space="720"/>
            <w:col w:w="7240"/>
          </w:cols>
          <w:pgMar w:left="300" w:top="987" w:right="359" w:bottom="1440" w:gutter="0" w:footer="0" w:header="0"/>
          <w:type w:val="continuous"/>
        </w:sectPr>
      </w:pPr>
    </w:p>
    <w:p>
      <w:pPr>
        <w:ind w:left="720" w:hanging="205"/>
        <w:spacing w:after="0"/>
        <w:tabs>
          <w:tab w:leader="none" w:pos="720" w:val="left"/>
        </w:tabs>
        <w:numPr>
          <w:ilvl w:val="0"/>
          <w:numId w:val="4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CHOICE OF LAW, VENUE AND JURY TRIAL WAIVER</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Except as otherwise expressly provided in any of the Loan Documents, Massachusetts law governs the Loan Documents without regard to principles of conflicts of law that would require the application of the laws of another jurisdiction. Borrower and Bank each irrevocably and unconditionally submit to the exclusive jurisdiction of the State and Federal courts in Boston, Massachusetts;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144" w:lineRule="exact"/>
        <w:rPr>
          <w:sz w:val="20"/>
          <w:szCs w:val="20"/>
          <w:color w:val="auto"/>
        </w:rPr>
      </w:pPr>
    </w:p>
    <w:p>
      <w:pPr>
        <w:ind w:right="24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THIS WAIVER IS A MATERIAL INDUCEMENT FOR THE PARTIES HERETO TO ENTER INTO THIS AGREEMENT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EACH PARTY HERETO HAS REVIEWED THIS WAIVER WITH ITS COUNSEL.</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Section 10 shall survive the termination of this Agreement and the repayment of all Obligations.</w:t>
      </w:r>
    </w:p>
    <w:p>
      <w:pPr>
        <w:spacing w:after="0" w:line="173" w:lineRule="exact"/>
        <w:rPr>
          <w:sz w:val="20"/>
          <w:szCs w:val="20"/>
          <w:color w:val="auto"/>
        </w:rPr>
      </w:pPr>
    </w:p>
    <w:p>
      <w:pPr>
        <w:ind w:left="720" w:hanging="205"/>
        <w:spacing w:after="0"/>
        <w:tabs>
          <w:tab w:leader="none" w:pos="720" w:val="left"/>
        </w:tabs>
        <w:numPr>
          <w:ilvl w:val="0"/>
          <w:numId w:val="4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GENERAL PROVISIONS</w:t>
      </w:r>
    </w:p>
    <w:p>
      <w:pPr>
        <w:spacing w:after="0" w:line="175" w:lineRule="exact"/>
        <w:rPr>
          <w:sz w:val="20"/>
          <w:szCs w:val="20"/>
          <w:color w:val="auto"/>
        </w:rPr>
      </w:pPr>
    </w:p>
    <w:p>
      <w:pPr>
        <w:ind w:right="14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11.1 Termination Prior to Maturity Date; Survival</w:t>
      </w:r>
      <w:r>
        <w:rPr>
          <w:rFonts w:ascii="Times New Roman" w:cs="Times New Roman" w:eastAsia="Times New Roman" w:hAnsi="Times New Roman"/>
          <w:sz w:val="14"/>
          <w:szCs w:val="14"/>
          <w:color w:val="auto"/>
        </w:rPr>
        <w:t>. All covenants, representations and warranties made in this Agreement shall continue in full force until this Agreement has terminated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475615</wp:posOffset>
            </wp:positionV>
            <wp:extent cx="7188200"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type w:val="continuous"/>
        </w:sectPr>
      </w:pPr>
    </w:p>
    <w:bookmarkStart w:id="476" w:name="page477"/>
    <w:bookmarkEnd w:id="476"/>
    <w:p>
      <w:pPr>
        <w:ind w:right="20" w:firstLine="511"/>
        <w:spacing w:after="0" w:line="262" w:lineRule="auto"/>
        <w:rPr>
          <w:sz w:val="20"/>
          <w:szCs w:val="20"/>
          <w:color w:val="auto"/>
        </w:rPr>
      </w:pPr>
      <w:r>
        <w:rPr>
          <w:rFonts w:ascii="Times New Roman" w:cs="Times New Roman" w:eastAsia="Times New Roman" w:hAnsi="Times New Roman"/>
          <w:sz w:val="14"/>
          <w:szCs w:val="14"/>
          <w:b w:val="1"/>
          <w:bCs w:val="1"/>
          <w:color w:val="auto"/>
        </w:rPr>
        <w:t>11.2 Successors and Assigns</w:t>
      </w:r>
      <w:r>
        <w:rPr>
          <w:rFonts w:ascii="Times New Roman" w:cs="Times New Roman" w:eastAsia="Times New Roman" w:hAnsi="Times New Roman"/>
          <w:sz w:val="14"/>
          <w:szCs w:val="14"/>
          <w:color w:val="auto"/>
        </w:rPr>
        <w:t>. This Agreement binds and is for the benefit of the successors and permitted assigns of each party. Borrower may not assign or transfer this Agreement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11.3 Indemnification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firstLine="1155"/>
        <w:spacing w:after="0" w:line="254" w:lineRule="auto"/>
        <w:tabs>
          <w:tab w:leader="none" w:pos="1341"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Indemnification</w:t>
      </w:r>
      <w:r>
        <w:rPr>
          <w:rFonts w:ascii="Times New Roman" w:cs="Times New Roman" w:eastAsia="Times New Roman" w:hAnsi="Times New Roman"/>
          <w:sz w:val="14"/>
          <w:szCs w:val="14"/>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46" w:lineRule="exact"/>
        <w:rPr>
          <w:rFonts w:ascii="Times New Roman" w:cs="Times New Roman" w:eastAsia="Times New Roman" w:hAnsi="Times New Roman"/>
          <w:sz w:val="14"/>
          <w:szCs w:val="14"/>
          <w:color w:val="auto"/>
        </w:rPr>
      </w:pPr>
    </w:p>
    <w:p>
      <w:pPr>
        <w:ind w:right="80" w:firstLine="1155"/>
        <w:spacing w:after="0" w:line="258" w:lineRule="auto"/>
        <w:tabs>
          <w:tab w:leader="none" w:pos="1349"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Consequential Damages, Etc.</w:t>
      </w:r>
      <w:r>
        <w:rPr>
          <w:rFonts w:ascii="Times New Roman" w:cs="Times New Roman" w:eastAsia="Times New Roman" w:hAnsi="Times New Roman"/>
          <w:sz w:val="14"/>
          <w:szCs w:val="14"/>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4"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11.4 Time of Essence</w:t>
      </w:r>
      <w:r>
        <w:rPr>
          <w:rFonts w:ascii="Times New Roman" w:cs="Times New Roman" w:eastAsia="Times New Roman" w:hAnsi="Times New Roman"/>
          <w:sz w:val="14"/>
          <w:szCs w:val="14"/>
          <w:color w:val="auto"/>
        </w:rPr>
        <w:t>. Time is of the essence for the performance of all Obligations in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11.5 Severability of Provisions</w:t>
      </w:r>
      <w:r>
        <w:rPr>
          <w:rFonts w:ascii="Times New Roman" w:cs="Times New Roman" w:eastAsia="Times New Roman" w:hAnsi="Times New Roman"/>
          <w:sz w:val="14"/>
          <w:szCs w:val="14"/>
          <w:color w:val="auto"/>
        </w:rPr>
        <w:t>. Each provision of this Agreement is severable from every other provision in determining the enforceability of any provision.</w:t>
      </w:r>
    </w:p>
    <w:p>
      <w:pPr>
        <w:spacing w:after="0" w:line="175"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11.6 Amendments in Writing; Waiver; Integration</w:t>
      </w:r>
      <w:r>
        <w:rPr>
          <w:rFonts w:ascii="Times New Roman" w:cs="Times New Roman" w:eastAsia="Times New Roman" w:hAnsi="Times New Roman"/>
          <w:sz w:val="14"/>
          <w:szCs w:val="14"/>
          <w:color w:val="auto"/>
        </w:rPr>
        <w:t>. No purported amendment or modification of any Loan Document, or waiver, discharge or termination of any obligation under any Loan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43" w:lineRule="exact"/>
        <w:rPr>
          <w:sz w:val="20"/>
          <w:szCs w:val="20"/>
          <w:color w:val="auto"/>
        </w:rPr>
      </w:pPr>
    </w:p>
    <w:p>
      <w:pPr>
        <w:ind w:right="3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11.7 Counterparts</w:t>
      </w:r>
      <w:r>
        <w:rPr>
          <w:rFonts w:ascii="Times New Roman" w:cs="Times New Roman" w:eastAsia="Times New Roman" w:hAnsi="Times New Roman"/>
          <w:sz w:val="14"/>
          <w:szCs w:val="14"/>
          <w:color w:val="auto"/>
        </w:rPr>
        <w:t>. This Agreement may be executed in any number of counterparts and by different parties on separate counterparts, each of which, when executed and delivered, is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and all taken together, constitute one Agreement. Delivery of an executed signature page of this Agreement by electronic mail transmission shall be effective as delivery of a manually executed counterpart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477" w:name="page478"/>
    <w:bookmarkEnd w:id="477"/>
    <w:p>
      <w:pPr>
        <w:ind w:right="60" w:firstLine="515"/>
        <w:spacing w:after="0" w:line="254" w:lineRule="auto"/>
        <w:rPr>
          <w:sz w:val="20"/>
          <w:szCs w:val="20"/>
          <w:color w:val="auto"/>
        </w:rPr>
      </w:pPr>
      <w:r>
        <w:rPr>
          <w:rFonts w:ascii="Times New Roman" w:cs="Times New Roman" w:eastAsia="Times New Roman" w:hAnsi="Times New Roman"/>
          <w:sz w:val="14"/>
          <w:szCs w:val="14"/>
          <w:b w:val="1"/>
          <w:bCs w:val="1"/>
          <w:color w:val="auto"/>
        </w:rPr>
        <w:t>11.8 Confidentiality</w:t>
      </w:r>
      <w:r>
        <w:rPr>
          <w:rFonts w:ascii="Times New Roman" w:cs="Times New Roman" w:eastAsia="Times New Roman" w:hAnsi="Times New Roman"/>
          <w:sz w:val="14"/>
          <w:szCs w:val="14"/>
          <w:color w:val="auto"/>
        </w:rPr>
        <w:t>. Bank agrees to maintain the confidentiality of Information (as defined below), except that Information may be disclosed (a) to Bank’s Subsidiaries and Affiliates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respective employees, directors, agents, attorneys, accountants and other professional advisors (collectively,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and, together with Bank, collectively, “</w:t>
      </w:r>
      <w:r>
        <w:rPr>
          <w:rFonts w:ascii="Times New Roman" w:cs="Times New Roman" w:eastAsia="Times New Roman" w:hAnsi="Times New Roman"/>
          <w:sz w:val="14"/>
          <w:szCs w:val="14"/>
          <w:b w:val="1"/>
          <w:bCs w:val="1"/>
          <w:color w:val="auto"/>
        </w:rPr>
        <w:t>Bank Entities</w:t>
      </w:r>
      <w:r>
        <w:rPr>
          <w:rFonts w:ascii="Times New Roman" w:cs="Times New Roman" w:eastAsia="Times New Roman" w:hAnsi="Times New Roman"/>
          <w:sz w:val="14"/>
          <w:szCs w:val="14"/>
          <w:color w:val="auto"/>
        </w:rPr>
        <w:t>”); (b) to prospective transferees, assignees, credit providers or purchasers of Bank’s interests under or in connection with this Agreement and their Representatives (provided, however, that any prospective transferee or purchaser shall have entered into an agreement containing provisions substantially the same as those in this Section 11.8);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4"/>
          <w:szCs w:val="14"/>
          <w:b w:val="1"/>
          <w:bCs w:val="1"/>
          <w:color w:val="auto"/>
        </w:rPr>
        <w:t>Information</w:t>
      </w:r>
      <w:r>
        <w:rPr>
          <w:rFonts w:ascii="Times New Roman" w:cs="Times New Roman" w:eastAsia="Times New Roman" w:hAnsi="Times New Roman"/>
          <w:sz w:val="14"/>
          <w:szCs w:val="14"/>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46" w:lineRule="exact"/>
        <w:rPr>
          <w:sz w:val="20"/>
          <w:szCs w:val="20"/>
          <w:color w:val="auto"/>
        </w:rPr>
      </w:pPr>
    </w:p>
    <w:p>
      <w:pPr>
        <w:ind w:right="240" w:firstLine="511"/>
        <w:spacing w:after="0" w:line="257" w:lineRule="auto"/>
        <w:rPr>
          <w:sz w:val="20"/>
          <w:szCs w:val="20"/>
          <w:color w:val="auto"/>
        </w:rPr>
      </w:pPr>
      <w:r>
        <w:rPr>
          <w:rFonts w:ascii="Times New Roman" w:cs="Times New Roman" w:eastAsia="Times New Roman" w:hAnsi="Times New Roman"/>
          <w:sz w:val="14"/>
          <w:szCs w:val="14"/>
          <w:b w:val="1"/>
          <w:bCs w:val="1"/>
          <w:color w:val="auto"/>
        </w:rPr>
        <w:t>11.9 Electronic Execution of Documents</w:t>
      </w:r>
      <w:r>
        <w:rPr>
          <w:rFonts w:ascii="Times New Roman" w:cs="Times New Roman" w:eastAsia="Times New Roman" w:hAnsi="Times New Roman"/>
          <w:sz w:val="14"/>
          <w:szCs w:val="14"/>
          <w:color w:val="auto"/>
        </w:rPr>
        <w:t>. The words “execution,” “signed,” “signature” and words of like import in any Loan Document shall be deemed to include electronic signatures,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any Electronic Signature as defined in the Electronic Transactions Law (2003 Revision) of the Cayman Islands (the “</w:t>
      </w:r>
      <w:r>
        <w:rPr>
          <w:rFonts w:ascii="Times New Roman" w:cs="Times New Roman" w:eastAsia="Times New Roman" w:hAnsi="Times New Roman"/>
          <w:sz w:val="14"/>
          <w:szCs w:val="14"/>
          <w:b w:val="1"/>
          <w:bCs w:val="1"/>
          <w:color w:val="auto"/>
        </w:rPr>
        <w:t>Cayman Islands Electronic Signature Law</w:t>
      </w:r>
      <w:r>
        <w:rPr>
          <w:rFonts w:ascii="Times New Roman" w:cs="Times New Roman" w:eastAsia="Times New Roman" w:hAnsi="Times New Roman"/>
          <w:sz w:val="14"/>
          <w:szCs w:val="14"/>
          <w:color w:val="auto"/>
        </w:rPr>
        <w:t>”),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provided, however that sections 8 and 19(3) of the Cayman Islands Electronic Signature Law shall not apply to this Agreement or the execution or delivery thereof.</w:t>
      </w:r>
    </w:p>
    <w:p>
      <w:pPr>
        <w:spacing w:after="0" w:line="14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b w:val="1"/>
          <w:bCs w:val="1"/>
          <w:color w:val="auto"/>
        </w:rPr>
        <w:t>11.10 Right of Setoff</w:t>
      </w:r>
      <w:r>
        <w:rPr>
          <w:rFonts w:ascii="Times New Roman" w:cs="Times New Roman" w:eastAsia="Times New Roman" w:hAnsi="Times New Roman"/>
          <w:sz w:val="14"/>
          <w:szCs w:val="14"/>
          <w:color w:val="auto"/>
        </w:rPr>
        <w:t>. Borrower hereby grants to Bank a Lien and a right of setoff as security for all Obligations to Bank, whether now existing or hereafter arising upon and against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44"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11.11 Captions and Section References</w:t>
      </w:r>
      <w:r>
        <w:rPr>
          <w:rFonts w:ascii="Times New Roman" w:cs="Times New Roman" w:eastAsia="Times New Roman" w:hAnsi="Times New Roman"/>
          <w:sz w:val="14"/>
          <w:szCs w:val="14"/>
          <w:color w:val="auto"/>
        </w:rPr>
        <w:t>. The headings used in this Agreement are for convenience only and shall not affect the interpretation of this Agreement. Unless indicated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references herein are to sections of this Agreement.</w:t>
      </w:r>
    </w:p>
    <w:p>
      <w:pPr>
        <w:spacing w:after="0" w:line="121"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11.12 Construction of Agreement</w:t>
      </w:r>
      <w:r>
        <w:rPr>
          <w:rFonts w:ascii="Times New Roman" w:cs="Times New Roman" w:eastAsia="Times New Roman" w:hAnsi="Times New Roman"/>
          <w:sz w:val="14"/>
          <w:szCs w:val="14"/>
          <w:color w:val="auto"/>
        </w:rPr>
        <w:t>. The parties hereto mutually acknowledge that they and their attorneys have participated in the preparation and negotiation of this Agreement. In cases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uncertainty this Agreement shall be construed without regard to which of the parties caused the uncertainty to exist.</w:t>
      </w:r>
    </w:p>
    <w:p>
      <w:pPr>
        <w:spacing w:after="0" w:line="121" w:lineRule="exact"/>
        <w:rPr>
          <w:sz w:val="20"/>
          <w:szCs w:val="20"/>
          <w:color w:val="auto"/>
        </w:rPr>
      </w:pPr>
    </w:p>
    <w:p>
      <w:pPr>
        <w:ind w:right="2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11.13 Relationship</w:t>
      </w:r>
      <w:r>
        <w:rPr>
          <w:rFonts w:ascii="Times New Roman" w:cs="Times New Roman" w:eastAsia="Times New Roman" w:hAnsi="Times New Roman"/>
          <w:sz w:val="14"/>
          <w:szCs w:val="14"/>
          <w:color w:val="auto"/>
        </w:rPr>
        <w:t>. The relationship of the parties to this Agreement is determined solely by the provisions of this Agreement. The parties do not intend to create any agency, partnership,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joint venture, trust, fiduciary or other relationship with duties or incidents different from those of parties to an arm’s-length contract.</w:t>
      </w:r>
    </w:p>
    <w:p>
      <w:pPr>
        <w:spacing w:after="0" w:line="121" w:lineRule="exact"/>
        <w:rPr>
          <w:sz w:val="20"/>
          <w:szCs w:val="20"/>
          <w:color w:val="auto"/>
        </w:rPr>
      </w:pPr>
    </w:p>
    <w:p>
      <w:pPr>
        <w:jc w:val="both"/>
        <w:ind w:right="180" w:firstLine="515"/>
        <w:spacing w:after="0" w:line="268" w:lineRule="auto"/>
        <w:rPr>
          <w:sz w:val="20"/>
          <w:szCs w:val="20"/>
          <w:color w:val="auto"/>
        </w:rPr>
      </w:pPr>
      <w:r>
        <w:rPr>
          <w:rFonts w:ascii="Times New Roman" w:cs="Times New Roman" w:eastAsia="Times New Roman" w:hAnsi="Times New Roman"/>
          <w:sz w:val="14"/>
          <w:szCs w:val="14"/>
          <w:b w:val="1"/>
          <w:bCs w:val="1"/>
          <w:color w:val="auto"/>
        </w:rPr>
        <w:t>11.14 Third Parties</w:t>
      </w:r>
      <w:r>
        <w:rPr>
          <w:rFonts w:ascii="Times New Roman" w:cs="Times New Roman" w:eastAsia="Times New Roman" w:hAnsi="Times New Roman"/>
          <w:sz w:val="14"/>
          <w:szCs w:val="14"/>
          <w:color w:val="auto"/>
        </w:rPr>
        <w:t>. Nothing in this Agreement, whether express or implied, is intended to: (a) confer any benefits, rights or remedies under or by reason of this Agreement on any Persons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33" w:lineRule="exact"/>
        <w:rPr>
          <w:sz w:val="20"/>
          <w:szCs w:val="20"/>
          <w:color w:val="auto"/>
        </w:rPr>
      </w:pPr>
    </w:p>
    <w:p>
      <w:pPr>
        <w:ind w:right="32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11.15 Anti-Terrorism Law</w:t>
      </w:r>
      <w:r>
        <w:rPr>
          <w:rFonts w:ascii="Times New Roman" w:cs="Times New Roman" w:eastAsia="Times New Roman" w:hAnsi="Times New Roman"/>
          <w:sz w:val="14"/>
          <w:szCs w:val="14"/>
          <w:color w:val="auto"/>
        </w:rPr>
        <w:t>. Bank hereby notifies Borrower that, pursuant to the requirements of Anti-Terrorism Law, Bank may be required to obtain, verify and record information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469900</wp:posOffset>
            </wp:positionV>
            <wp:extent cx="7188200"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478" w:name="page479"/>
    <w:bookmarkEnd w:id="478"/>
    <w:p>
      <w:pPr>
        <w:ind w:left="720" w:hanging="205"/>
        <w:spacing w:after="0"/>
        <w:tabs>
          <w:tab w:leader="none" w:pos="720" w:val="left"/>
        </w:tabs>
        <w:numPr>
          <w:ilvl w:val="0"/>
          <w:numId w:val="4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ACCOUNTING TERMS AND OTHER DEFINITIONS</w:t>
      </w:r>
    </w:p>
    <w:p>
      <w:pPr>
        <w:spacing w:after="0" w:line="175"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12.1 Accounting and Other Terms</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b w:val="1"/>
          <w:bCs w:val="1"/>
          <w:color w:val="auto"/>
        </w:rPr>
      </w:pPr>
    </w:p>
    <w:p>
      <w:pPr>
        <w:ind w:firstLine="1155"/>
        <w:spacing w:after="0" w:line="257" w:lineRule="auto"/>
        <w:tabs>
          <w:tab w:leader="none" w:pos="1341"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43" w:lineRule="exact"/>
        <w:rPr>
          <w:rFonts w:ascii="Times New Roman" w:cs="Times New Roman" w:eastAsia="Times New Roman" w:hAnsi="Times New Roman"/>
          <w:sz w:val="14"/>
          <w:szCs w:val="14"/>
          <w:color w:val="auto"/>
        </w:rPr>
      </w:pPr>
    </w:p>
    <w:p>
      <w:pPr>
        <w:ind w:right="100" w:firstLine="1155"/>
        <w:spacing w:after="0" w:line="261" w:lineRule="auto"/>
        <w:tabs>
          <w:tab w:leader="none" w:pos="1349"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12.2 Definitions</w:t>
      </w:r>
      <w:r>
        <w:rPr>
          <w:rFonts w:ascii="Times New Roman" w:cs="Times New Roman" w:eastAsia="Times New Roman" w:hAnsi="Times New Roman"/>
          <w:sz w:val="14"/>
          <w:szCs w:val="14"/>
          <w:color w:val="auto"/>
        </w:rPr>
        <w:t>. Capitalized terms not otherwise defined in this Agreement shall have the meanings set forth in this Section 12.2. All other terms contained in this Agreement, unless</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otherwise indicated, shall have the meaning provided by the Code to the extent such terms are defined therein. As used in this Agreement, the following capitalized terms have the following meanings:</w:t>
      </w:r>
    </w:p>
    <w:p>
      <w:pPr>
        <w:spacing w:after="0" w:line="159"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w:t>
      </w:r>
      <w:r>
        <w:rPr>
          <w:rFonts w:ascii="Times New Roman" w:cs="Times New Roman" w:eastAsia="Times New Roman" w:hAnsi="Times New Roman"/>
          <w:sz w:val="14"/>
          <w:szCs w:val="14"/>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 Debtor</w:t>
      </w:r>
      <w:r>
        <w:rPr>
          <w:rFonts w:ascii="Times New Roman" w:cs="Times New Roman" w:eastAsia="Times New Roman" w:hAnsi="Times New Roman"/>
          <w:sz w:val="14"/>
          <w:szCs w:val="14"/>
          <w:color w:val="auto"/>
        </w:rPr>
        <w:t>” is any “account debtor” as defined in the Code with such additions to such term as may hereafter be made.</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defined in the preamble hereof.</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Anti-Terrorism Law</w:t>
      </w:r>
      <w:r>
        <w:rPr>
          <w:rFonts w:ascii="Times New Roman" w:cs="Times New Roman" w:eastAsia="Times New Roman" w:hAnsi="Times New Roman"/>
          <w:sz w:val="14"/>
          <w:szCs w:val="14"/>
          <w:color w:val="auto"/>
        </w:rPr>
        <w:t>” means any law relating to terrorism or money-laundering, including Executive Order No. 13224 and the USA Patriot Act.</w:t>
      </w:r>
    </w:p>
    <w:p>
      <w:pPr>
        <w:spacing w:after="0" w:line="175"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4"/>
          <w:szCs w:val="14"/>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21"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Authorized Signer</w:t>
      </w:r>
      <w:r>
        <w:rPr>
          <w:rFonts w:ascii="Times New Roman" w:cs="Times New Roman" w:eastAsia="Times New Roman" w:hAnsi="Times New Roman"/>
          <w:sz w:val="14"/>
          <w:szCs w:val="14"/>
          <w:color w:val="auto"/>
        </w:rPr>
        <w:t>” means any individual listed in Borrower’s Borrowing Resolution who is authorized to execute the Loan Documents, including making (and executing if applicable) any Credit Extension request, on behalf of Borrower.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is defined in the preamble hereof.</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Entities</w:t>
      </w:r>
      <w:r>
        <w:rPr>
          <w:rFonts w:ascii="Times New Roman" w:cs="Times New Roman" w:eastAsia="Times New Roman" w:hAnsi="Times New Roman"/>
          <w:sz w:val="14"/>
          <w:szCs w:val="14"/>
          <w:color w:val="auto"/>
        </w:rPr>
        <w:t>” is defined in Section 11.8.</w:t>
      </w:r>
    </w:p>
    <w:p>
      <w:pPr>
        <w:spacing w:after="0" w:line="175" w:lineRule="exact"/>
        <w:rPr>
          <w:sz w:val="20"/>
          <w:szCs w:val="20"/>
          <w:color w:val="auto"/>
        </w:rPr>
      </w:pPr>
    </w:p>
    <w:p>
      <w:pPr>
        <w:jc w:val="both"/>
        <w:ind w:right="12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Expenses</w:t>
      </w:r>
      <w:r>
        <w:rPr>
          <w:rFonts w:ascii="Times New Roman" w:cs="Times New Roman" w:eastAsia="Times New Roman" w:hAnsi="Times New Roman"/>
          <w:sz w:val="14"/>
          <w:szCs w:val="14"/>
          <w:color w:val="auto"/>
        </w:rPr>
        <w:t>” are all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33" w:lineRule="exact"/>
        <w:rPr>
          <w:sz w:val="20"/>
          <w:szCs w:val="20"/>
          <w:color w:val="auto"/>
        </w:rPr>
      </w:pPr>
    </w:p>
    <w:p>
      <w:pPr>
        <w:ind w:right="3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Services</w:t>
      </w:r>
      <w:r>
        <w:rPr>
          <w:rFonts w:ascii="Times New Roman" w:cs="Times New Roman" w:eastAsia="Times New Roman" w:hAnsi="Times New Roman"/>
          <w:sz w:val="14"/>
          <w:szCs w:val="14"/>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461645</wp:posOffset>
            </wp:positionV>
            <wp:extent cx="7188200"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79" w:name="page480"/>
    <w:bookmarkEnd w:id="479"/>
    <w:p>
      <w:pPr>
        <w:ind w:right="420"/>
        <w:spacing w:after="0" w:line="286" w:lineRule="auto"/>
        <w:rPr>
          <w:sz w:val="20"/>
          <w:szCs w:val="20"/>
          <w:color w:val="auto"/>
        </w:rPr>
      </w:pPr>
      <w:r>
        <w:rPr>
          <w:rFonts w:ascii="Times New Roman" w:cs="Times New Roman" w:eastAsia="Times New Roman" w:hAnsi="Times New Roman"/>
          <w:sz w:val="14"/>
          <w:szCs w:val="14"/>
          <w:color w:val="auto"/>
        </w:rPr>
        <w:t>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Services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 Services Agreement</w:t>
      </w:r>
      <w:r>
        <w:rPr>
          <w:rFonts w:ascii="Times New Roman" w:cs="Times New Roman" w:eastAsia="Times New Roman" w:hAnsi="Times New Roman"/>
          <w:sz w:val="14"/>
          <w:szCs w:val="14"/>
          <w:color w:val="auto"/>
        </w:rPr>
        <w:t>” is defined in the definition of Bank Services.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is Borrower’s board of directors or equivalent governing body.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Borrower’s Books</w:t>
      </w:r>
      <w:r>
        <w:rPr>
          <w:rFonts w:ascii="Times New Roman" w:cs="Times New Roman" w:eastAsia="Times New Roman" w:hAnsi="Times New Roman"/>
          <w:sz w:val="14"/>
          <w:szCs w:val="14"/>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21" w:lineRule="exact"/>
        <w:rPr>
          <w:sz w:val="20"/>
          <w:szCs w:val="20"/>
          <w:color w:val="auto"/>
        </w:rPr>
      </w:pPr>
    </w:p>
    <w:p>
      <w:pPr>
        <w:ind w:right="140"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Borrowing Resolutions</w:t>
      </w:r>
      <w:r>
        <w:rPr>
          <w:rFonts w:ascii="Times New Roman" w:cs="Times New Roman" w:eastAsia="Times New Roman" w:hAnsi="Times New Roman"/>
          <w:sz w:val="14"/>
          <w:szCs w:val="14"/>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w:t>
      </w:r>
    </w:p>
    <w:p>
      <w:pPr>
        <w:ind w:right="40" w:firstLine="4"/>
        <w:spacing w:after="0" w:line="254" w:lineRule="auto"/>
        <w:tabs>
          <w:tab w:leader="none" w:pos="198"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is a day other than a Saturday, Sunday or other day on which commercial banks in the State of California are authorized or required by law to close.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4"/>
          <w:szCs w:val="14"/>
          <w:color w:val="auto"/>
        </w:rPr>
        <w:t>” are (a) marketable direct obligations issued or unconditionally guaranteed by the United States or any agency or any State thereof having maturities of not more than one</w:t>
      </w:r>
    </w:p>
    <w:p>
      <w:pPr>
        <w:spacing w:after="0" w:line="24" w:lineRule="exact"/>
        <w:rPr>
          <w:sz w:val="20"/>
          <w:szCs w:val="20"/>
          <w:color w:val="auto"/>
        </w:rPr>
      </w:pPr>
    </w:p>
    <w:p>
      <w:pPr>
        <w:ind w:right="40" w:firstLine="4"/>
        <w:spacing w:after="0" w:line="256" w:lineRule="auto"/>
        <w:tabs>
          <w:tab w:leader="none" w:pos="198"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95.0% of the assets of which constitute Cash Equivalents of the kinds described in clauses (a) through (c) of this definition.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Cayman Islands Electronic Signature Law</w:t>
      </w:r>
      <w:r>
        <w:rPr>
          <w:rFonts w:ascii="Times New Roman" w:cs="Times New Roman" w:eastAsia="Times New Roman" w:hAnsi="Times New Roman"/>
          <w:sz w:val="14"/>
          <w:szCs w:val="14"/>
          <w:color w:val="auto"/>
        </w:rPr>
        <w:t>” is defined in Section 11.9.</w:t>
      </w:r>
    </w:p>
    <w:p>
      <w:pPr>
        <w:spacing w:after="0" w:line="175"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46"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Law</w:t>
      </w:r>
      <w:r>
        <w:rPr>
          <w:rFonts w:ascii="Times New Roman" w:cs="Times New Roman" w:eastAsia="Times New Roman" w:hAnsi="Times New Roman"/>
          <w:sz w:val="14"/>
          <w:szCs w:val="14"/>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472440</wp:posOffset>
            </wp:positionV>
            <wp:extent cx="7188200"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480" w:name="page481"/>
    <w:bookmarkEnd w:id="480"/>
    <w:p>
      <w:pPr>
        <w:ind w:right="40"/>
        <w:spacing w:after="0" w:line="283" w:lineRule="auto"/>
        <w:rPr>
          <w:sz w:val="20"/>
          <w:szCs w:val="20"/>
          <w:color w:val="auto"/>
        </w:rPr>
      </w:pPr>
      <w:r>
        <w:rPr>
          <w:rFonts w:ascii="Times New Roman" w:cs="Times New Roman" w:eastAsia="Times New Roman" w:hAnsi="Times New Roman"/>
          <w:sz w:val="14"/>
          <w:szCs w:val="14"/>
          <w:color w:val="auto"/>
        </w:rPr>
        <w:t>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is defined in Section 11.3.</w:t>
      </w:r>
    </w:p>
    <w:p>
      <w:pPr>
        <w:spacing w:after="0" w:line="175"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Collateral</w:t>
      </w:r>
      <w:r>
        <w:rPr>
          <w:rFonts w:ascii="Times New Roman" w:cs="Times New Roman" w:eastAsia="Times New Roman" w:hAnsi="Times New Roman"/>
          <w:sz w:val="14"/>
          <w:szCs w:val="14"/>
          <w:color w:val="auto"/>
        </w:rPr>
        <w:t>” consists of all of Borrower’s right, title and interest in and to the following personal property:</w:t>
      </w:r>
    </w:p>
    <w:p>
      <w:pPr>
        <w:spacing w:after="0" w:line="177" w:lineRule="exact"/>
        <w:rPr>
          <w:sz w:val="20"/>
          <w:szCs w:val="20"/>
          <w:color w:val="auto"/>
        </w:rPr>
      </w:pPr>
    </w:p>
    <w:p>
      <w:pPr>
        <w:ind w:right="60" w:firstLine="1155"/>
        <w:spacing w:after="0" w:line="257" w:lineRule="auto"/>
        <w:tabs>
          <w:tab w:leader="none" w:pos="1341"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3" w:lineRule="exact"/>
        <w:rPr>
          <w:rFonts w:ascii="Times New Roman" w:cs="Times New Roman" w:eastAsia="Times New Roman" w:hAnsi="Times New Roman"/>
          <w:sz w:val="14"/>
          <w:szCs w:val="14"/>
          <w:color w:val="auto"/>
        </w:rPr>
      </w:pPr>
    </w:p>
    <w:p>
      <w:pPr>
        <w:ind w:right="20" w:firstLine="1155"/>
        <w:spacing w:after="0" w:line="261" w:lineRule="auto"/>
        <w:tabs>
          <w:tab w:leader="none" w:pos="1349"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40"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a certain negative pledge arrangement with Bank, Borrower has agreed not to encumber any of its Intellectual Property without Bank’s prior written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Collateral Account</w:t>
      </w:r>
      <w:r>
        <w:rPr>
          <w:rFonts w:ascii="Times New Roman" w:cs="Times New Roman" w:eastAsia="Times New Roman" w:hAnsi="Times New Roman"/>
          <w:sz w:val="14"/>
          <w:szCs w:val="14"/>
          <w:color w:val="auto"/>
        </w:rPr>
        <w:t>” is any Deposit Account, Securities Account, or Commodity Account.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Commodity Account</w:t>
      </w:r>
      <w:r>
        <w:rPr>
          <w:rFonts w:ascii="Times New Roman" w:cs="Times New Roman" w:eastAsia="Times New Roman" w:hAnsi="Times New Roman"/>
          <w:sz w:val="14"/>
          <w:szCs w:val="14"/>
          <w:color w:val="auto"/>
        </w:rPr>
        <w:t>” is any “commodity account” as defined in the Code with such additions to such term as may hereafter be made.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Compliance Statement</w:t>
      </w:r>
      <w:r>
        <w:rPr>
          <w:rFonts w:ascii="Times New Roman" w:cs="Times New Roman" w:eastAsia="Times New Roman" w:hAnsi="Times New Roman"/>
          <w:sz w:val="14"/>
          <w:szCs w:val="14"/>
          <w:color w:val="auto"/>
        </w:rPr>
        <w:t>” is that certain statement in the form attached hereto as Exhibit A.</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Connection Income Taxes</w:t>
      </w:r>
      <w:r>
        <w:rPr>
          <w:rFonts w:ascii="Times New Roman" w:cs="Times New Roman" w:eastAsia="Times New Roman" w:hAnsi="Times New Roman"/>
          <w:sz w:val="14"/>
          <w:szCs w:val="14"/>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Contingent Obligation</w:t>
      </w:r>
      <w:r>
        <w:rPr>
          <w:rFonts w:ascii="Times New Roman" w:cs="Times New Roman" w:eastAsia="Times New Roman" w:hAnsi="Times New Roman"/>
          <w:sz w:val="14"/>
          <w:szCs w:val="14"/>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476250</wp:posOffset>
            </wp:positionV>
            <wp:extent cx="7188200"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481" w:name="page482"/>
    <w:bookmarkEnd w:id="481"/>
    <w:p>
      <w:pPr>
        <w:jc w:val="both"/>
        <w:ind w:right="24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 Agreement</w:t>
      </w:r>
      <w:r>
        <w:rPr>
          <w:rFonts w:ascii="Times New Roman" w:cs="Times New Roman" w:eastAsia="Times New Roman" w:hAnsi="Times New Roman"/>
          <w:sz w:val="14"/>
          <w:szCs w:val="14"/>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33"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Copyrights</w:t>
      </w:r>
      <w:r>
        <w:rPr>
          <w:rFonts w:ascii="Times New Roman" w:cs="Times New Roman" w:eastAsia="Times New Roman" w:hAnsi="Times New Roman"/>
          <w:sz w:val="14"/>
          <w:szCs w:val="14"/>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Extension</w:t>
      </w:r>
      <w:r>
        <w:rPr>
          <w:rFonts w:ascii="Times New Roman" w:cs="Times New Roman" w:eastAsia="Times New Roman" w:hAnsi="Times New Roman"/>
          <w:sz w:val="14"/>
          <w:szCs w:val="14"/>
          <w:color w:val="auto"/>
        </w:rPr>
        <w:t>” is any FX Contract, Term Loan Advance, or any other extension of credit by Bank for Borrower’s benefit.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Currency</w:t>
      </w:r>
      <w:r>
        <w:rPr>
          <w:rFonts w:ascii="Times New Roman" w:cs="Times New Roman" w:eastAsia="Times New Roman" w:hAnsi="Times New Roman"/>
          <w:sz w:val="14"/>
          <w:szCs w:val="14"/>
          <w:color w:val="auto"/>
        </w:rPr>
        <w:t>” is coined money and such other banknotes or other paper money as are authorized by law and circulate as a medium of exchange.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w:t>
      </w:r>
      <w:r>
        <w:rPr>
          <w:rFonts w:ascii="Times New Roman" w:cs="Times New Roman" w:eastAsia="Times New Roman" w:hAnsi="Times New Roman"/>
          <w:sz w:val="14"/>
          <w:szCs w:val="14"/>
          <w:color w:val="auto"/>
        </w:rPr>
        <w:t>” means any event which with notice or passage of time or both, would constitute an Event of Default.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 Rate</w:t>
      </w:r>
      <w:r>
        <w:rPr>
          <w:rFonts w:ascii="Times New Roman" w:cs="Times New Roman" w:eastAsia="Times New Roman" w:hAnsi="Times New Roman"/>
          <w:sz w:val="14"/>
          <w:szCs w:val="14"/>
          <w:color w:val="auto"/>
        </w:rPr>
        <w:t>” is defined in Section 1.2(c).</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 Account</w:t>
      </w:r>
      <w:r>
        <w:rPr>
          <w:rFonts w:ascii="Times New Roman" w:cs="Times New Roman" w:eastAsia="Times New Roman" w:hAnsi="Times New Roman"/>
          <w:sz w:val="14"/>
          <w:szCs w:val="14"/>
          <w:color w:val="auto"/>
        </w:rPr>
        <w:t>” is any “</w:t>
      </w:r>
      <w:r>
        <w:rPr>
          <w:rFonts w:ascii="Times New Roman" w:cs="Times New Roman" w:eastAsia="Times New Roman" w:hAnsi="Times New Roman"/>
          <w:sz w:val="14"/>
          <w:szCs w:val="14"/>
          <w:b w:val="1"/>
          <w:bCs w:val="1"/>
          <w:color w:val="auto"/>
        </w:rPr>
        <w:t>deposit account</w:t>
      </w:r>
      <w:r>
        <w:rPr>
          <w:rFonts w:ascii="Times New Roman" w:cs="Times New Roman" w:eastAsia="Times New Roman" w:hAnsi="Times New Roman"/>
          <w:sz w:val="14"/>
          <w:szCs w:val="14"/>
          <w:color w:val="auto"/>
        </w:rPr>
        <w:t>” as defined in the Code with such additions to such term as may hereafter be made.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Designated Deposit Account</w:t>
      </w:r>
      <w:r>
        <w:rPr>
          <w:rFonts w:ascii="Times New Roman" w:cs="Times New Roman" w:eastAsia="Times New Roman" w:hAnsi="Times New Roman"/>
          <w:sz w:val="14"/>
          <w:szCs w:val="14"/>
          <w:color w:val="auto"/>
        </w:rPr>
        <w:t>” is the deposit account established by Borrower with Bank for purposes of receiving Credit Extensions.</w:t>
      </w:r>
    </w:p>
    <w:p>
      <w:pPr>
        <w:spacing w:after="0" w:line="175" w:lineRule="exact"/>
        <w:rPr>
          <w:sz w:val="20"/>
          <w:szCs w:val="20"/>
          <w:color w:val="auto"/>
        </w:rPr>
      </w:pPr>
    </w:p>
    <w:p>
      <w:pPr>
        <w:ind w:right="20"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Division</w:t>
      </w:r>
      <w:r>
        <w:rPr>
          <w:rFonts w:ascii="Times New Roman" w:cs="Times New Roman" w:eastAsia="Times New Roman" w:hAnsi="Times New Roman"/>
          <w:sz w:val="14"/>
          <w:szCs w:val="14"/>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38" w:lineRule="exact"/>
        <w:rPr>
          <w:sz w:val="20"/>
          <w:szCs w:val="20"/>
          <w:color w:val="auto"/>
        </w:rPr>
      </w:pPr>
    </w:p>
    <w:p>
      <w:pPr>
        <w:ind w:right="44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dollars</w:t>
      </w:r>
      <w:r>
        <w:rPr>
          <w:rFonts w:ascii="Times New Roman" w:cs="Times New Roman" w:eastAsia="Times New Roman" w:hAnsi="Times New Roman"/>
          <w:sz w:val="14"/>
          <w:szCs w:val="14"/>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21"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 Equivalent</w:t>
      </w:r>
      <w:r>
        <w:rPr>
          <w:rFonts w:ascii="Times New Roman" w:cs="Times New Roman" w:eastAsia="Times New Roman" w:hAnsi="Times New Roman"/>
          <w:sz w:val="14"/>
          <w:szCs w:val="14"/>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Draw Period</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right="10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33" w:lineRule="exact"/>
        <w:rPr>
          <w:sz w:val="20"/>
          <w:szCs w:val="20"/>
          <w:color w:val="auto"/>
        </w:rPr>
      </w:pPr>
    </w:p>
    <w:p>
      <w:pPr>
        <w:ind w:right="24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Equipment</w:t>
      </w:r>
      <w:r>
        <w:rPr>
          <w:rFonts w:ascii="Times New Roman" w:cs="Times New Roman" w:eastAsia="Times New Roman" w:hAnsi="Times New Roman"/>
          <w:sz w:val="14"/>
          <w:szCs w:val="14"/>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is the Employee Retirement Income Security Act of 1974, as amended, and its regulations.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is defined in Section 7.</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is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482" w:name="page483"/>
    <w:bookmarkEnd w:id="482"/>
    <w:p>
      <w:pPr>
        <w:ind w:firstLine="511"/>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Taxes</w:t>
      </w:r>
      <w:r>
        <w:rPr>
          <w:rFonts w:ascii="Times New Roman" w:cs="Times New Roman" w:eastAsia="Times New Roman" w:hAnsi="Times New Roman"/>
          <w:sz w:val="14"/>
          <w:szCs w:val="14"/>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 (d) any withholding Taxes imposed under FATCA.</w:t>
      </w:r>
    </w:p>
    <w:p>
      <w:pPr>
        <w:spacing w:after="0" w:line="144" w:lineRule="exact"/>
        <w:rPr>
          <w:sz w:val="20"/>
          <w:szCs w:val="20"/>
          <w:color w:val="auto"/>
        </w:rPr>
      </w:pPr>
    </w:p>
    <w:p>
      <w:pPr>
        <w:ind w:right="60" w:firstLine="51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FATCA</w:t>
      </w:r>
      <w:r>
        <w:rPr>
          <w:rFonts w:ascii="Times New Roman" w:cs="Times New Roman" w:eastAsia="Times New Roman" w:hAnsi="Times New Roman"/>
          <w:sz w:val="14"/>
          <w:szCs w:val="14"/>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38" w:lineRule="exact"/>
        <w:rPr>
          <w:sz w:val="20"/>
          <w:szCs w:val="20"/>
          <w:color w:val="auto"/>
        </w:rPr>
      </w:pPr>
    </w:p>
    <w:p>
      <w:pPr>
        <w:ind w:right="10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Payment</w:t>
      </w:r>
      <w:r>
        <w:rPr>
          <w:rFonts w:ascii="Times New Roman" w:cs="Times New Roman" w:eastAsia="Times New Roman" w:hAnsi="Times New Roman"/>
          <w:sz w:val="14"/>
          <w:szCs w:val="14"/>
          <w:color w:val="auto"/>
        </w:rPr>
        <w:t>” is a payment (in addition to and not a substitution for the regular monthly payments of principal plus accrued interest) due on the earliest to occur of (a) the Term Loan Maturity Date, (b) the repayment of the Term Loan Advances in full, (c) as required pursuant to Sections 1.1(c) or 1.1(d), or (d) the termination of this Agreement, in an amount equal to the aggregate principal amount of the Term Loan Advances multiplied by four and one-half of one percent (4.50%).</w:t>
      </w:r>
    </w:p>
    <w:p>
      <w:pPr>
        <w:spacing w:after="0" w:line="133" w:lineRule="exact"/>
        <w:rPr>
          <w:sz w:val="20"/>
          <w:szCs w:val="20"/>
          <w:color w:val="auto"/>
        </w:rPr>
      </w:pPr>
    </w:p>
    <w:p>
      <w:pPr>
        <w:ind w:right="5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Financial Statement Repository</w:t>
      </w:r>
      <w:r>
        <w:rPr>
          <w:rFonts w:ascii="Times New Roman" w:cs="Times New Roman" w:eastAsia="Times New Roman" w:hAnsi="Times New Roman"/>
          <w:sz w:val="14"/>
          <w:szCs w:val="14"/>
          <w:color w:val="auto"/>
        </w:rPr>
        <w:t>” is NECreditSolutions@svb.com or such other means of collecting information approved and designated by Bank after providing notice thereof to Borrower from time to time.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Currency</w:t>
      </w:r>
      <w:r>
        <w:rPr>
          <w:rFonts w:ascii="Times New Roman" w:cs="Times New Roman" w:eastAsia="Times New Roman" w:hAnsi="Times New Roman"/>
          <w:sz w:val="14"/>
          <w:szCs w:val="14"/>
          <w:color w:val="auto"/>
        </w:rPr>
        <w:t>” is the lawful money of a country other than the United States.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Funding Date</w:t>
      </w:r>
      <w:r>
        <w:rPr>
          <w:rFonts w:ascii="Times New Roman" w:cs="Times New Roman" w:eastAsia="Times New Roman" w:hAnsi="Times New Roman"/>
          <w:sz w:val="14"/>
          <w:szCs w:val="14"/>
          <w:color w:val="auto"/>
        </w:rPr>
        <w:t>” is any date on which a Credit Extension is made to or for the account of Borrower which shall be a Business Day.</w:t>
      </w:r>
    </w:p>
    <w:p>
      <w:pPr>
        <w:spacing w:after="0" w:line="175"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FX Contract</w:t>
      </w:r>
      <w:r>
        <w:rPr>
          <w:rFonts w:ascii="Times New Roman" w:cs="Times New Roman" w:eastAsia="Times New Roman" w:hAnsi="Times New Roman"/>
          <w:sz w:val="14"/>
          <w:szCs w:val="14"/>
          <w:color w:val="auto"/>
        </w:rPr>
        <w:t>” is any foreign exchange contract by and between Borrower and Bank under which Borrower commits to purchase from or sell to Bank a specific amount of Foreign Currency at a set price or on a specified date.</w:t>
      </w:r>
    </w:p>
    <w:p>
      <w:pPr>
        <w:spacing w:after="0" w:line="121" w:lineRule="exact"/>
        <w:rPr>
          <w:sz w:val="20"/>
          <w:szCs w:val="20"/>
          <w:color w:val="auto"/>
        </w:rPr>
      </w:pPr>
    </w:p>
    <w:p>
      <w:pPr>
        <w:ind w:right="30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33"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General Intangibles</w:t>
      </w:r>
      <w:r>
        <w:rPr>
          <w:rFonts w:ascii="Times New Roman" w:cs="Times New Roman" w:eastAsia="Times New Roman" w:hAnsi="Times New Roman"/>
          <w:sz w:val="14"/>
          <w:szCs w:val="14"/>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8"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Approval</w:t>
      </w:r>
      <w:r>
        <w:rPr>
          <w:rFonts w:ascii="Times New Roman" w:cs="Times New Roman" w:eastAsia="Times New Roman" w:hAnsi="Times New Roman"/>
          <w:sz w:val="14"/>
          <w:szCs w:val="14"/>
          <w:color w:val="auto"/>
        </w:rPr>
        <w:t>” is any consent, authorization, approval, order, license, franchise, permit, certificate, accreditation, registration, filing or notice, of, issued by, from or to, or other act by or in respect of, any Governmental Authority.</w:t>
      </w:r>
    </w:p>
    <w:p>
      <w:pPr>
        <w:spacing w:after="0" w:line="121"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is any Person providing a Guaranty in favor of Bank. For the avoidance of doubt, as of the Effective Date, there is no Guarantor in connection with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Guaranty</w:t>
      </w:r>
      <w:r>
        <w:rPr>
          <w:rFonts w:ascii="Times New Roman" w:cs="Times New Roman" w:eastAsia="Times New Roman" w:hAnsi="Times New Roman"/>
          <w:sz w:val="14"/>
          <w:szCs w:val="14"/>
          <w:color w:val="auto"/>
        </w:rPr>
        <w:t>” is any guarantee of all or any part of the Obligations, as the same may from time to time be amended, restated, modified or otherwise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83" w:name="page484"/>
    <w:bookmarkEnd w:id="483"/>
    <w:p>
      <w:pPr>
        <w:ind w:right="2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is defined in Section 11.3.</w:t>
      </w:r>
    </w:p>
    <w:p>
      <w:pPr>
        <w:spacing w:after="0" w:line="175" w:lineRule="exact"/>
        <w:rPr>
          <w:sz w:val="20"/>
          <w:szCs w:val="20"/>
          <w:color w:val="auto"/>
        </w:rPr>
      </w:pPr>
    </w:p>
    <w:p>
      <w:pPr>
        <w:ind w:right="5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Taxes</w:t>
      </w:r>
      <w:r>
        <w:rPr>
          <w:rFonts w:ascii="Times New Roman" w:cs="Times New Roman" w:eastAsia="Times New Roman" w:hAnsi="Times New Roman"/>
          <w:sz w:val="14"/>
          <w:szCs w:val="14"/>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Information</w:t>
      </w:r>
      <w:r>
        <w:rPr>
          <w:rFonts w:ascii="Times New Roman" w:cs="Times New Roman" w:eastAsia="Times New Roman" w:hAnsi="Times New Roman"/>
          <w:sz w:val="14"/>
          <w:szCs w:val="14"/>
          <w:color w:val="auto"/>
        </w:rPr>
        <w:t>” is defined in Section 11.8.</w:t>
      </w:r>
    </w:p>
    <w:p>
      <w:pPr>
        <w:spacing w:after="0" w:line="175" w:lineRule="exact"/>
        <w:rPr>
          <w:sz w:val="20"/>
          <w:szCs w:val="20"/>
          <w:color w:val="auto"/>
        </w:rPr>
      </w:pPr>
    </w:p>
    <w:p>
      <w:pPr>
        <w:ind w:right="26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Insolvency Proceeding</w:t>
      </w:r>
      <w:r>
        <w:rPr>
          <w:rFonts w:ascii="Times New Roman" w:cs="Times New Roman" w:eastAsia="Times New Roman" w:hAnsi="Times New Roman"/>
          <w:sz w:val="14"/>
          <w:szCs w:val="14"/>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means, with respect to any Person, all of such Person’s right, title, and interest in and to the following:</w:t>
      </w:r>
    </w:p>
    <w:p>
      <w:pPr>
        <w:spacing w:after="0" w:line="177" w:lineRule="exact"/>
        <w:rPr>
          <w:sz w:val="20"/>
          <w:szCs w:val="20"/>
          <w:color w:val="auto"/>
        </w:rPr>
      </w:pPr>
    </w:p>
    <w:p>
      <w:pPr>
        <w:ind w:left="1340" w:hanging="185"/>
        <w:spacing w:after="0"/>
        <w:tabs>
          <w:tab w:leader="none" w:pos="134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Copyrights, Trademarks and Patents;</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trade secrets and trade secret rights, including, without limitation, any rights to unpatented inventions, know-how and operating manuals;</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source code;</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design rights which may be available to such Person;</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claims for damages by way of past, present and future infringement of any 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with the right, but not the obligation, to sue for and collect such damages for said use or infringement of the Intellectual Property rights identified above; and</w:t>
      </w:r>
    </w:p>
    <w:p>
      <w:pPr>
        <w:spacing w:after="0" w:line="175" w:lineRule="exact"/>
        <w:rPr>
          <w:sz w:val="20"/>
          <w:szCs w:val="20"/>
          <w:color w:val="auto"/>
        </w:rPr>
      </w:pPr>
    </w:p>
    <w:p>
      <w:pPr>
        <w:ind w:left="520" w:right="4800" w:firstLine="635"/>
        <w:spacing w:after="0" w:line="500" w:lineRule="auto"/>
        <w:tabs>
          <w:tab w:leader="none" w:pos="1334"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amendments, renewals and extensions of any of the Copyrights, Trademarks or Patents. “</w:t>
      </w:r>
      <w:r>
        <w:rPr>
          <w:rFonts w:ascii="Times New Roman" w:cs="Times New Roman" w:eastAsia="Times New Roman" w:hAnsi="Times New Roman"/>
          <w:sz w:val="14"/>
          <w:szCs w:val="14"/>
          <w:b w:val="1"/>
          <w:bCs w:val="1"/>
          <w:color w:val="auto"/>
        </w:rPr>
        <w:t>Interest Only Extension Event</w:t>
      </w:r>
      <w:r>
        <w:rPr>
          <w:rFonts w:ascii="Times New Roman" w:cs="Times New Roman" w:eastAsia="Times New Roman" w:hAnsi="Times New Roman"/>
          <w:sz w:val="14"/>
          <w:szCs w:val="14"/>
          <w:color w:val="auto"/>
        </w:rPr>
        <w:t>” is set forth on Schedule I hereto.</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Internal Revenue Code</w:t>
      </w:r>
      <w:r>
        <w:rPr>
          <w:rFonts w:ascii="Times New Roman" w:cs="Times New Roman" w:eastAsia="Times New Roman" w:hAnsi="Times New Roman"/>
          <w:sz w:val="14"/>
          <w:szCs w:val="14"/>
          <w:color w:val="auto"/>
        </w:rPr>
        <w:t>” means the U.S. Internal Revenue Code of 1986, and the rules and regulations promulgated thereunder, each as amended or modified from time to time.</w:t>
      </w:r>
    </w:p>
    <w:p>
      <w:pPr>
        <w:spacing w:after="0" w:line="175" w:lineRule="exact"/>
        <w:rPr>
          <w:sz w:val="20"/>
          <w:szCs w:val="20"/>
          <w:color w:val="auto"/>
        </w:rPr>
      </w:pPr>
    </w:p>
    <w:p>
      <w:pPr>
        <w:ind w:right="4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Inventory</w:t>
      </w:r>
      <w:r>
        <w:rPr>
          <w:rFonts w:ascii="Times New Roman" w:cs="Times New Roman" w:eastAsia="Times New Roman" w:hAnsi="Times New Roman"/>
          <w:sz w:val="14"/>
          <w:szCs w:val="14"/>
          <w:color w:val="auto"/>
        </w:rPr>
        <w:t>” is all “</w:t>
      </w:r>
      <w:r>
        <w:rPr>
          <w:rFonts w:ascii="Times New Roman" w:cs="Times New Roman" w:eastAsia="Times New Roman" w:hAnsi="Times New Roman"/>
          <w:sz w:val="14"/>
          <w:szCs w:val="14"/>
          <w:b w:val="1"/>
          <w:bCs w:val="1"/>
          <w:color w:val="auto"/>
        </w:rPr>
        <w:t>inventory</w:t>
      </w:r>
      <w:r>
        <w:rPr>
          <w:rFonts w:ascii="Times New Roman" w:cs="Times New Roman" w:eastAsia="Times New Roman" w:hAnsi="Times New Roman"/>
          <w:sz w:val="14"/>
          <w:szCs w:val="14"/>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33"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14"/>
          <w:szCs w:val="14"/>
          <w:color w:val="auto"/>
        </w:rPr>
        <w:t>” is any beneficial ownership interest in any Person (including stock, partnership, membership, or other ownership interest or other equity securities), and any loan, advance or capital contribution to any Person.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means Borrower’s initial public offering and sale of its common stock or other common voting equity securities pursuant to an effective registration statement under the Exchange Act.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Key Person</w:t>
      </w:r>
      <w:r>
        <w:rPr>
          <w:rFonts w:ascii="Times New Roman" w:cs="Times New Roman" w:eastAsia="Times New Roman" w:hAnsi="Times New Roman"/>
          <w:sz w:val="14"/>
          <w:szCs w:val="14"/>
          <w:color w:val="auto"/>
        </w:rPr>
        <w:t>” is each of Borrower’s (i) President and Chief Executive Officer, Gregory Verdine and (ii) Chief Financial Officer, Tony Gibney.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w:t>
      </w:r>
      <w:r>
        <w:rPr>
          <w:rFonts w:ascii="Times New Roman" w:cs="Times New Roman" w:eastAsia="Times New Roman" w:hAnsi="Times New Roman"/>
          <w:sz w:val="14"/>
          <w:szCs w:val="14"/>
          <w:color w:val="auto"/>
        </w:rPr>
        <w:t>” is a standby or commercial letter of credit issued by Bank upon request of Borrower based upon an application, guarantee, indemnity, or similar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496570</wp:posOffset>
            </wp:positionV>
            <wp:extent cx="7188200"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985" w:right="379" w:bottom="1440" w:gutter="0" w:footer="0" w:header="0"/>
        </w:sectPr>
      </w:pPr>
    </w:p>
    <w:bookmarkStart w:id="484" w:name="page485"/>
    <w:bookmarkEnd w:id="484"/>
    <w:p>
      <w:pPr>
        <w:ind w:right="4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Lien</w:t>
      </w:r>
      <w:r>
        <w:rPr>
          <w:rFonts w:ascii="Times New Roman" w:cs="Times New Roman" w:eastAsia="Times New Roman" w:hAnsi="Times New Roman"/>
          <w:sz w:val="14"/>
          <w:szCs w:val="14"/>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21" w:lineRule="exact"/>
        <w:rPr>
          <w:sz w:val="20"/>
          <w:szCs w:val="20"/>
          <w:color w:val="auto"/>
        </w:rPr>
      </w:pPr>
    </w:p>
    <w:p>
      <w:pPr>
        <w:ind w:right="20"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 Documents</w:t>
      </w:r>
      <w:r>
        <w:rPr>
          <w:rFonts w:ascii="Times New Roman" w:cs="Times New Roman" w:eastAsia="Times New Roman" w:hAnsi="Times New Roman"/>
          <w:sz w:val="14"/>
          <w:szCs w:val="14"/>
          <w:color w:val="auto"/>
        </w:rPr>
        <w:t>” are, collectively, this Agreement and any schedules, exhibits, certificates, notices, and any other documents related to this Agreement, the Perfection Certificate, the Warrant, the Stock Pledge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38"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Adverse Change</w:t>
      </w:r>
      <w:r>
        <w:rPr>
          <w:rFonts w:ascii="Times New Roman" w:cs="Times New Roman" w:eastAsia="Times New Roman" w:hAnsi="Times New Roman"/>
          <w:sz w:val="14"/>
          <w:szCs w:val="14"/>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Milestone Event</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4"/>
          <w:szCs w:val="14"/>
          <w:color w:val="auto"/>
        </w:rPr>
        <w:t>” are Borrower’s obligations to pay when due any debts, principal, interest, fees, Bank Expenses, the Prepayment Fee, the Final Payment,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is the Office of Foreign Assets Control of the United States Department of the Treasury and any successor thereto.</w:t>
      </w:r>
    </w:p>
    <w:p>
      <w:pPr>
        <w:spacing w:after="0" w:line="175"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Operating Documents</w:t>
      </w:r>
      <w:r>
        <w:rPr>
          <w:rFonts w:ascii="Times New Roman" w:cs="Times New Roman" w:eastAsia="Times New Roman" w:hAnsi="Times New Roman"/>
          <w:sz w:val="14"/>
          <w:szCs w:val="14"/>
          <w:color w:val="auto"/>
        </w:rPr>
        <w:t>” are, for any Person, such Person’s formation documents, as certified by the Secretary of State (or equivalent agency) of such Person’s jurisdiction of organization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38" w:lineRule="exact"/>
        <w:rPr>
          <w:sz w:val="20"/>
          <w:szCs w:val="20"/>
          <w:color w:val="auto"/>
        </w:rPr>
      </w:pPr>
    </w:p>
    <w:p>
      <w:pPr>
        <w:ind w:right="10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Other Connection Taxes</w:t>
      </w:r>
      <w:r>
        <w:rPr>
          <w:rFonts w:ascii="Times New Roman" w:cs="Times New Roman" w:eastAsia="Times New Roman" w:hAnsi="Times New Roman"/>
          <w:sz w:val="14"/>
          <w:szCs w:val="14"/>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33" w:lineRule="exact"/>
        <w:rPr>
          <w:sz w:val="20"/>
          <w:szCs w:val="20"/>
          <w:color w:val="auto"/>
        </w:rPr>
      </w:pPr>
    </w:p>
    <w:p>
      <w:pPr>
        <w:ind w:right="30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Other Taxes</w:t>
      </w:r>
      <w:r>
        <w:rPr>
          <w:rFonts w:ascii="Times New Roman" w:cs="Times New Roman" w:eastAsia="Times New Roman" w:hAnsi="Times New Roman"/>
          <w:sz w:val="14"/>
          <w:szCs w:val="14"/>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3"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Patents</w:t>
      </w:r>
      <w:r>
        <w:rPr>
          <w:rFonts w:ascii="Times New Roman" w:cs="Times New Roman" w:eastAsia="Times New Roman" w:hAnsi="Times New Roman"/>
          <w:sz w:val="14"/>
          <w:szCs w:val="14"/>
          <w:color w:val="auto"/>
        </w:rPr>
        <w:t>” means all patents, patent applications and like protections including without limitation improvements, divisions, continuations, renewals, reissues, extensions and continuations-in-part of the same.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Payment/Advance Form</w:t>
      </w:r>
      <w:r>
        <w:rPr>
          <w:rFonts w:ascii="Times New Roman" w:cs="Times New Roman" w:eastAsia="Times New Roman" w:hAnsi="Times New Roman"/>
          <w:sz w:val="14"/>
          <w:szCs w:val="14"/>
          <w:color w:val="auto"/>
        </w:rPr>
        <w:t>” is that certain form in the form attached hereto as Exhibit B.</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Payment Date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Perfection Certificate</w:t>
      </w:r>
      <w:r>
        <w:rPr>
          <w:rFonts w:ascii="Times New Roman" w:cs="Times New Roman" w:eastAsia="Times New Roman" w:hAnsi="Times New Roman"/>
          <w:sz w:val="14"/>
          <w:szCs w:val="14"/>
          <w:color w:val="auto"/>
        </w:rPr>
        <w:t>” is the Perfection Certificate delivered by Borrower in connection with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Credit Cards</w:t>
      </w:r>
      <w:r>
        <w:rPr>
          <w:rFonts w:ascii="Times New Roman" w:cs="Times New Roman" w:eastAsia="Times New Roman" w:hAnsi="Times New Roman"/>
          <w:sz w:val="14"/>
          <w:szCs w:val="14"/>
          <w:color w:val="auto"/>
        </w:rPr>
        <w:t>” is defined in subsection (e) of the definition of Permitted Indebtedness.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Indebtedness</w:t>
      </w:r>
      <w:r>
        <w:rPr>
          <w:rFonts w:ascii="Times New Roman" w:cs="Times New Roman" w:eastAsia="Times New Roman" w:hAnsi="Times New Roman"/>
          <w:sz w:val="14"/>
          <w:szCs w:val="14"/>
          <w:color w:val="auto"/>
        </w:rPr>
        <w:t>” is:</w:t>
      </w:r>
    </w:p>
    <w:p>
      <w:pPr>
        <w:spacing w:after="0" w:line="177" w:lineRule="exact"/>
        <w:rPr>
          <w:sz w:val="20"/>
          <w:szCs w:val="20"/>
          <w:color w:val="auto"/>
        </w:rPr>
      </w:pPr>
    </w:p>
    <w:p>
      <w:pPr>
        <w:ind w:left="1340" w:hanging="185"/>
        <w:spacing w:after="0"/>
        <w:tabs>
          <w:tab w:leader="none" w:pos="134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Borrower’s Indebtedness to Bank under this Agreement and the other Loan Documents;</w:t>
      </w:r>
    </w:p>
    <w:p>
      <w:pPr>
        <w:spacing w:after="0" w:line="175"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existing on the Effective Date which is shown on the Perfection Certificate;</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485" w:name="page486"/>
    <w:bookmarkEnd w:id="485"/>
    <w:p>
      <w:pPr>
        <w:ind w:left="1360" w:hanging="205"/>
        <w:spacing w:after="0"/>
        <w:tabs>
          <w:tab w:leader="none" w:pos="136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unsecured Indebtedness to trade creditors incurred in the ordinary course of business;</w:t>
      </w:r>
    </w:p>
    <w:p>
      <w:pPr>
        <w:spacing w:after="0" w:line="175" w:lineRule="exact"/>
        <w:rPr>
          <w:rFonts w:ascii="Times New Roman" w:cs="Times New Roman" w:eastAsia="Times New Roman" w:hAnsi="Times New Roman"/>
          <w:sz w:val="14"/>
          <w:szCs w:val="14"/>
          <w:color w:val="auto"/>
        </w:rPr>
      </w:pPr>
    </w:p>
    <w:p>
      <w:pPr>
        <w:ind w:firstLine="1155"/>
        <w:spacing w:after="0" w:line="283" w:lineRule="auto"/>
        <w:tabs>
          <w:tab w:leader="none" w:pos="1341"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unsecured Indebtedness in connection with corporate credit cards provided by a financial institution other than Bank in an aggregate principal amount not to exceed $200,000.00 at any time (the “</w:t>
      </w:r>
      <w:r>
        <w:rPr>
          <w:rFonts w:ascii="Times New Roman" w:cs="Times New Roman" w:eastAsia="Times New Roman" w:hAnsi="Times New Roman"/>
          <w:sz w:val="14"/>
          <w:szCs w:val="14"/>
          <w:b w:val="1"/>
          <w:bCs w:val="1"/>
          <w:color w:val="auto"/>
        </w:rPr>
        <w:t>Permitted Credit Cards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right="100" w:firstLine="1155"/>
        <w:spacing w:after="0" w:line="283" w:lineRule="auto"/>
        <w:tabs>
          <w:tab w:leader="none" w:pos="1326"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extensions, refinancings, modifications, amendments and restatements of any items of Permitted Indebtedness (a) through (e) above, provided that the principal amount thereof is not increased or the terms thereof are not modified to impose more burdensome terms upon Borrower or its Subsidiary, as the case may be.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Investments</w:t>
      </w:r>
      <w:r>
        <w:rPr>
          <w:rFonts w:ascii="Times New Roman" w:cs="Times New Roman" w:eastAsia="Times New Roman" w:hAnsi="Times New Roman"/>
          <w:sz w:val="14"/>
          <w:szCs w:val="14"/>
          <w:color w:val="auto"/>
        </w:rPr>
        <w:t>” are:</w:t>
      </w:r>
    </w:p>
    <w:p>
      <w:pPr>
        <w:spacing w:after="0" w:line="177" w:lineRule="exact"/>
        <w:rPr>
          <w:sz w:val="20"/>
          <w:szCs w:val="20"/>
          <w:color w:val="auto"/>
        </w:rPr>
      </w:pPr>
    </w:p>
    <w:p>
      <w:pPr>
        <w:ind w:left="1340" w:hanging="185"/>
        <w:spacing w:after="0"/>
        <w:tabs>
          <w:tab w:leader="none" w:pos="134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(including, without limitation, Subsidiaries) existing on the Effective Date which are shown on the Perfection Certificate;</w:t>
      </w:r>
    </w:p>
    <w:p>
      <w:pPr>
        <w:spacing w:after="0" w:line="175" w:lineRule="exact"/>
        <w:rPr>
          <w:rFonts w:ascii="Times New Roman" w:cs="Times New Roman" w:eastAsia="Times New Roman" w:hAnsi="Times New Roman"/>
          <w:sz w:val="14"/>
          <w:szCs w:val="14"/>
          <w:color w:val="auto"/>
        </w:rPr>
      </w:pPr>
    </w:p>
    <w:p>
      <w:pPr>
        <w:ind w:right="40" w:firstLine="1155"/>
        <w:spacing w:after="0" w:line="283" w:lineRule="auto"/>
        <w:tabs>
          <w:tab w:leader="none" w:pos="1349"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Investments by Borrower in Securities Corp.; provided that an Event of Default does not exist at the time of any such Investment, and would not exist after giving effect to any such Investment; and</w:t>
      </w:r>
    </w:p>
    <w:p>
      <w:pPr>
        <w:spacing w:after="0" w:line="124"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Cash Equivalents.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Liens</w:t>
      </w:r>
      <w:r>
        <w:rPr>
          <w:rFonts w:ascii="Times New Roman" w:cs="Times New Roman" w:eastAsia="Times New Roman" w:hAnsi="Times New Roman"/>
          <w:sz w:val="14"/>
          <w:szCs w:val="14"/>
          <w:color w:val="auto"/>
        </w:rPr>
        <w:t>” are:</w:t>
      </w:r>
    </w:p>
    <w:p>
      <w:pPr>
        <w:spacing w:after="0" w:line="177" w:lineRule="exact"/>
        <w:rPr>
          <w:sz w:val="20"/>
          <w:szCs w:val="20"/>
          <w:color w:val="auto"/>
        </w:rPr>
      </w:pPr>
    </w:p>
    <w:p>
      <w:pPr>
        <w:ind w:left="1340" w:hanging="185"/>
        <w:spacing w:after="0"/>
        <w:tabs>
          <w:tab w:leader="none" w:pos="134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Effective Date which are shown on the Perfection Certificate or arising under this Agreement or the other Loan Documents;</w:t>
      </w:r>
    </w:p>
    <w:p>
      <w:pPr>
        <w:spacing w:after="0" w:line="175" w:lineRule="exact"/>
        <w:rPr>
          <w:rFonts w:ascii="Times New Roman" w:cs="Times New Roman" w:eastAsia="Times New Roman" w:hAnsi="Times New Roman"/>
          <w:sz w:val="14"/>
          <w:szCs w:val="14"/>
          <w:color w:val="auto"/>
        </w:rPr>
      </w:pPr>
    </w:p>
    <w:p>
      <w:pPr>
        <w:ind w:right="180" w:firstLine="1155"/>
        <w:spacing w:after="0" w:line="283" w:lineRule="auto"/>
        <w:tabs>
          <w:tab w:leader="none" w:pos="1349"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24" w:lineRule="exact"/>
        <w:rPr>
          <w:rFonts w:ascii="Times New Roman" w:cs="Times New Roman" w:eastAsia="Times New Roman" w:hAnsi="Times New Roman"/>
          <w:sz w:val="14"/>
          <w:szCs w:val="14"/>
          <w:color w:val="auto"/>
        </w:rPr>
      </w:pPr>
    </w:p>
    <w:p>
      <w:pPr>
        <w:ind w:right="540" w:firstLine="1155"/>
        <w:spacing w:after="0" w:line="283" w:lineRule="auto"/>
        <w:tabs>
          <w:tab w:leader="none" w:pos="1341"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money Liens (i) on Equipment acquired or held by Borrower incurred for financing the acquisition of the Equipment securing no more than $50,000.00 in the aggregate amount outstanding, or (ii) existing on Equipment when acquired, if the Lien is confined to the property and improvements and the proceeds of the Equipment;</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non-exclusive licenses of Intellectual Property granted to third parties in the ordinary course of business; and</w:t>
      </w:r>
    </w:p>
    <w:p>
      <w:pPr>
        <w:spacing w:after="0" w:line="175" w:lineRule="exact"/>
        <w:rPr>
          <w:rFonts w:ascii="Times New Roman" w:cs="Times New Roman" w:eastAsia="Times New Roman" w:hAnsi="Times New Roman"/>
          <w:sz w:val="14"/>
          <w:szCs w:val="14"/>
          <w:color w:val="auto"/>
        </w:rPr>
      </w:pPr>
    </w:p>
    <w:p>
      <w:pPr>
        <w:ind w:right="120" w:firstLine="1155"/>
        <w:spacing w:after="0" w:line="283" w:lineRule="auto"/>
        <w:tabs>
          <w:tab w:leader="none" w:pos="1341"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in the extension, renewal or refinancing of the Indebtedness secured by Liens described in (a) through (d), but any extension, renewal or replacement Lien must be limited to the property encumbered by the existing Lien and the principal amount of the indebtedness may not increase.</w:t>
      </w:r>
    </w:p>
    <w:p>
      <w:pPr>
        <w:spacing w:after="0" w:line="123" w:lineRule="exact"/>
        <w:rPr>
          <w:sz w:val="20"/>
          <w:szCs w:val="20"/>
          <w:color w:val="auto"/>
        </w:rPr>
      </w:pPr>
    </w:p>
    <w:p>
      <w:pPr>
        <w:ind w:right="120" w:firstLine="515"/>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Prepayment Fee</w:t>
      </w:r>
      <w:r>
        <w:rPr>
          <w:rFonts w:ascii="Times New Roman" w:cs="Times New Roman" w:eastAsia="Times New Roman" w:hAnsi="Times New Roman"/>
          <w:sz w:val="14"/>
          <w:szCs w:val="14"/>
          <w:color w:val="auto"/>
        </w:rPr>
        <w:t>” shall be an additional fee payable to Bank, with respect to the Term Loan Advances, in an amount equal to:</w:t>
      </w:r>
    </w:p>
    <w:p>
      <w:pPr>
        <w:spacing w:after="0" w:line="177" w:lineRule="exact"/>
        <w:rPr>
          <w:sz w:val="20"/>
          <w:szCs w:val="20"/>
          <w:color w:val="auto"/>
        </w:rPr>
      </w:pPr>
    </w:p>
    <w:p>
      <w:pPr>
        <w:ind w:right="100" w:firstLine="1155"/>
        <w:spacing w:after="0" w:line="283" w:lineRule="auto"/>
        <w:tabs>
          <w:tab w:leader="none" w:pos="1341"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Term Loan Advances made on or prior to the first (1</w:t>
      </w:r>
      <w:r>
        <w:rPr>
          <w:rFonts w:ascii="Times New Roman" w:cs="Times New Roman" w:eastAsia="Times New Roman" w:hAnsi="Times New Roman"/>
          <w:sz w:val="7"/>
          <w:szCs w:val="7"/>
          <w:color w:val="auto"/>
        </w:rPr>
        <w:t>st</w:t>
      </w:r>
      <w:r>
        <w:rPr>
          <w:rFonts w:ascii="Times New Roman" w:cs="Times New Roman" w:eastAsia="Times New Roman" w:hAnsi="Times New Roman"/>
          <w:sz w:val="14"/>
          <w:szCs w:val="14"/>
          <w:color w:val="auto"/>
        </w:rPr>
        <w:t>) anniversary of the Effective Date, three percent (3.0%) of the then outstanding principal amount of the Term Loan Advances immediately prior to the date of such prepayment;</w:t>
      </w:r>
    </w:p>
    <w:p>
      <w:pPr>
        <w:spacing w:after="0" w:line="124" w:lineRule="exact"/>
        <w:rPr>
          <w:rFonts w:ascii="Times New Roman" w:cs="Times New Roman" w:eastAsia="Times New Roman" w:hAnsi="Times New Roman"/>
          <w:sz w:val="14"/>
          <w:szCs w:val="14"/>
          <w:color w:val="auto"/>
        </w:rPr>
      </w:pPr>
    </w:p>
    <w:p>
      <w:pPr>
        <w:ind w:right="20" w:firstLine="1155"/>
        <w:spacing w:after="0" w:line="283" w:lineRule="auto"/>
        <w:tabs>
          <w:tab w:leader="none" w:pos="1349"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Term Loan Advances made after the first (1</w:t>
      </w:r>
      <w:r>
        <w:rPr>
          <w:rFonts w:ascii="Times New Roman" w:cs="Times New Roman" w:eastAsia="Times New Roman" w:hAnsi="Times New Roman"/>
          <w:sz w:val="7"/>
          <w:szCs w:val="7"/>
          <w:color w:val="auto"/>
        </w:rPr>
        <w:t>st</w:t>
      </w:r>
      <w:r>
        <w:rPr>
          <w:rFonts w:ascii="Times New Roman" w:cs="Times New Roman" w:eastAsia="Times New Roman" w:hAnsi="Times New Roman"/>
          <w:sz w:val="14"/>
          <w:szCs w:val="14"/>
          <w:color w:val="auto"/>
        </w:rPr>
        <w:t>) anniversary of the Effective Date, but on or prior to the second (2</w:t>
      </w:r>
      <w:r>
        <w:rPr>
          <w:rFonts w:ascii="Times New Roman" w:cs="Times New Roman" w:eastAsia="Times New Roman" w:hAnsi="Times New Roman"/>
          <w:sz w:val="7"/>
          <w:szCs w:val="7"/>
          <w:color w:val="auto"/>
        </w:rPr>
        <w:t>nd</w:t>
      </w:r>
      <w:r>
        <w:rPr>
          <w:rFonts w:ascii="Times New Roman" w:cs="Times New Roman" w:eastAsia="Times New Roman" w:hAnsi="Times New Roman"/>
          <w:sz w:val="14"/>
          <w:szCs w:val="14"/>
          <w:color w:val="auto"/>
        </w:rPr>
        <w:t>) anniversary of the Effective Date, one percent (1.0%) of the then outstanding principal amount of the Term Loan Advances immediately prior to the date of such prepayment; and</w:t>
      </w:r>
    </w:p>
    <w:p>
      <w:pPr>
        <w:spacing w:after="0" w:line="124" w:lineRule="exact"/>
        <w:rPr>
          <w:rFonts w:ascii="Times New Roman" w:cs="Times New Roman" w:eastAsia="Times New Roman" w:hAnsi="Times New Roman"/>
          <w:sz w:val="14"/>
          <w:szCs w:val="14"/>
          <w:color w:val="auto"/>
        </w:rPr>
      </w:pPr>
    </w:p>
    <w:p>
      <w:pPr>
        <w:ind w:right="80" w:firstLine="1155"/>
        <w:spacing w:after="0" w:line="283" w:lineRule="auto"/>
        <w:tabs>
          <w:tab w:leader="none" w:pos="1341"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Term Loan Advances made after the second (2</w:t>
      </w:r>
      <w:r>
        <w:rPr>
          <w:rFonts w:ascii="Times New Roman" w:cs="Times New Roman" w:eastAsia="Times New Roman" w:hAnsi="Times New Roman"/>
          <w:sz w:val="7"/>
          <w:szCs w:val="7"/>
          <w:color w:val="auto"/>
        </w:rPr>
        <w:t>nd</w:t>
      </w:r>
      <w:r>
        <w:rPr>
          <w:rFonts w:ascii="Times New Roman" w:cs="Times New Roman" w:eastAsia="Times New Roman" w:hAnsi="Times New Roman"/>
          <w:sz w:val="14"/>
          <w:szCs w:val="14"/>
          <w:color w:val="auto"/>
        </w:rPr>
        <w:t>) anniversary of the Effective Date, zero percent (0.0%) of the then outstanding principal amount of the Term Loan Advances immediately prior to the date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486" w:name="page487"/>
    <w:bookmarkEnd w:id="486"/>
    <w:p>
      <w:pPr>
        <w:ind w:firstLine="511"/>
        <w:spacing w:after="0" w:line="283" w:lineRule="auto"/>
        <w:rPr>
          <w:sz w:val="20"/>
          <w:szCs w:val="20"/>
          <w:color w:val="auto"/>
        </w:rPr>
      </w:pPr>
      <w:r>
        <w:rPr>
          <w:rFonts w:ascii="Times New Roman" w:cs="Times New Roman" w:eastAsia="Times New Roman" w:hAnsi="Times New Roman"/>
          <w:sz w:val="14"/>
          <w:szCs w:val="14"/>
          <w:color w:val="auto"/>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Prime Rate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Prime Rate Margin</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Registered Organization</w:t>
      </w:r>
      <w:r>
        <w:rPr>
          <w:rFonts w:ascii="Times New Roman" w:cs="Times New Roman" w:eastAsia="Times New Roman" w:hAnsi="Times New Roman"/>
          <w:sz w:val="14"/>
          <w:szCs w:val="14"/>
          <w:color w:val="auto"/>
        </w:rPr>
        <w:t>” is any “registered organization” as defined in the Code with such additions to such term as may hereafter be made.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Repayment Schedule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is defined in Section 11.8.</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Responsible Officer</w:t>
      </w:r>
      <w:r>
        <w:rPr>
          <w:rFonts w:ascii="Times New Roman" w:cs="Times New Roman" w:eastAsia="Times New Roman" w:hAnsi="Times New Roman"/>
          <w:sz w:val="14"/>
          <w:szCs w:val="14"/>
          <w:color w:val="auto"/>
        </w:rPr>
        <w:t>” is any of the Chief Executive Officer, President, Chief Financial Officer and Controller of Borrower.</w:t>
      </w:r>
    </w:p>
    <w:p>
      <w:pPr>
        <w:spacing w:after="0" w:line="175" w:lineRule="exact"/>
        <w:rPr>
          <w:sz w:val="20"/>
          <w:szCs w:val="20"/>
          <w:color w:val="auto"/>
        </w:rPr>
      </w:pPr>
    </w:p>
    <w:p>
      <w:pPr>
        <w:jc w:val="both"/>
        <w:ind w:right="3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License</w:t>
      </w:r>
      <w:r>
        <w:rPr>
          <w:rFonts w:ascii="Times New Roman" w:cs="Times New Roman" w:eastAsia="Times New Roman" w:hAnsi="Times New Roman"/>
          <w:sz w:val="14"/>
          <w:szCs w:val="14"/>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21" w:lineRule="exact"/>
        <w:rPr>
          <w:sz w:val="20"/>
          <w:szCs w:val="20"/>
          <w:color w:val="auto"/>
        </w:rPr>
      </w:pPr>
    </w:p>
    <w:p>
      <w:pPr>
        <w:ind w:right="160" w:firstLine="51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Person</w:t>
      </w:r>
      <w:r>
        <w:rPr>
          <w:rFonts w:ascii="Times New Roman" w:cs="Times New Roman" w:eastAsia="Times New Roman" w:hAnsi="Times New Roman"/>
          <w:sz w:val="14"/>
          <w:szCs w:val="14"/>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one (1) or more Persons described in clauses (a) and (b) hereof.</w:t>
      </w:r>
    </w:p>
    <w:p>
      <w:pPr>
        <w:spacing w:after="0" w:line="133"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is the Securities and Exchange Commission, any successor thereto, and any analogous Governmental Authority.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Account</w:t>
      </w:r>
      <w:r>
        <w:rPr>
          <w:rFonts w:ascii="Times New Roman" w:cs="Times New Roman" w:eastAsia="Times New Roman" w:hAnsi="Times New Roman"/>
          <w:sz w:val="14"/>
          <w:szCs w:val="14"/>
          <w:color w:val="auto"/>
        </w:rPr>
        <w:t>” is any “securities account” as defined in the Code with such additions to such term as may hereafter be made.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Corp.</w:t>
      </w:r>
      <w:r>
        <w:rPr>
          <w:rFonts w:ascii="Times New Roman" w:cs="Times New Roman" w:eastAsia="Times New Roman" w:hAnsi="Times New Roman"/>
          <w:sz w:val="14"/>
          <w:szCs w:val="14"/>
          <w:color w:val="auto"/>
        </w:rPr>
        <w:t>” is Fog Security Corporation, a corporation organized under the laws of the Commonwealth of Massachusetts and a Subsidiary of Borrower.</w:t>
      </w:r>
    </w:p>
    <w:p>
      <w:pPr>
        <w:spacing w:after="0" w:line="175"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Pledge Agreement</w:t>
      </w:r>
      <w:r>
        <w:rPr>
          <w:rFonts w:ascii="Times New Roman" w:cs="Times New Roman" w:eastAsia="Times New Roman" w:hAnsi="Times New Roman"/>
          <w:sz w:val="14"/>
          <w:szCs w:val="14"/>
          <w:color w:val="auto"/>
        </w:rPr>
        <w:t>” means that certain Stock Pledge Agreement executed by Borrower in favor of Bank dated as of Effective Date, as may be amended, modified, supplemented or restated from time to time.</w:t>
      </w:r>
    </w:p>
    <w:p>
      <w:pPr>
        <w:spacing w:after="0" w:line="121" w:lineRule="exact"/>
        <w:rPr>
          <w:sz w:val="20"/>
          <w:szCs w:val="20"/>
          <w:color w:val="auto"/>
        </w:rPr>
      </w:pPr>
    </w:p>
    <w:p>
      <w:pPr>
        <w:ind w:right="34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Subordinated Debt</w:t>
      </w:r>
      <w:r>
        <w:rPr>
          <w:rFonts w:ascii="Times New Roman" w:cs="Times New Roman" w:eastAsia="Times New Roman" w:hAnsi="Times New Roman"/>
          <w:sz w:val="14"/>
          <w:szCs w:val="14"/>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21"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474345</wp:posOffset>
            </wp:positionV>
            <wp:extent cx="7188200"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487" w:name="page488"/>
    <w:bookmarkEnd w:id="487"/>
    <w:p>
      <w:pPr>
        <w:ind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 Advance</w:t>
      </w:r>
      <w:r>
        <w:rPr>
          <w:rFonts w:ascii="Times New Roman" w:cs="Times New Roman" w:eastAsia="Times New Roman" w:hAnsi="Times New Roman"/>
          <w:sz w:val="14"/>
          <w:szCs w:val="14"/>
          <w:color w:val="auto"/>
        </w:rPr>
        <w:t>” is defined in Section 1.1 of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 Availability Amount</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Advance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Term Loan Advances</w:t>
      </w:r>
      <w:r>
        <w:rPr>
          <w:rFonts w:ascii="Times New Roman" w:cs="Times New Roman" w:eastAsia="Times New Roman" w:hAnsi="Times New Roman"/>
          <w:sz w:val="14"/>
          <w:szCs w:val="14"/>
          <w:color w:val="auto"/>
        </w:rPr>
        <w:t>” are each defined in Section 1.1 of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Amortization Date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B Advance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Term Loan B Advances</w:t>
      </w:r>
      <w:r>
        <w:rPr>
          <w:rFonts w:ascii="Times New Roman" w:cs="Times New Roman" w:eastAsia="Times New Roman" w:hAnsi="Times New Roman"/>
          <w:sz w:val="14"/>
          <w:szCs w:val="14"/>
          <w:color w:val="auto"/>
        </w:rPr>
        <w:t>” are each defined in Section 1.1 of this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B Availability Amount</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Maturity Date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Trademarks</w:t>
      </w:r>
      <w:r>
        <w:rPr>
          <w:rFonts w:ascii="Times New Roman" w:cs="Times New Roman" w:eastAsia="Times New Roman" w:hAnsi="Times New Roman"/>
          <w:sz w:val="14"/>
          <w:szCs w:val="14"/>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is defined in Section 6.1.</w:t>
      </w:r>
    </w:p>
    <w:p>
      <w:pPr>
        <w:spacing w:after="0" w:line="175" w:lineRule="exact"/>
        <w:rPr>
          <w:sz w:val="20"/>
          <w:szCs w:val="20"/>
          <w:color w:val="auto"/>
        </w:rPr>
      </w:pPr>
    </w:p>
    <w:p>
      <w:pPr>
        <w:ind w:right="1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USA Patriot Act</w:t>
      </w:r>
      <w:r>
        <w:rPr>
          <w:rFonts w:ascii="Times New Roman" w:cs="Times New Roman" w:eastAsia="Times New Roman" w:hAnsi="Times New Roman"/>
          <w:sz w:val="14"/>
          <w:szCs w:val="14"/>
          <w:color w:val="auto"/>
        </w:rPr>
        <w:t>” means the “Uniting and Strengthening America by Providing Appropriate Tools Required to Intercept and Obstruct Terrorism Act of 2001” (Public Law 107-56, signed into law on October 26, 2001), as amended from time to time.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is that certain Warrant to Purchase Stock dated as of the Effective Date between Borrower and Bank, as amended, modified, supplemented and/or restated from time to time.</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582930</wp:posOffset>
            </wp:positionV>
            <wp:extent cx="7188200"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80"/>
          </w:cols>
          <w:pgMar w:left="300" w:top="985" w:right="41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caused this Agreement to be executed as of the Effective Date.</w:t>
      </w:r>
    </w:p>
    <w:p>
      <w:pPr>
        <w:spacing w:after="0" w:line="19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BORROWER:</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b w:val="1"/>
          <w:bCs w:val="1"/>
          <w:color w:val="auto"/>
        </w:rPr>
        <w:t>FOG PHARMACEUTICALS, INC.</w:t>
      </w:r>
    </w:p>
    <w:p>
      <w:pPr>
        <w:spacing w:after="0" w:line="189" w:lineRule="exact"/>
        <w:rPr>
          <w:sz w:val="20"/>
          <w:szCs w:val="20"/>
          <w:color w:val="auto"/>
        </w:rPr>
      </w:pPr>
    </w:p>
    <w:p>
      <w:pPr>
        <w:ind w:left="6260"/>
        <w:spacing w:after="0"/>
        <w:tabs>
          <w:tab w:leader="none" w:pos="6620" w:val="left"/>
        </w:tabs>
        <w:rPr>
          <w:sz w:val="20"/>
          <w:szCs w:val="20"/>
          <w:color w:val="auto"/>
        </w:rPr>
      </w:pPr>
      <w:r>
        <w:rPr>
          <w:rFonts w:ascii="Times New Roman" w:cs="Times New Roman" w:eastAsia="Times New Roman" w:hAnsi="Times New Roman"/>
          <w:sz w:val="14"/>
          <w:szCs w:val="14"/>
          <w:color w:val="auto"/>
        </w:rPr>
        <w:t>By:</w:t>
        <w:tab/>
        <w:t>/s/ Anthony Gibney</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-101600</wp:posOffset>
            </wp:positionV>
            <wp:extent cx="2623185"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623185"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4"/>
          <w:szCs w:val="14"/>
          <w:color w:val="auto"/>
        </w:rPr>
        <w:t>Title: CFO/CBO</w:t>
      </w:r>
    </w:p>
    <w:p>
      <w:pPr>
        <w:spacing w:after="0" w:line="1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BANK:</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SILICON VALLEY BANK</w:t>
      </w:r>
    </w:p>
    <w:p>
      <w:pPr>
        <w:spacing w:after="0" w:line="177" w:lineRule="exact"/>
        <w:rPr>
          <w:sz w:val="20"/>
          <w:szCs w:val="20"/>
          <w:color w:val="auto"/>
        </w:rPr>
      </w:pPr>
    </w:p>
    <w:p>
      <w:pPr>
        <w:ind w:left="6260"/>
        <w:spacing w:after="0"/>
        <w:tabs>
          <w:tab w:leader="none" w:pos="6620" w:val="left"/>
        </w:tabs>
        <w:rPr>
          <w:sz w:val="20"/>
          <w:szCs w:val="20"/>
          <w:color w:val="auto"/>
        </w:rPr>
      </w:pPr>
      <w:r>
        <w:rPr>
          <w:rFonts w:ascii="Times New Roman" w:cs="Times New Roman" w:eastAsia="Times New Roman" w:hAnsi="Times New Roman"/>
          <w:sz w:val="14"/>
          <w:szCs w:val="14"/>
          <w:color w:val="auto"/>
        </w:rPr>
        <w:t>By:</w:t>
        <w:tab/>
        <w:t>/s/ Lauren Cole</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-101600</wp:posOffset>
            </wp:positionV>
            <wp:extent cx="2623185"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623185" cy="6985"/>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592455</wp:posOffset>
            </wp:positionV>
            <wp:extent cx="7188200"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639"/>
          </w:cols>
          <w:pgMar w:left="820" w:top="817" w:right="1440"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SCHEDULE I</w:t>
            </w:r>
          </w:p>
        </w:tc>
        <w:tc>
          <w:tcPr>
            <w:tcW w:w="5220" w:type="dxa"/>
            <w:vAlign w:val="bottom"/>
            <w:gridSpan w:val="2"/>
          </w:tcPr>
          <w:p>
            <w:pPr>
              <w:spacing w:after="0"/>
              <w:rPr>
                <w:sz w:val="13"/>
                <w:szCs w:val="13"/>
                <w:color w:val="auto"/>
              </w:rPr>
            </w:pPr>
          </w:p>
        </w:tc>
      </w:tr>
      <w:tr>
        <w:trPr>
          <w:trHeight w:val="148"/>
        </w:trPr>
        <w:tc>
          <w:tcPr>
            <w:tcW w:w="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40" w:type="dxa"/>
            <w:vAlign w:val="bottom"/>
            <w:gridSpan w:val="4"/>
          </w:tcPr>
          <w:p>
            <w:pPr>
              <w:jc w:val="center"/>
              <w:ind w:right="5004"/>
              <w:spacing w:after="0" w:line="148" w:lineRule="exact"/>
              <w:rPr>
                <w:sz w:val="20"/>
                <w:szCs w:val="20"/>
                <w:color w:val="auto"/>
              </w:rPr>
            </w:pPr>
            <w:r>
              <w:rPr>
                <w:rFonts w:ascii="Times New Roman" w:cs="Times New Roman" w:eastAsia="Times New Roman" w:hAnsi="Times New Roman"/>
                <w:sz w:val="14"/>
                <w:szCs w:val="14"/>
                <w:b w:val="1"/>
                <w:bCs w:val="1"/>
                <w:color w:val="auto"/>
              </w:rPr>
              <w:t>LSA PROVISIONS</w:t>
            </w:r>
          </w:p>
        </w:tc>
      </w:tr>
      <w:tr>
        <w:trPr>
          <w:trHeight w:val="495"/>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LSA Section</w:t>
            </w:r>
          </w:p>
        </w:tc>
        <w:tc>
          <w:tcPr>
            <w:tcW w:w="1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0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LSA Provision</w:t>
            </w:r>
          </w:p>
        </w:tc>
      </w:tr>
      <w:tr>
        <w:trPr>
          <w:trHeight w:val="281"/>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1.1(a) – Term Loan – Availability</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Each Term Loan B Advance must be in an amount equal to at least $5,000,000.00. After repayment, no Term Loan Advance (or any portion</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thereof) may be reborrowed.</w:t>
            </w:r>
          </w:p>
        </w:tc>
      </w:tr>
      <w:tr>
        <w:trPr>
          <w:trHeight w:val="32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1.1(b) – Term Loan – Repayment</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Commencing on the Term Loan Amortization Date and continuing on each Payment Date thereafter, Borrower shall repay each Term Loan</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Advance in (i) consecutive equal monthly installments of principal based on the applicable Repayment Schedule, plus (ii) monthly payments</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of accrued interest at the rate set forth in Section 1.2(b)(i).</w:t>
            </w:r>
          </w:p>
        </w:tc>
      </w:tr>
      <w:tr>
        <w:trPr>
          <w:trHeight w:val="32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1.2(a) – Interest Payments – Term Loan Advances</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Interest on the principal amount of each Term Loan Advance is payable in arrears monthly (A) on each Payment Date commencing on the</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first Payment Date following the Funding Date of each such Term Loan Advance, (B) on the date of any prepayment and (C) on the Term</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Loan Maturity Date.</w:t>
            </w:r>
          </w:p>
        </w:tc>
      </w:tr>
      <w:tr>
        <w:trPr>
          <w:trHeight w:val="32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1.2(b)(i) – Interest Rate – Term Loan Advances</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The outstanding principal amount of any Term Loan Advance shall accrue interest at a floating rate per annum equal to the greater of (1)</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three and three-quarters of one percent (3.75%) and (2) the Prime Rate plus the Prime Rate Margin, which interest shall be payable in</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accordance with Section 1.2(a).</w:t>
            </w:r>
          </w:p>
        </w:tc>
      </w:tr>
      <w:tr>
        <w:trPr>
          <w:trHeight w:val="33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1.2(e) – Interest Computation</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Interest shall be computed on the basis of the actual number of days elapsed and a 360-day year.</w:t>
            </w:r>
          </w:p>
        </w:tc>
      </w:tr>
      <w:tr>
        <w:trPr>
          <w:trHeight w:val="33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“Borrower”</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“Borrower” means FOG PHARMACEUTICALS, INC., a Delaware corporation.</w:t>
            </w:r>
          </w:p>
        </w:tc>
      </w:tr>
      <w:tr>
        <w:trPr>
          <w:trHeight w:val="32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“Draw Period”</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“Draw Period” is the period commencing on the occurrence of the Milestone Event and ending on the earlier to occur of (a) March 31, 2022,</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and (b) an Event of Default.</w:t>
            </w:r>
          </w:p>
        </w:tc>
      </w:tr>
      <w:tr>
        <w:trPr>
          <w:trHeight w:val="33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“Effective Date”</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“Effective Date” is September 21, 2021.</w:t>
            </w:r>
          </w:p>
        </w:tc>
      </w:tr>
      <w:tr>
        <w:trPr>
          <w:trHeight w:val="32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“Interest Only Extension Event”</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9"/>
              </w:rPr>
              <w:t>“Interest Only Extension Event” means Borrower has provided Bank with evidence, on or prior to October 1, 2022, satisfactory to Bank in its</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sole and absolute discretion, that Borrower has consummated an IPO.</w:t>
            </w:r>
          </w:p>
        </w:tc>
      </w:tr>
      <w:tr>
        <w:trPr>
          <w:trHeight w:val="32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“Milestone Event”</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“Milestone Event” means Borrower has provided Bank with evidence, on or prior to March 31, 2022, satisfactory to Bank in its sole and</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absolute discretion, that Borrower has received unrestricted and unencumbered net cash proceeds from its Series C second tranche with</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investors acceptable to Bank in an aggregate amount of at least $70,000,000.00.</w:t>
            </w:r>
          </w:p>
        </w:tc>
      </w:tr>
      <w:tr>
        <w:trPr>
          <w:trHeight w:val="18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“Payment Date”</w:t>
            </w: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“Payment Date” is the first (1st) calendar day of each month.</w:t>
            </w:r>
          </w:p>
        </w:tc>
      </w:tr>
      <w:tr>
        <w:trPr>
          <w:trHeight w:val="32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–“Prime Rate”</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“Prime Rate” is the rate of interest per annum from time to time published in the money rates section of The Wall Street Journal or any</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successor publication thereto as the “prime rate” then in effect; provided that if such rate of interest, as set forth from time to time in the</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money rates section of The Wall Street Journal, becomes unavailable for any reason as determined by Bank, the “Prime Rate” shall mean the</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9"/>
              </w:rPr>
              <w:t>rate of interest per annum announced by Bank as its prime rate in effect at its principal office in the State of California (such Bank announced</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Prime Rate not being intended to be the lowest rate of interest charged by Bank in connection with extensions of credit to debtors); provided</w:t>
            </w:r>
          </w:p>
        </w:tc>
      </w:tr>
      <w:tr>
        <w:trPr>
          <w:trHeight w:val="168"/>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that, in the event such rate of interest is less than zero percent (0.0%) per annum, such rate shall be deemed to be zero percent (0.0%) per</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annum for purposes of this Agreement.</w:t>
            </w:r>
          </w:p>
        </w:tc>
      </w:tr>
      <w:tr>
        <w:trPr>
          <w:trHeight w:val="32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“Prime Rate Margin”</w:t>
            </w:r>
          </w:p>
        </w:tc>
        <w:tc>
          <w:tcPr>
            <w:tcW w:w="100" w:type="dxa"/>
            <w:vAlign w:val="bottom"/>
          </w:tcPr>
          <w:p>
            <w:pPr>
              <w:spacing w:after="0"/>
              <w:rPr>
                <w:sz w:val="24"/>
                <w:szCs w:val="24"/>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“Prime Rate Margin” is one-half of one percent (0.50%), as determined on the basis of and adjusted promptly upon the receipt of Borrower’s</w:t>
            </w:r>
          </w:p>
        </w:tc>
      </w:tr>
      <w:tr>
        <w:trPr>
          <w:trHeight w:val="183"/>
        </w:trPr>
        <w:tc>
          <w:tcPr>
            <w:tcW w:w="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most recent financial statements provided pursuant to Section 5.3(c).</w:t>
            </w:r>
          </w:p>
        </w:tc>
      </w:tr>
      <w:tr>
        <w:trPr>
          <w:trHeight w:val="263"/>
        </w:trPr>
        <w:tc>
          <w:tcPr>
            <w:tcW w:w="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80" w:type="dxa"/>
            <w:vAlign w:val="bottom"/>
            <w:gridSpan w:val="3"/>
          </w:tcPr>
          <w:p>
            <w:pPr>
              <w:jc w:val="center"/>
              <w:ind w:right="5144"/>
              <w:spacing w:after="0"/>
              <w:rPr>
                <w:sz w:val="20"/>
                <w:szCs w:val="20"/>
                <w:color w:val="auto"/>
              </w:rPr>
            </w:pPr>
            <w:r>
              <w:rPr>
                <w:rFonts w:ascii="Times New Roman" w:cs="Times New Roman" w:eastAsia="Times New Roman" w:hAnsi="Times New Roman"/>
                <w:sz w:val="14"/>
                <w:szCs w:val="14"/>
                <w:color w:val="auto"/>
                <w:w w:val="97"/>
              </w:rPr>
              <w:t>I-1</w:t>
            </w:r>
          </w:p>
        </w:tc>
      </w:tr>
      <w:tr>
        <w:trPr>
          <w:trHeight w:val="590"/>
        </w:trPr>
        <w:tc>
          <w:tcPr>
            <w:tcW w:w="2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90" w:name="page491"/>
    <w:bookmarkEnd w:id="490"/>
    <w:tbl>
      <w:tblPr>
        <w:tblLayout w:type="fixed"/>
        <w:tblInd w:w="0" w:type="dxa"/>
        <w:tblCellMar>
          <w:top w:w="0" w:type="dxa"/>
          <w:left w:w="0" w:type="dxa"/>
          <w:bottom w:w="0" w:type="dxa"/>
          <w:right w:w="0" w:type="dxa"/>
        </w:tblCellMar>
      </w:tblPr>
      <w:tr>
        <w:trPr>
          <w:trHeight w:val="168"/>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“Repayment Schedule”</w:t>
            </w: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“Repayment Schedule” means the period of time equal to thirty-six (36) consecutive calendar months, which period of time shall be reduced</w:t>
            </w:r>
          </w:p>
        </w:tc>
      </w:tr>
      <w:tr>
        <w:trPr>
          <w:trHeight w:val="183"/>
        </w:trPr>
        <w:tc>
          <w:tcPr>
            <w:tcW w:w="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 thirty (30) consecutive calendar months, upon the occurrence of the Interest Only Extension Event.</w:t>
            </w:r>
          </w:p>
        </w:tc>
      </w:tr>
      <w:tr>
        <w:trPr>
          <w:trHeight w:val="336"/>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“Term Loan A Availability Amount”</w:t>
            </w: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“Term Loan A Availability Amount” is an original principal amount equal to $5,000,000.00.</w:t>
            </w:r>
          </w:p>
        </w:tc>
      </w:tr>
      <w:tr>
        <w:trPr>
          <w:trHeight w:val="336"/>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“Term Loan B Availability Amount”</w:t>
            </w: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“Term Loan B Availability Amount” is an aggregate principal amount equal to $10,000,000.00.</w:t>
            </w:r>
          </w:p>
        </w:tc>
      </w:tr>
      <w:tr>
        <w:trPr>
          <w:trHeight w:val="32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“Term Loan Amortization Date”</w:t>
            </w: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“Term Loan Amortization Date” “ is, for each Term Loan Advance, October 1, 2022, which shall be extended to April 1, 2023, upon the</w:t>
            </w:r>
          </w:p>
        </w:tc>
      </w:tr>
      <w:tr>
        <w:trPr>
          <w:trHeight w:val="183"/>
        </w:trPr>
        <w:tc>
          <w:tcPr>
            <w:tcW w:w="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occurrence of the Interest Only Extension Event.</w:t>
            </w:r>
          </w:p>
        </w:tc>
      </w:tr>
      <w:tr>
        <w:trPr>
          <w:trHeight w:val="336"/>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“Term Loan Maturity Date”</w:t>
            </w:r>
          </w:p>
        </w:tc>
        <w:tc>
          <w:tcPr>
            <w:tcW w:w="8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“Term Loan Maturity Date” is September 1, 2025.</w:t>
            </w:r>
          </w:p>
        </w:tc>
      </w:tr>
      <w:tr>
        <w:trPr>
          <w:trHeight w:val="515"/>
        </w:trPr>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38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I-2</w:t>
            </w:r>
          </w:p>
        </w:tc>
      </w:tr>
      <w:tr>
        <w:trPr>
          <w:trHeight w:val="590"/>
        </w:trPr>
        <w:tc>
          <w:tcPr>
            <w:tcW w:w="2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7" w:right="319" w:bottom="144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5280" w:type="dxa"/>
            <w:vAlign w:val="bottom"/>
            <w:gridSpan w:val="3"/>
          </w:tcPr>
          <w:p>
            <w:pPr>
              <w:spacing w:after="0"/>
              <w:rPr>
                <w:sz w:val="13"/>
                <w:szCs w:val="13"/>
                <w:color w:val="auto"/>
              </w:rPr>
            </w:pPr>
          </w:p>
        </w:tc>
      </w:tr>
      <w:tr>
        <w:trPr>
          <w:trHeight w:val="148"/>
        </w:trPr>
        <w:tc>
          <w:tcPr>
            <w:tcW w:w="3600" w:type="dxa"/>
            <w:vAlign w:val="bottom"/>
          </w:tcPr>
          <w:p>
            <w:pPr>
              <w:spacing w:after="0"/>
              <w:rPr>
                <w:sz w:val="12"/>
                <w:szCs w:val="12"/>
                <w:color w:val="auto"/>
              </w:rPr>
            </w:pPr>
          </w:p>
        </w:tc>
        <w:tc>
          <w:tcPr>
            <w:tcW w:w="7680" w:type="dxa"/>
            <w:vAlign w:val="bottom"/>
            <w:gridSpan w:val="6"/>
          </w:tcPr>
          <w:p>
            <w:pPr>
              <w:jc w:val="center"/>
              <w:ind w:right="3620"/>
              <w:spacing w:after="0" w:line="148" w:lineRule="exact"/>
              <w:rPr>
                <w:sz w:val="20"/>
                <w:szCs w:val="20"/>
                <w:color w:val="auto"/>
              </w:rPr>
            </w:pPr>
            <w:r>
              <w:rPr>
                <w:rFonts w:ascii="Times New Roman" w:cs="Times New Roman" w:eastAsia="Times New Roman" w:hAnsi="Times New Roman"/>
                <w:sz w:val="14"/>
                <w:szCs w:val="14"/>
                <w:b w:val="1"/>
                <w:bCs w:val="1"/>
                <w:color w:val="auto"/>
              </w:rPr>
              <w:t>COMPLIANCE STATEMENT</w:t>
            </w:r>
          </w:p>
        </w:tc>
      </w:tr>
      <w:tr>
        <w:trPr>
          <w:trHeight w:val="337"/>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TO: SILICON VALLEY BANK</w:t>
            </w:r>
          </w:p>
        </w:tc>
        <w:tc>
          <w:tcPr>
            <w:tcW w:w="10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700" w:type="dxa"/>
            <w:vAlign w:val="bottom"/>
            <w:gridSpan w:val="2"/>
          </w:tcPr>
          <w:p>
            <w:pPr>
              <w:ind w:left="3100"/>
              <w:spacing w:after="0"/>
              <w:rPr>
                <w:sz w:val="20"/>
                <w:szCs w:val="20"/>
                <w:color w:val="auto"/>
              </w:rPr>
            </w:pPr>
            <w:r>
              <w:rPr>
                <w:rFonts w:ascii="Times New Roman" w:cs="Times New Roman" w:eastAsia="Times New Roman" w:hAnsi="Times New Roman"/>
                <w:sz w:val="14"/>
                <w:szCs w:val="14"/>
                <w:color w:val="auto"/>
              </w:rPr>
              <w:t xml:space="preserve">Date:                          </w:t>
            </w:r>
          </w:p>
        </w:tc>
      </w:tr>
      <w:tr>
        <w:trPr>
          <w:trHeight w:val="180"/>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FROM: FOG PHARMACEUTICALS, INC.</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bl>
    <w:p>
      <w:pPr>
        <w:spacing w:after="0" w:line="173" w:lineRule="exact"/>
        <w:rPr>
          <w:sz w:val="20"/>
          <w:szCs w:val="20"/>
          <w:color w:val="auto"/>
        </w:rPr>
      </w:pPr>
    </w:p>
    <w:p>
      <w:pPr>
        <w:ind w:right="100" w:firstLine="511"/>
        <w:spacing w:after="0" w:line="262" w:lineRule="auto"/>
        <w:rPr>
          <w:sz w:val="20"/>
          <w:szCs w:val="20"/>
          <w:color w:val="auto"/>
        </w:rPr>
      </w:pPr>
      <w:r>
        <w:rPr>
          <w:rFonts w:ascii="Times New Roman" w:cs="Times New Roman" w:eastAsia="Times New Roman" w:hAnsi="Times New Roman"/>
          <w:sz w:val="14"/>
          <w:szCs w:val="14"/>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Borrower is in complete compliance for the period ending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-241300</wp:posOffset>
            </wp:positionV>
            <wp:extent cx="355600"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Please indicate compliance status by circling Yes/No under “Complies” column.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Covenants</w:t>
            </w:r>
          </w:p>
        </w:tc>
        <w:tc>
          <w:tcPr>
            <w:tcW w:w="100" w:type="dxa"/>
            <w:vAlign w:val="bottom"/>
          </w:tcPr>
          <w:p>
            <w:pPr>
              <w:spacing w:after="0"/>
              <w:rPr>
                <w:sz w:val="11"/>
                <w:szCs w:val="11"/>
                <w:color w:val="auto"/>
              </w:rPr>
            </w:pPr>
          </w:p>
        </w:tc>
        <w:tc>
          <w:tcPr>
            <w:tcW w:w="39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1"/>
                <w:szCs w:val="11"/>
                <w:b w:val="1"/>
                <w:bCs w:val="1"/>
                <w:color w:val="auto"/>
              </w:rPr>
              <w:t>Required</w:t>
            </w:r>
          </w:p>
        </w:tc>
        <w:tc>
          <w:tcPr>
            <w:tcW w:w="100" w:type="dxa"/>
            <w:vAlign w:val="bottom"/>
          </w:tcPr>
          <w:p>
            <w:pPr>
              <w:spacing w:after="0"/>
              <w:rPr>
                <w:sz w:val="11"/>
                <w:szCs w:val="11"/>
                <w:color w:val="auto"/>
              </w:rPr>
            </w:pPr>
          </w:p>
        </w:tc>
        <w:tc>
          <w:tcPr>
            <w:tcW w:w="28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1"/>
                <w:szCs w:val="11"/>
                <w:b w:val="1"/>
                <w:bCs w:val="1"/>
                <w:color w:val="auto"/>
              </w:rPr>
              <w:t>Complies</w:t>
            </w:r>
          </w:p>
        </w:tc>
      </w:tr>
      <w:tr>
        <w:trPr>
          <w:trHeight w:val="312"/>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Monthly financial statements with</w:t>
            </w:r>
          </w:p>
        </w:tc>
        <w:tc>
          <w:tcPr>
            <w:tcW w:w="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Monthly within 30 days</w:t>
            </w:r>
          </w:p>
        </w:tc>
        <w:tc>
          <w:tcPr>
            <w:tcW w:w="100" w:type="dxa"/>
            <w:vAlign w:val="bottom"/>
          </w:tcPr>
          <w:p>
            <w:pPr>
              <w:spacing w:after="0"/>
              <w:rPr>
                <w:sz w:val="24"/>
                <w:szCs w:val="24"/>
                <w:color w:val="auto"/>
              </w:rPr>
            </w:pPr>
          </w:p>
        </w:tc>
        <w:tc>
          <w:tcPr>
            <w:tcW w:w="28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Yes No</w:t>
            </w:r>
          </w:p>
        </w:tc>
      </w:tr>
      <w:tr>
        <w:trPr>
          <w:trHeight w:val="17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Compliance Statement</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16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Annual financial statements (CPA Audited)</w:t>
            </w:r>
          </w:p>
        </w:tc>
        <w:tc>
          <w:tcPr>
            <w:tcW w:w="100" w:type="dxa"/>
            <w:vAlign w:val="bottom"/>
          </w:tcPr>
          <w:p>
            <w:pPr>
              <w:spacing w:after="0"/>
              <w:rPr>
                <w:sz w:val="14"/>
                <w:szCs w:val="14"/>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FYE within 180 days</w:t>
            </w:r>
          </w:p>
        </w:tc>
        <w:tc>
          <w:tcPr>
            <w:tcW w:w="100" w:type="dxa"/>
            <w:vAlign w:val="bottom"/>
          </w:tcPr>
          <w:p>
            <w:pPr>
              <w:spacing w:after="0"/>
              <w:rPr>
                <w:sz w:val="14"/>
                <w:szCs w:val="14"/>
                <w:color w:val="auto"/>
              </w:rPr>
            </w:pPr>
          </w:p>
        </w:tc>
        <w:tc>
          <w:tcPr>
            <w:tcW w:w="28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Yes No</w:t>
            </w:r>
          </w:p>
        </w:tc>
      </w:tr>
      <w:tr>
        <w:trPr>
          <w:trHeight w:val="16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10-Q, 10-K and 8-K</w:t>
            </w:r>
          </w:p>
        </w:tc>
        <w:tc>
          <w:tcPr>
            <w:tcW w:w="100" w:type="dxa"/>
            <w:vAlign w:val="bottom"/>
          </w:tcPr>
          <w:p>
            <w:pPr>
              <w:spacing w:after="0"/>
              <w:rPr>
                <w:sz w:val="14"/>
                <w:szCs w:val="14"/>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Within 5 days after filing with SEC</w:t>
            </w:r>
          </w:p>
        </w:tc>
        <w:tc>
          <w:tcPr>
            <w:tcW w:w="100" w:type="dxa"/>
            <w:vAlign w:val="bottom"/>
          </w:tcPr>
          <w:p>
            <w:pPr>
              <w:spacing w:after="0"/>
              <w:rPr>
                <w:sz w:val="14"/>
                <w:szCs w:val="14"/>
                <w:color w:val="auto"/>
              </w:rPr>
            </w:pPr>
          </w:p>
        </w:tc>
        <w:tc>
          <w:tcPr>
            <w:tcW w:w="28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Yes No</w:t>
            </w: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Board approved projections</w:t>
            </w:r>
          </w:p>
        </w:tc>
        <w:tc>
          <w:tcPr>
            <w:tcW w:w="100" w:type="dxa"/>
            <w:vAlign w:val="bottom"/>
          </w:tcPr>
          <w:p>
            <w:pPr>
              <w:spacing w:after="0"/>
              <w:rPr>
                <w:sz w:val="15"/>
                <w:szCs w:val="15"/>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FYE within 30 days and as amended/ updated</w:t>
            </w:r>
          </w:p>
        </w:tc>
        <w:tc>
          <w:tcPr>
            <w:tcW w:w="100" w:type="dxa"/>
            <w:vAlign w:val="bottom"/>
          </w:tcPr>
          <w:p>
            <w:pPr>
              <w:spacing w:after="0"/>
              <w:rPr>
                <w:sz w:val="15"/>
                <w:szCs w:val="15"/>
                <w:color w:val="auto"/>
              </w:rPr>
            </w:pPr>
          </w:p>
        </w:tc>
        <w:tc>
          <w:tcPr>
            <w:tcW w:w="28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Yes No</w:t>
            </w:r>
          </w:p>
        </w:tc>
      </w:tr>
    </w:tbl>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648970</wp:posOffset>
            </wp:positionV>
            <wp:extent cx="7188200"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92" w:name="page493"/>
    <w:bookmarkEnd w:id="492"/>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LOAN PAYMENT/ADVANCE REQUEST FORM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7320" w:type="dxa"/>
            <w:vAlign w:val="bottom"/>
            <w:gridSpan w:val="5"/>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EADLINE FOR SAME DAY PROCESSING IS</w:t>
            </w:r>
            <w:r>
              <w:rPr>
                <w:rFonts w:ascii="Times New Roman" w:cs="Times New Roman" w:eastAsia="Times New Roman" w:hAnsi="Times New Roman"/>
                <w:sz w:val="14"/>
                <w:szCs w:val="14"/>
                <w:b w:val="1"/>
                <w:bCs w:val="1"/>
                <w:color w:val="auto"/>
              </w:rPr>
              <w:t xml:space="preserve"> N</w:t>
            </w:r>
            <w:r>
              <w:rPr>
                <w:rFonts w:ascii="Times New Roman" w:cs="Times New Roman" w:eastAsia="Times New Roman" w:hAnsi="Times New Roman"/>
                <w:sz w:val="10"/>
                <w:szCs w:val="10"/>
                <w:b w:val="1"/>
                <w:bCs w:val="1"/>
                <w:color w:val="auto"/>
              </w:rPr>
              <w:t>OON</w:t>
            </w:r>
            <w:r>
              <w:rPr>
                <w:rFonts w:ascii="Times New Roman" w:cs="Times New Roman" w:eastAsia="Times New Roman" w:hAnsi="Times New Roman"/>
                <w:sz w:val="14"/>
                <w:szCs w:val="14"/>
                <w:b w:val="1"/>
                <w:bCs w:val="1"/>
                <w:color w:val="auto"/>
              </w:rPr>
              <w:t xml:space="preserve"> E</w:t>
            </w:r>
            <w:r>
              <w:rPr>
                <w:rFonts w:ascii="Times New Roman" w:cs="Times New Roman" w:eastAsia="Times New Roman" w:hAnsi="Times New Roman"/>
                <w:sz w:val="10"/>
                <w:szCs w:val="10"/>
                <w:b w:val="1"/>
                <w:bCs w:val="1"/>
                <w:color w:val="auto"/>
              </w:rPr>
              <w:t>ASTERN</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0"/>
                <w:szCs w:val="10"/>
                <w:b w:val="1"/>
                <w:bCs w:val="1"/>
                <w:color w:val="auto"/>
              </w:rPr>
              <w:t>IME</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2"/>
              </w:rPr>
              <w:t>Date: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0"/>
                <w:szCs w:val="10"/>
                <w:b w:val="1"/>
                <w:bCs w:val="1"/>
                <w:color w:val="auto"/>
              </w:rPr>
              <w:t>OAN</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0"/>
                <w:szCs w:val="10"/>
                <w:b w:val="1"/>
                <w:bCs w:val="1"/>
                <w:color w:val="auto"/>
              </w:rPr>
              <w:t>AYMENT</w:t>
            </w:r>
            <w:r>
              <w:rPr>
                <w:rFonts w:ascii="Times New Roman" w:cs="Times New Roman" w:eastAsia="Times New Roman" w:hAnsi="Times New Roman"/>
                <w:sz w:val="14"/>
                <w:szCs w:val="14"/>
                <w:b w:val="1"/>
                <w:bCs w:val="1"/>
                <w:color w:val="auto"/>
              </w:rPr>
              <w:t>:</w:t>
            </w:r>
          </w:p>
        </w:tc>
        <w:tc>
          <w:tcPr>
            <w:tcW w:w="5200" w:type="dxa"/>
            <w:vAlign w:val="bottom"/>
            <w:gridSpan w:val="4"/>
            <w:vMerge w:val="restart"/>
          </w:tcPr>
          <w:p>
            <w:pPr>
              <w:jc w:val="center"/>
              <w:ind w:right="3040"/>
              <w:spacing w:after="0"/>
              <w:rPr>
                <w:sz w:val="20"/>
                <w:szCs w:val="20"/>
                <w:color w:val="auto"/>
              </w:rPr>
            </w:pPr>
            <w:r>
              <w:rPr>
                <w:rFonts w:ascii="Times New Roman" w:cs="Times New Roman" w:eastAsia="Times New Roman" w:hAnsi="Times New Roman"/>
                <w:sz w:val="14"/>
                <w:szCs w:val="14"/>
                <w:color w:val="auto"/>
              </w:rPr>
              <w:t>FOG PHARMACEUTICALS,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200" w:type="dxa"/>
            <w:vAlign w:val="bottom"/>
            <w:gridSpan w:val="4"/>
            <w:vMerge w:val="continue"/>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Account #</w:t>
            </w:r>
          </w:p>
        </w:tc>
        <w:tc>
          <w:tcPr>
            <w:tcW w:w="820" w:type="dxa"/>
            <w:vAlign w:val="bottom"/>
          </w:tcPr>
          <w:p>
            <w:pPr>
              <w:spacing w:after="0"/>
              <w:rPr>
                <w:sz w:val="15"/>
                <w:szCs w:val="15"/>
                <w:color w:val="auto"/>
              </w:rPr>
            </w:pPr>
          </w:p>
        </w:tc>
        <w:tc>
          <w:tcPr>
            <w:tcW w:w="438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To Account #</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21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(Deposit Account #)</w:t>
            </w:r>
          </w:p>
        </w:tc>
        <w:tc>
          <w:tcPr>
            <w:tcW w:w="820" w:type="dxa"/>
            <w:vAlign w:val="bottom"/>
            <w:tcBorders>
              <w:top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2920" w:type="dxa"/>
            <w:vAlign w:val="bottom"/>
            <w:tcBorders>
              <w:top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color w:val="auto"/>
              </w:rPr>
              <w:t>(Loan Account #)</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Principal $</w:t>
            </w:r>
          </w:p>
        </w:tc>
        <w:tc>
          <w:tcPr>
            <w:tcW w:w="2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and/or Interest $</w:t>
            </w:r>
          </w:p>
        </w:tc>
        <w:tc>
          <w:tcPr>
            <w:tcW w:w="1400" w:type="dxa"/>
            <w:vAlign w:val="bottom"/>
            <w:tcBorders>
              <w:bottom w:val="single" w:sz="8" w:color="auto"/>
            </w:tcBorders>
            <w:gridSpan w:val="2"/>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Authorized Signature:</w:t>
            </w:r>
          </w:p>
        </w:tc>
        <w:tc>
          <w:tcPr>
            <w:tcW w:w="2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Phone Number:</w:t>
            </w:r>
          </w:p>
        </w:tc>
        <w:tc>
          <w:tcPr>
            <w:tcW w:w="1400" w:type="dxa"/>
            <w:vAlign w:val="bottom"/>
            <w:tcBorders>
              <w:bottom w:val="single" w:sz="8" w:color="auto"/>
            </w:tcBorders>
            <w:gridSpan w:val="2"/>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Print Name/Title:</w:t>
            </w:r>
          </w:p>
        </w:tc>
        <w:tc>
          <w:tcPr>
            <w:tcW w:w="2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0"/>
          <w:szCs w:val="10"/>
          <w:b w:val="1"/>
          <w:bCs w:val="1"/>
          <w:color w:val="auto"/>
        </w:rPr>
        <w:t>OAN</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0"/>
          <w:szCs w:val="10"/>
          <w:b w:val="1"/>
          <w:bCs w:val="1"/>
          <w:color w:val="auto"/>
        </w:rPr>
        <w:t>DVANCE</w:t>
      </w:r>
      <w:r>
        <w:rPr>
          <w:rFonts w:ascii="Times New Roman" w:cs="Times New Roman" w:eastAsia="Times New Roman" w:hAnsi="Times New Roman"/>
          <w:sz w:val="14"/>
          <w:szCs w:val="14"/>
          <w:b w:val="1"/>
          <w:bCs w:val="1"/>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Complete </w:t>
      </w:r>
      <w:r>
        <w:rPr>
          <w:rFonts w:ascii="Times New Roman" w:cs="Times New Roman" w:eastAsia="Times New Roman" w:hAnsi="Times New Roman"/>
          <w:sz w:val="14"/>
          <w:szCs w:val="14"/>
          <w:i w:val="1"/>
          <w:iCs w:val="1"/>
          <w:color w:val="auto"/>
        </w:rPr>
        <w:t>Outgoing Wire Request</w:t>
      </w:r>
      <w:r>
        <w:rPr>
          <w:rFonts w:ascii="Times New Roman" w:cs="Times New Roman" w:eastAsia="Times New Roman" w:hAnsi="Times New Roman"/>
          <w:sz w:val="14"/>
          <w:szCs w:val="14"/>
          <w:color w:val="auto"/>
        </w:rPr>
        <w:t xml:space="preserve"> section below if all or a portion of the funds from this loan advance are for an outgoing wire.</w:t>
      </w:r>
    </w:p>
    <w:p>
      <w:pPr>
        <w:spacing w:after="0" w:line="177"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From Account #</w:t>
      </w:r>
      <w:r>
        <w:rPr>
          <w:sz w:val="20"/>
          <w:szCs w:val="20"/>
          <w:color w:val="auto"/>
        </w:rPr>
        <w:tab/>
      </w:r>
      <w:r>
        <w:rPr>
          <w:rFonts w:ascii="Times New Roman" w:cs="Times New Roman" w:eastAsia="Times New Roman" w:hAnsi="Times New Roman"/>
          <w:sz w:val="14"/>
          <w:szCs w:val="14"/>
          <w:color w:val="auto"/>
        </w:rPr>
        <w:t>To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13970</wp:posOffset>
            </wp:positionV>
            <wp:extent cx="1795780"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795780" cy="698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13970</wp:posOffset>
            </wp:positionV>
            <wp:extent cx="1788795"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29" w:lineRule="exact"/>
        <w:rPr>
          <w:sz w:val="20"/>
          <w:szCs w:val="20"/>
          <w:color w:val="auto"/>
        </w:rPr>
      </w:pPr>
    </w:p>
    <w:p>
      <w:pPr>
        <w:ind w:left="3920"/>
        <w:spacing w:after="0"/>
        <w:tabs>
          <w:tab w:leader="none" w:pos="9280" w:val="left"/>
        </w:tabs>
        <w:rPr>
          <w:sz w:val="20"/>
          <w:szCs w:val="20"/>
          <w:color w:val="auto"/>
        </w:rPr>
      </w:pPr>
      <w:r>
        <w:rPr>
          <w:rFonts w:ascii="Times New Roman" w:cs="Times New Roman" w:eastAsia="Times New Roman" w:hAnsi="Times New Roman"/>
          <w:sz w:val="14"/>
          <w:szCs w:val="14"/>
          <w:color w:val="auto"/>
        </w:rPr>
        <w:t>(Loan Account #)</w:t>
      </w:r>
      <w:r>
        <w:rPr>
          <w:sz w:val="20"/>
          <w:szCs w:val="20"/>
          <w:color w:val="auto"/>
        </w:rPr>
        <w:tab/>
      </w:r>
      <w:r>
        <w:rPr>
          <w:rFonts w:ascii="Times New Roman" w:cs="Times New Roman" w:eastAsia="Times New Roman" w:hAnsi="Times New Roman"/>
          <w:sz w:val="13"/>
          <w:szCs w:val="13"/>
          <w:color w:val="auto"/>
        </w:rPr>
        <w:t>(Deposit Account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of Term Loan Advance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4445</wp:posOffset>
            </wp:positionV>
            <wp:extent cx="2069465" cy="69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069465" cy="6985"/>
                    </a:xfrm>
                    <a:prstGeom prst="rect">
                      <a:avLst/>
                    </a:prstGeom>
                    <a:noFill/>
                  </pic:spPr>
                </pic:pic>
              </a:graphicData>
            </a:graphic>
          </wp:anchor>
        </w:drawing>
      </w:r>
    </w:p>
    <w:p>
      <w:pPr>
        <w:spacing w:after="0" w:line="34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Authorized Signature:</w:t>
            </w:r>
          </w:p>
        </w:tc>
        <w:tc>
          <w:tcPr>
            <w:tcW w:w="2800" w:type="dxa"/>
            <w:vAlign w:val="bottom"/>
            <w:tcBorders>
              <w:bottom w:val="single" w:sz="8" w:color="auto"/>
            </w:tcBorders>
            <w:gridSpan w:val="3"/>
          </w:tcPr>
          <w:p>
            <w:pPr>
              <w:spacing w:after="0"/>
              <w:rPr>
                <w:sz w:val="15"/>
                <w:szCs w:val="15"/>
                <w:color w:val="auto"/>
              </w:rPr>
            </w:pPr>
          </w:p>
        </w:tc>
        <w:tc>
          <w:tcPr>
            <w:tcW w:w="32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Phone Number:</w:t>
            </w:r>
          </w:p>
        </w:tc>
        <w:tc>
          <w:tcPr>
            <w:tcW w:w="2820" w:type="dxa"/>
            <w:vAlign w:val="bottom"/>
            <w:tcBorders>
              <w:bottom w:val="single" w:sz="8" w:color="auto"/>
            </w:tcBorders>
            <w:gridSpan w:val="2"/>
          </w:tcPr>
          <w:p>
            <w:pPr>
              <w:spacing w:after="0"/>
              <w:rPr>
                <w:sz w:val="15"/>
                <w:szCs w:val="15"/>
                <w:color w:val="auto"/>
              </w:rPr>
            </w:pPr>
          </w:p>
        </w:tc>
      </w:tr>
      <w:tr>
        <w:trPr>
          <w:trHeight w:val="190"/>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Print Name/Title:</w:t>
            </w:r>
          </w:p>
        </w:tc>
        <w:tc>
          <w:tcPr>
            <w:tcW w:w="2800" w:type="dxa"/>
            <w:vAlign w:val="bottom"/>
            <w:tcBorders>
              <w:bottom w:val="single" w:sz="8" w:color="auto"/>
            </w:tcBorders>
            <w:gridSpan w:val="3"/>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379"/>
        </w:trPr>
        <w:tc>
          <w:tcPr>
            <w:tcW w:w="5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0"/>
                <w:szCs w:val="10"/>
                <w:b w:val="1"/>
                <w:bCs w:val="1"/>
                <w:color w:val="auto"/>
              </w:rPr>
              <w:t>UTGOING</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IRE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0"/>
                <w:szCs w:val="10"/>
                <w:b w:val="1"/>
                <w:bCs w:val="1"/>
                <w:color w:val="auto"/>
              </w:rPr>
              <w:t>EQUEST</w:t>
            </w:r>
            <w:r>
              <w:rPr>
                <w:rFonts w:ascii="Times New Roman" w:cs="Times New Roman" w:eastAsia="Times New Roman" w:hAnsi="Times New Roman"/>
                <w:sz w:val="14"/>
                <w:szCs w:val="14"/>
                <w:b w:val="1"/>
                <w:bCs w:val="1"/>
                <w:color w:val="auto"/>
              </w:rPr>
              <w:t>:</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8"/>
        </w:trPr>
        <w:tc>
          <w:tcPr>
            <w:tcW w:w="5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Complete only if all or a portion of funds from the loan advance above is to be wired.</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183"/>
        </w:trPr>
        <w:tc>
          <w:tcPr>
            <w:tcW w:w="5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Deadline for same day processing is noon, Eastern Time</w:t>
            </w:r>
          </w:p>
        </w:tc>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57"/>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Beneficiary Name:</w:t>
            </w:r>
          </w:p>
        </w:tc>
        <w:tc>
          <w:tcPr>
            <w:tcW w:w="284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Amount of Wire: $</w:t>
            </w:r>
          </w:p>
        </w:tc>
        <w:tc>
          <w:tcPr>
            <w:tcW w:w="2820" w:type="dxa"/>
            <w:vAlign w:val="bottom"/>
            <w:tcBorders>
              <w:bottom w:val="single" w:sz="8" w:color="auto"/>
            </w:tcBorders>
            <w:gridSpan w:val="2"/>
          </w:tcPr>
          <w:p>
            <w:pPr>
              <w:spacing w:after="0"/>
              <w:rPr>
                <w:sz w:val="24"/>
                <w:szCs w:val="24"/>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Beneficiary Bank:</w:t>
            </w:r>
          </w:p>
        </w:tc>
        <w:tc>
          <w:tcPr>
            <w:tcW w:w="2840" w:type="dxa"/>
            <w:vAlign w:val="bottom"/>
            <w:tcBorders>
              <w:bottom w:val="single" w:sz="8" w:color="auto"/>
            </w:tcBorders>
            <w:gridSpan w:val="3"/>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 Number:</w:t>
            </w:r>
          </w:p>
        </w:tc>
        <w:tc>
          <w:tcPr>
            <w:tcW w:w="2820" w:type="dxa"/>
            <w:vAlign w:val="bottom"/>
            <w:tcBorders>
              <w:bottom w:val="single" w:sz="8" w:color="auto"/>
            </w:tcBorders>
            <w:gridSpan w:val="2"/>
          </w:tcPr>
          <w:p>
            <w:pPr>
              <w:spacing w:after="0"/>
              <w:rPr>
                <w:sz w:val="16"/>
                <w:szCs w:val="16"/>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City and State:</w:t>
            </w:r>
          </w:p>
        </w:tc>
        <w:tc>
          <w:tcPr>
            <w:tcW w:w="2840" w:type="dxa"/>
            <w:vAlign w:val="bottom"/>
            <w:tcBorders>
              <w:bottom w:val="single" w:sz="8" w:color="auto"/>
            </w:tcBorders>
            <w:gridSpan w:val="3"/>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43"/>
        </w:trPr>
        <w:tc>
          <w:tcPr>
            <w:tcW w:w="52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Beneficiary Bank Transit (ABA) #:                                   </w:t>
            </w:r>
          </w:p>
        </w:tc>
        <w:tc>
          <w:tcPr>
            <w:tcW w:w="604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 xml:space="preserve">Beneficiary Bank Code (Swift, Sort, Chip, etc.):          </w:t>
            </w:r>
          </w:p>
        </w:tc>
      </w:tr>
      <w:tr>
        <w:trPr>
          <w:trHeight w:val="20"/>
        </w:trPr>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0"/>
        </w:trPr>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40" w:type="dxa"/>
            <w:vAlign w:val="bottom"/>
            <w:gridSpan w:val="4"/>
          </w:tcPr>
          <w:p>
            <w:pPr>
              <w:ind w:left="2220"/>
              <w:spacing w:after="0"/>
              <w:rPr>
                <w:sz w:val="20"/>
                <w:szCs w:val="20"/>
                <w:color w:val="auto"/>
              </w:rPr>
            </w:pPr>
            <w:r>
              <w:rPr>
                <w:rFonts w:ascii="Times New Roman" w:cs="Times New Roman" w:eastAsia="Times New Roman" w:hAnsi="Times New Roman"/>
                <w:sz w:val="14"/>
                <w:szCs w:val="14"/>
                <w:b w:val="1"/>
                <w:bCs w:val="1"/>
                <w:color w:val="auto"/>
              </w:rPr>
              <w:t>(For International Wire Only)</w:t>
            </w:r>
          </w:p>
        </w:tc>
      </w:tr>
      <w:tr>
        <w:trPr>
          <w:trHeight w:val="23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International Bank:</w:t>
            </w:r>
          </w:p>
        </w:tc>
        <w:tc>
          <w:tcPr>
            <w:tcW w:w="2840" w:type="dxa"/>
            <w:vAlign w:val="bottom"/>
            <w:tcBorders>
              <w:bottom w:val="single" w:sz="8" w:color="auto"/>
            </w:tcBorders>
            <w:gridSpan w:val="3"/>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Transit (ABA) #:</w:t>
            </w:r>
          </w:p>
        </w:tc>
        <w:tc>
          <w:tcPr>
            <w:tcW w:w="2820" w:type="dxa"/>
            <w:vAlign w:val="bottom"/>
            <w:tcBorders>
              <w:bottom w:val="single" w:sz="8" w:color="auto"/>
            </w:tcBorders>
            <w:gridSpan w:val="2"/>
          </w:tcPr>
          <w:p>
            <w:pPr>
              <w:spacing w:after="0"/>
              <w:rPr>
                <w:sz w:val="20"/>
                <w:szCs w:val="20"/>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Further Credit to:</w:t>
            </w:r>
          </w:p>
        </w:tc>
        <w:tc>
          <w:tcPr>
            <w:tcW w:w="3020" w:type="dxa"/>
            <w:vAlign w:val="bottom"/>
            <w:tcBorders>
              <w:bottom w:val="single" w:sz="8" w:color="auto"/>
            </w:tcBorders>
            <w:gridSpan w:val="4"/>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Special Instruction:</w:t>
            </w:r>
          </w:p>
        </w:tc>
        <w:tc>
          <w:tcPr>
            <w:tcW w:w="3020" w:type="dxa"/>
            <w:vAlign w:val="bottom"/>
            <w:tcBorders>
              <w:bottom w:val="single" w:sz="8" w:color="auto"/>
            </w:tcBorders>
            <w:gridSpan w:val="4"/>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r>
    </w:tbl>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Authorized Signature:</w:t>
            </w:r>
          </w:p>
        </w:tc>
        <w:tc>
          <w:tcPr>
            <w:tcW w:w="3300" w:type="dxa"/>
            <w:vAlign w:val="bottom"/>
            <w:tcBorders>
              <w:bottom w:val="single" w:sz="8" w:color="auto"/>
            </w:tcBorders>
          </w:tcPr>
          <w:p>
            <w:pPr>
              <w:spacing w:after="0"/>
              <w:rPr>
                <w:sz w:val="15"/>
                <w:szCs w:val="15"/>
                <w:color w:val="auto"/>
              </w:rPr>
            </w:pPr>
          </w:p>
        </w:tc>
        <w:tc>
          <w:tcPr>
            <w:tcW w:w="2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2nd Signature (if required):</w:t>
            </w:r>
          </w:p>
        </w:tc>
        <w:tc>
          <w:tcPr>
            <w:tcW w:w="3000" w:type="dxa"/>
            <w:vAlign w:val="bottom"/>
            <w:tcBorders>
              <w:bottom w:val="single" w:sz="8" w:color="auto"/>
            </w:tcBorders>
          </w:tcPr>
          <w:p>
            <w:pPr>
              <w:spacing w:after="0"/>
              <w:rPr>
                <w:sz w:val="15"/>
                <w:szCs w:val="15"/>
                <w:color w:val="auto"/>
              </w:rPr>
            </w:pPr>
          </w:p>
        </w:tc>
      </w:tr>
      <w:tr>
        <w:trPr>
          <w:trHeight w:val="22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Print Name/Title:</w:t>
            </w:r>
          </w:p>
        </w:tc>
        <w:tc>
          <w:tcPr>
            <w:tcW w:w="3300" w:type="dxa"/>
            <w:vAlign w:val="bottom"/>
            <w:tcBorders>
              <w:bottom w:val="single" w:sz="8" w:color="auto"/>
            </w:tcBorders>
          </w:tcPr>
          <w:p>
            <w:pPr>
              <w:spacing w:after="0"/>
              <w:rPr>
                <w:sz w:val="19"/>
                <w:szCs w:val="19"/>
                <w:color w:val="auto"/>
              </w:rPr>
            </w:pPr>
          </w:p>
        </w:tc>
        <w:tc>
          <w:tcPr>
            <w:tcW w:w="28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Print Name/Title:</w:t>
            </w:r>
          </w:p>
        </w:tc>
        <w:tc>
          <w:tcPr>
            <w:tcW w:w="3000" w:type="dxa"/>
            <w:vAlign w:val="bottom"/>
            <w:tcBorders>
              <w:bottom w:val="single" w:sz="8" w:color="auto"/>
            </w:tcBorders>
          </w:tcPr>
          <w:p>
            <w:pPr>
              <w:spacing w:after="0"/>
              <w:rPr>
                <w:sz w:val="19"/>
                <w:szCs w:val="19"/>
                <w:color w:val="auto"/>
              </w:rPr>
            </w:pPr>
          </w:p>
        </w:tc>
      </w:tr>
      <w:tr>
        <w:trPr>
          <w:trHeight w:val="22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Telephone #:</w:t>
            </w:r>
          </w:p>
        </w:tc>
        <w:tc>
          <w:tcPr>
            <w:tcW w:w="3300" w:type="dxa"/>
            <w:vAlign w:val="bottom"/>
          </w:tcPr>
          <w:p>
            <w:pPr>
              <w:spacing w:after="0"/>
              <w:rPr>
                <w:sz w:val="19"/>
                <w:szCs w:val="19"/>
                <w:color w:val="auto"/>
              </w:rPr>
            </w:pPr>
          </w:p>
        </w:tc>
        <w:tc>
          <w:tcPr>
            <w:tcW w:w="5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Telephone #:</w:t>
            </w:r>
          </w:p>
        </w:tc>
      </w:tr>
      <w:tr>
        <w:trPr>
          <w:trHeight w:val="917"/>
        </w:trPr>
        <w:tc>
          <w:tcPr>
            <w:tcW w:w="2140" w:type="dxa"/>
            <w:vAlign w:val="bottom"/>
            <w:tcBorders>
              <w:bottom w:val="single" w:sz="8" w:color="9A9A9A"/>
            </w:tcBorders>
          </w:tcPr>
          <w:p>
            <w:pPr>
              <w:spacing w:after="0"/>
              <w:rPr>
                <w:sz w:val="24"/>
                <w:szCs w:val="24"/>
                <w:color w:val="auto"/>
              </w:rPr>
            </w:pPr>
          </w:p>
        </w:tc>
        <w:tc>
          <w:tcPr>
            <w:tcW w:w="3300" w:type="dxa"/>
            <w:vAlign w:val="bottom"/>
            <w:tcBorders>
              <w:top w:val="single" w:sz="8" w:color="auto"/>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93" w:name="page494"/>
    <w:bookmarkEnd w:id="493"/>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FIRST AMENDMENT TO LOAN AND SECURITY AGREEMENT</w:t>
      </w:r>
    </w:p>
    <w:p>
      <w:pPr>
        <w:spacing w:after="0" w:line="175" w:lineRule="exact"/>
        <w:rPr>
          <w:sz w:val="20"/>
          <w:szCs w:val="20"/>
          <w:color w:val="auto"/>
        </w:rPr>
      </w:pPr>
    </w:p>
    <w:p>
      <w:pPr>
        <w:ind w:right="660" w:firstLine="511"/>
        <w:spacing w:after="0" w:line="286" w:lineRule="auto"/>
        <w:rPr>
          <w:sz w:val="20"/>
          <w:szCs w:val="20"/>
          <w:color w:val="auto"/>
        </w:rPr>
      </w:pPr>
      <w:r>
        <w:rPr>
          <w:rFonts w:ascii="Times New Roman" w:cs="Times New Roman" w:eastAsia="Times New Roman" w:hAnsi="Times New Roman"/>
          <w:sz w:val="14"/>
          <w:szCs w:val="14"/>
          <w:color w:val="auto"/>
        </w:rPr>
        <w:t>This First Amendment to Loan and Security Agreement (this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this 12</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day of April, 2022, by and between </w:t>
      </w:r>
      <w:r>
        <w:rPr>
          <w:rFonts w:ascii="Times New Roman" w:cs="Times New Roman" w:eastAsia="Times New Roman" w:hAnsi="Times New Roman"/>
          <w:sz w:val="14"/>
          <w:szCs w:val="14"/>
          <w:b w:val="1"/>
          <w:bCs w:val="1"/>
          <w:color w:val="auto"/>
        </w:rPr>
        <w:t>SILICON VALLEY BANK</w:t>
      </w:r>
      <w:r>
        <w:rPr>
          <w:rFonts w:ascii="Times New Roman" w:cs="Times New Roman" w:eastAsia="Times New Roman" w:hAnsi="Times New Roman"/>
          <w:sz w:val="14"/>
          <w:szCs w:val="14"/>
          <w:color w:val="auto"/>
        </w:rPr>
        <w:t>, a California corporation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FOG PHARMACEUTICALS, INC.</w:t>
      </w:r>
      <w:r>
        <w:rPr>
          <w:rFonts w:ascii="Times New Roman" w:cs="Times New Roman" w:eastAsia="Times New Roman" w:hAnsi="Times New Roman"/>
          <w:sz w:val="14"/>
          <w:szCs w:val="14"/>
          <w:color w:val="auto"/>
        </w:rPr>
        <w:t>, a Delaware corporation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whose address is 30 Acord Park Drive, Cambridge, Massachusetts 02139.</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0"/>
          <w:szCs w:val="10"/>
          <w:b w:val="1"/>
          <w:bCs w:val="1"/>
          <w:color w:val="auto"/>
        </w:rPr>
        <w:t>ECITALS</w:t>
      </w:r>
    </w:p>
    <w:p>
      <w:pPr>
        <w:spacing w:after="0" w:line="175"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Borrower and Bank have entered into that certain Loan and Security Agreement dated as of September 21, 2021 (as the same may from time to time be amended, modified, supplemented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restated,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Bank has extended credit to Borrower for the purposes permitted in the Loan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Borrower has requested that Bank amend the Loan Agreement to (i) extend the Draw Period and (ii) make certain other revisions to the Loan Agreement as more fully set forth herein.</w:t>
      </w:r>
    </w:p>
    <w:p>
      <w:pPr>
        <w:spacing w:after="0" w:line="175" w:lineRule="exact"/>
        <w:rPr>
          <w:sz w:val="20"/>
          <w:szCs w:val="20"/>
          <w:color w:val="auto"/>
        </w:rPr>
      </w:pPr>
    </w:p>
    <w:p>
      <w:pPr>
        <w:ind w:right="8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D. </w:t>
      </w:r>
      <w:r>
        <w:rPr>
          <w:rFonts w:ascii="Times New Roman" w:cs="Times New Roman" w:eastAsia="Times New Roman" w:hAnsi="Times New Roman"/>
          <w:sz w:val="14"/>
          <w:szCs w:val="14"/>
          <w:color w:val="auto"/>
        </w:rPr>
        <w:t>Bank has agreed to so amend certain provisions of the Loan Agreement, but only to the extent, in accordance with the terms, subject to the conditions and in reliance upon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representations and warranties set forth below.</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GREEMENT</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4"/>
          <w:szCs w:val="14"/>
          <w:color w:val="auto"/>
        </w:rPr>
        <w:t>, in consideration of the foregoing recitals and other good and valuable consideration, the receipt and adequacy of which is hereby acknowledged, and intending to be legally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bound, the parties hereto agree as follows:</w:t>
      </w:r>
    </w:p>
    <w:p>
      <w:pPr>
        <w:spacing w:after="0" w:line="121" w:lineRule="exact"/>
        <w:rPr>
          <w:sz w:val="20"/>
          <w:szCs w:val="20"/>
          <w:color w:val="auto"/>
        </w:rPr>
      </w:pPr>
    </w:p>
    <w:p>
      <w:pPr>
        <w:ind w:left="660" w:hanging="145"/>
        <w:spacing w:after="0"/>
        <w:tabs>
          <w:tab w:leader="none" w:pos="660" w:val="left"/>
        </w:tabs>
        <w:numPr>
          <w:ilvl w:val="0"/>
          <w:numId w:val="4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Capitalized terms used but not defined in this Amendment shall have the meanings given to them in the Loan Agreement.</w:t>
      </w:r>
    </w:p>
    <w:p>
      <w:pPr>
        <w:spacing w:after="0" w:line="175"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Loan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7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2.1 Schedule I (LSA Provisions)</w:t>
      </w:r>
      <w:r>
        <w:rPr>
          <w:rFonts w:ascii="Times New Roman" w:cs="Times New Roman" w:eastAsia="Times New Roman" w:hAnsi="Times New Roman"/>
          <w:sz w:val="14"/>
          <w:szCs w:val="14"/>
          <w:color w:val="auto"/>
        </w:rPr>
        <w:t>. Schedule I (1.1(a) – Term Loan – Availability) of the Loan Agreement is amended by deleting “$5,000,000.00” therein and inserting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“$2,500,000.00” in lieu thereof.</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2.2 Schedule I (LSA Provisions)</w:t>
      </w:r>
      <w:r>
        <w:rPr>
          <w:rFonts w:ascii="Times New Roman" w:cs="Times New Roman" w:eastAsia="Times New Roman" w:hAnsi="Times New Roman"/>
          <w:sz w:val="14"/>
          <w:szCs w:val="14"/>
          <w:color w:val="auto"/>
        </w:rPr>
        <w:t>. The definition of “Draw Period” in Schedule I (12.2 – “Draw Period”) of the Loan Agreement is amended in its entirety and replaced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Draw Period</w:t>
      </w:r>
      <w:r>
        <w:rPr>
          <w:rFonts w:ascii="Times New Roman" w:cs="Times New Roman" w:eastAsia="Times New Roman" w:hAnsi="Times New Roman"/>
          <w:sz w:val="14"/>
          <w:szCs w:val="14"/>
          <w:color w:val="auto"/>
        </w:rPr>
        <w:t>” is the period commencing on the occurrence of the Milestone Event and ending on the earlier to occur of (a) June 30, 2022, and (b) an Event of Default.”</w:t>
      </w:r>
    </w:p>
    <w:p>
      <w:pPr>
        <w:spacing w:after="0" w:line="175" w:lineRule="exact"/>
        <w:rPr>
          <w:sz w:val="20"/>
          <w:szCs w:val="20"/>
          <w:color w:val="auto"/>
        </w:rPr>
      </w:pPr>
    </w:p>
    <w:p>
      <w:pPr>
        <w:ind w:left="1140" w:right="260" w:firstLine="3"/>
        <w:spacing w:after="0" w:line="286" w:lineRule="auto"/>
        <w:rPr>
          <w:sz w:val="20"/>
          <w:szCs w:val="20"/>
          <w:color w:val="auto"/>
        </w:rPr>
      </w:pPr>
      <w:r>
        <w:rPr>
          <w:rFonts w:ascii="Times New Roman" w:cs="Times New Roman" w:eastAsia="Times New Roman" w:hAnsi="Times New Roman"/>
          <w:sz w:val="14"/>
          <w:szCs w:val="14"/>
          <w:b w:val="1"/>
          <w:bCs w:val="1"/>
          <w:color w:val="auto"/>
        </w:rPr>
        <w:t>2.3 Schedule I (LSA Provisions)</w:t>
      </w:r>
      <w:r>
        <w:rPr>
          <w:rFonts w:ascii="Times New Roman" w:cs="Times New Roman" w:eastAsia="Times New Roman" w:hAnsi="Times New Roman"/>
          <w:sz w:val="14"/>
          <w:szCs w:val="14"/>
          <w:color w:val="auto"/>
        </w:rPr>
        <w:t>. The definition of “Milestone Event” in Schedule I (12.2 – “Milestone Event”) of the Loan Agreement is amended in its entirety and replaced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following:</w:t>
      </w:r>
    </w:p>
    <w:p>
      <w:pPr>
        <w:spacing w:after="0" w:line="121" w:lineRule="exact"/>
        <w:rPr>
          <w:sz w:val="20"/>
          <w:szCs w:val="20"/>
          <w:color w:val="auto"/>
        </w:rPr>
      </w:pPr>
    </w:p>
    <w:p>
      <w:pPr>
        <w:ind w:left="1140" w:right="140"/>
        <w:spacing w:after="0" w:line="286"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Milestone Event</w:t>
      </w:r>
      <w:r>
        <w:rPr>
          <w:rFonts w:ascii="Times New Roman" w:cs="Times New Roman" w:eastAsia="Times New Roman" w:hAnsi="Times New Roman"/>
          <w:sz w:val="14"/>
          <w:szCs w:val="14"/>
          <w:color w:val="auto"/>
        </w:rPr>
        <w:t>” means Borrower has provided Bank with evidence, on or prior to June 30, 2022, satisfactory to Bank in its sole and absolute discretion, that Borrower has received unrestricted and unencumbered net cash proceeds from its Series C second tranche with investors acceptable to Bank in an aggregate amount of at least $70,000,000.00.”</w:t>
      </w:r>
    </w:p>
    <w:p>
      <w:pPr>
        <w:spacing w:after="0" w:line="120" w:lineRule="exact"/>
        <w:rPr>
          <w:sz w:val="20"/>
          <w:szCs w:val="20"/>
          <w:color w:val="auto"/>
        </w:rPr>
      </w:pPr>
    </w:p>
    <w:p>
      <w:pPr>
        <w:ind w:left="660" w:hanging="145"/>
        <w:spacing w:after="0"/>
        <w:tabs>
          <w:tab w:leader="none" w:pos="660" w:val="left"/>
        </w:tabs>
        <w:numPr>
          <w:ilvl w:val="0"/>
          <w:numId w:val="4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 of Amendments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4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 amendments set forth in Section 2, above, are effective for the purposes set forth herein and shall be limited precisely as written and shall not be deemed to (a) be a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amendment, waiver or modification of any other term or condition of any Loan Document, or (b) otherwise prejudice any right or remedy which Bank may now have or may have in the future under or in connection with any Loan Document.</w:t>
      </w:r>
    </w:p>
    <w:p>
      <w:pPr>
        <w:spacing w:after="0" w:line="133" w:lineRule="exact"/>
        <w:rPr>
          <w:sz w:val="20"/>
          <w:szCs w:val="20"/>
          <w:color w:val="auto"/>
        </w:rPr>
      </w:pPr>
    </w:p>
    <w:p>
      <w:pPr>
        <w:ind w:right="1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This Amendment shall be construed in connection with and as part of the Loan Documents and all terms, conditions, representations, warranties, covenants and agreements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the Loan Documents, except as herein amended, are hereby ratified and confirmed and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448310</wp:posOffset>
            </wp:positionV>
            <wp:extent cx="7188200"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494" w:name="page495"/>
    <w:bookmarkEnd w:id="494"/>
    <w:p>
      <w:pPr>
        <w:ind w:left="660" w:hanging="145"/>
        <w:spacing w:after="0"/>
        <w:tabs>
          <w:tab w:leader="none" w:pos="660" w:val="left"/>
        </w:tabs>
        <w:numPr>
          <w:ilvl w:val="0"/>
          <w:numId w:val="4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 To induce Bank to enter into this Amendment, Borrower hereby represents and warrants to Bank as follows:</w:t>
      </w:r>
    </w:p>
    <w:p>
      <w:pPr>
        <w:spacing w:after="0" w:line="175" w:lineRule="exact"/>
        <w:rPr>
          <w:sz w:val="20"/>
          <w:szCs w:val="20"/>
          <w:color w:val="auto"/>
        </w:rPr>
      </w:pPr>
    </w:p>
    <w:p>
      <w:pPr>
        <w:ind w:right="2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Immediately after giving effect to this Amendment (a) the representations and warranties contained in the Loan Documents are true, accurate and complete in all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Borrower has the power and authority to execute and deliver this Amendment and to perform its obligations under the Loan Agreement, as amended by this Amendment;</w:t>
      </w:r>
    </w:p>
    <w:p>
      <w:pPr>
        <w:spacing w:after="0" w:line="175" w:lineRule="exact"/>
        <w:rPr>
          <w:sz w:val="20"/>
          <w:szCs w:val="20"/>
          <w:color w:val="auto"/>
        </w:rPr>
      </w:pPr>
    </w:p>
    <w:p>
      <w:pPr>
        <w:jc w:val="both"/>
        <w:ind w:right="16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 </w:t>
      </w:r>
      <w:r>
        <w:rPr>
          <w:rFonts w:ascii="Times New Roman" w:cs="Times New Roman" w:eastAsia="Times New Roman" w:hAnsi="Times New Roman"/>
          <w:sz w:val="14"/>
          <w:szCs w:val="14"/>
          <w:color w:val="auto"/>
        </w:rPr>
        <w:t>The organizational documents of Borrower delivered to Bank on the Effective Date remain true, accurate and complete and have not been amended, supplemented or restated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are and continue to be in full force and effect;</w:t>
      </w:r>
    </w:p>
    <w:p>
      <w:pPr>
        <w:spacing w:after="0" w:line="121" w:lineRule="exact"/>
        <w:rPr>
          <w:sz w:val="20"/>
          <w:szCs w:val="20"/>
          <w:color w:val="auto"/>
        </w:rPr>
      </w:pPr>
    </w:p>
    <w:p>
      <w:pPr>
        <w:jc w:val="both"/>
        <w:ind w:right="1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4.4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duly authorized;</w:t>
      </w:r>
    </w:p>
    <w:p>
      <w:pPr>
        <w:spacing w:after="0" w:line="121" w:lineRule="exact"/>
        <w:rPr>
          <w:sz w:val="20"/>
          <w:szCs w:val="20"/>
          <w:color w:val="auto"/>
        </w:rPr>
      </w:pPr>
    </w:p>
    <w:p>
      <w:pPr>
        <w:jc w:val="both"/>
        <w:ind w:right="14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4.5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33" w:lineRule="exact"/>
        <w:rPr>
          <w:sz w:val="20"/>
          <w:szCs w:val="20"/>
          <w:color w:val="auto"/>
        </w:rPr>
      </w:pPr>
    </w:p>
    <w:p>
      <w:pPr>
        <w:ind w:firstLine="1162"/>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4.6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3" w:lineRule="exact"/>
        <w:rPr>
          <w:sz w:val="20"/>
          <w:szCs w:val="20"/>
          <w:color w:val="auto"/>
        </w:rPr>
      </w:pPr>
    </w:p>
    <w:p>
      <w:pPr>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4.7 </w:t>
      </w:r>
      <w:r>
        <w:rPr>
          <w:rFonts w:ascii="Times New Roman" w:cs="Times New Roman" w:eastAsia="Times New Roman" w:hAnsi="Times New Roman"/>
          <w:sz w:val="14"/>
          <w:szCs w:val="14"/>
          <w:color w:val="auto"/>
        </w:rPr>
        <w:t>This Amendment has been duly executed and delivered by Borrower and is the binding obligation of Borrower, enforceable against Borrower in accordance with its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such enforceability may be limited by bankruptcy, insolvency, reorganization, liquidation, moratorium or other similar laws of general application relating to or affecting creditors’ rights and by general equitable principles.</w:t>
      </w:r>
    </w:p>
    <w:p>
      <w:pPr>
        <w:spacing w:after="0" w:line="133" w:lineRule="exact"/>
        <w:rPr>
          <w:sz w:val="20"/>
          <w:szCs w:val="20"/>
          <w:color w:val="auto"/>
        </w:rPr>
      </w:pPr>
    </w:p>
    <w:p>
      <w:pPr>
        <w:ind w:right="40" w:firstLine="515"/>
        <w:spacing w:after="0" w:line="268" w:lineRule="auto"/>
        <w:tabs>
          <w:tab w:leader="none" w:pos="651" w:val="left"/>
        </w:tabs>
        <w:numPr>
          <w:ilvl w:val="0"/>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Updated Perfection Certificate</w:t>
      </w:r>
      <w:r>
        <w:rPr>
          <w:rFonts w:ascii="Times New Roman" w:cs="Times New Roman" w:eastAsia="Times New Roman" w:hAnsi="Times New Roman"/>
          <w:sz w:val="14"/>
          <w:szCs w:val="14"/>
          <w:color w:val="auto"/>
        </w:rPr>
        <w:t>. Borrower has delivered an updated Perfection Certificate in connection with this Amendment (the “</w:t>
      </w:r>
      <w:r>
        <w:rPr>
          <w:rFonts w:ascii="Times New Roman" w:cs="Times New Roman" w:eastAsia="Times New Roman" w:hAnsi="Times New Roman"/>
          <w:sz w:val="14"/>
          <w:szCs w:val="14"/>
          <w:b w:val="1"/>
          <w:bCs w:val="1"/>
          <w:color w:val="auto"/>
        </w:rPr>
        <w:t>Updated Perfection Certificate</w:t>
      </w:r>
      <w:r>
        <w:rPr>
          <w:rFonts w:ascii="Times New Roman" w:cs="Times New Roman" w:eastAsia="Times New Roman" w:hAnsi="Times New Roman"/>
          <w:sz w:val="14"/>
          <w:szCs w:val="14"/>
          <w:color w:val="auto"/>
        </w:rPr>
        <w:t>”) dated as of the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which Updated Perfection Certificate shall supersede in all respects that certain Perfection Certificate dated as of September 21, 2021. Borrower hereby agrees that all references in the Loan Agreement to the “Perfection Certificate” shall hereinafter be deemed to be references to the Updated Perfection Certificate.</w:t>
      </w:r>
    </w:p>
    <w:p>
      <w:pPr>
        <w:spacing w:after="0" w:line="133" w:lineRule="exact"/>
        <w:rPr>
          <w:rFonts w:ascii="Times New Roman" w:cs="Times New Roman" w:eastAsia="Times New Roman" w:hAnsi="Times New Roman"/>
          <w:sz w:val="14"/>
          <w:szCs w:val="14"/>
          <w:b w:val="1"/>
          <w:bCs w:val="1"/>
          <w:color w:val="auto"/>
        </w:rPr>
      </w:pPr>
    </w:p>
    <w:p>
      <w:pPr>
        <w:ind w:right="360" w:firstLine="515"/>
        <w:spacing w:after="0" w:line="268" w:lineRule="auto"/>
        <w:tabs>
          <w:tab w:leader="none" w:pos="651" w:val="left"/>
        </w:tabs>
        <w:numPr>
          <w:ilvl w:val="0"/>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Integration</w:t>
      </w:r>
      <w:r>
        <w:rPr>
          <w:rFonts w:ascii="Times New Roman" w:cs="Times New Roman" w:eastAsia="Times New Roman" w:hAnsi="Times New Roman"/>
          <w:sz w:val="14"/>
          <w:szCs w:val="14"/>
          <w:color w:val="auto"/>
        </w:rPr>
        <w:t>. This Amendment and the Loan Documents represent the entire agreement about this subject matter and supersede prior negotiations or agreements. All prior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understandings, representations, warranties, and negotiations between the parties about the subject matter of this Amendment and the Loan Documents merge into this Amendment and the Loan Documents.</w:t>
      </w:r>
    </w:p>
    <w:p>
      <w:pPr>
        <w:spacing w:after="0" w:line="133"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Counterparts. </w:t>
      </w:r>
      <w:r>
        <w:rPr>
          <w:rFonts w:ascii="Times New Roman" w:cs="Times New Roman" w:eastAsia="Times New Roman" w:hAnsi="Times New Roman"/>
          <w:sz w:val="14"/>
          <w:szCs w:val="14"/>
          <w:color w:val="auto"/>
        </w:rPr>
        <w:t>This Amendment may be executed in any number of counterparts and all of such counterparts taken together shall be deemed to constitute one and the same instrument.</w:t>
      </w:r>
    </w:p>
    <w:p>
      <w:pPr>
        <w:spacing w:after="0" w:line="175" w:lineRule="exact"/>
        <w:rPr>
          <w:rFonts w:ascii="Times New Roman" w:cs="Times New Roman" w:eastAsia="Times New Roman" w:hAnsi="Times New Roman"/>
          <w:sz w:val="14"/>
          <w:szCs w:val="14"/>
          <w:b w:val="1"/>
          <w:bCs w:val="1"/>
          <w:color w:val="auto"/>
        </w:rPr>
      </w:pPr>
    </w:p>
    <w:p>
      <w:pPr>
        <w:ind w:firstLine="515"/>
        <w:spacing w:after="0" w:line="286" w:lineRule="auto"/>
        <w:tabs>
          <w:tab w:leader="none" w:pos="651" w:val="left"/>
        </w:tabs>
        <w:numPr>
          <w:ilvl w:val="0"/>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Effectiveness</w:t>
      </w:r>
      <w:r>
        <w:rPr>
          <w:rFonts w:ascii="Times New Roman" w:cs="Times New Roman" w:eastAsia="Times New Roman" w:hAnsi="Times New Roman"/>
          <w:sz w:val="14"/>
          <w:szCs w:val="14"/>
          <w:color w:val="auto"/>
        </w:rPr>
        <w:t>. This Amendment shall be deemed effective upon (a) the due execution and delivery to Bank of this Amendment by each party hereto; and (b) Borrower’s payment to Bank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Bank’s reasonable documented legal fees and expenses incurred in connection with this Amendment.</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495" w:name="page496"/>
    <w:bookmarkEnd w:id="495"/>
    <w:p>
      <w:pPr>
        <w:ind w:left="52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Amendment to be duly executed and delivered as of the date first written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By</w:t>
        <w:tab/>
        <w:t>/s/ Gregory L. Verdine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20320</wp:posOffset>
            </wp:positionV>
            <wp:extent cx="2683510" cy="69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683510" cy="698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Gregory L. Verdine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President, Treasurer and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BANK: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SILICON VALLEY BANK</w:t>
      </w:r>
    </w:p>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By</w:t>
        <w:tab/>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20320</wp:posOffset>
            </wp:positionV>
            <wp:extent cx="2683510" cy="69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683510" cy="698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Lauren Cole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639445</wp:posOffset>
            </wp:positionV>
            <wp:extent cx="7188200"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795" w:right="1440" w:bottom="1440" w:gutter="0" w:footer="0" w:header="0"/>
        </w:sectPr>
      </w:pPr>
    </w:p>
    <w:bookmarkStart w:id="496" w:name="page497"/>
    <w:bookmarkEnd w:id="49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SECOND AMENDMENT</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LOAN AND SECURITY AGREEMENT</w:t>
      </w:r>
    </w:p>
    <w:p>
      <w:pPr>
        <w:spacing w:after="0" w:line="166" w:lineRule="exact"/>
        <w:rPr>
          <w:sz w:val="20"/>
          <w:szCs w:val="20"/>
          <w:color w:val="auto"/>
        </w:rPr>
      </w:pPr>
    </w:p>
    <w:p>
      <w:pPr>
        <w:ind w:right="140" w:firstLine="511"/>
        <w:spacing w:after="0" w:line="232" w:lineRule="auto"/>
        <w:rPr>
          <w:sz w:val="20"/>
          <w:szCs w:val="20"/>
          <w:color w:val="auto"/>
        </w:rPr>
      </w:pPr>
      <w:r>
        <w:rPr>
          <w:rFonts w:ascii="Times New Roman" w:cs="Times New Roman" w:eastAsia="Times New Roman" w:hAnsi="Times New Roman"/>
          <w:sz w:val="14"/>
          <w:szCs w:val="14"/>
          <w:color w:val="auto"/>
        </w:rPr>
        <w:t>This Second Amendment to Loan and Security Agreement (this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this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November, 2022 by and between </w:t>
      </w:r>
      <w:r>
        <w:rPr>
          <w:rFonts w:ascii="Times New Roman" w:cs="Times New Roman" w:eastAsia="Times New Roman" w:hAnsi="Times New Roman"/>
          <w:sz w:val="14"/>
          <w:szCs w:val="14"/>
          <w:b w:val="1"/>
          <w:bCs w:val="1"/>
          <w:color w:val="auto"/>
        </w:rPr>
        <w:t>SILICON VALLEY BANK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FOG PHARMACEUTICALS, INC.</w:t>
      </w:r>
      <w:r>
        <w:rPr>
          <w:rFonts w:ascii="Times New Roman" w:cs="Times New Roman" w:eastAsia="Times New Roman" w:hAnsi="Times New Roman"/>
          <w:sz w:val="14"/>
          <w:szCs w:val="14"/>
          <w:color w:val="auto"/>
        </w:rPr>
        <w:t>, a Delaware corporation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whose address is 30 Acord Park Drive, Cambridge, Massachusetts 02139.</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0"/>
          <w:szCs w:val="10"/>
          <w:b w:val="1"/>
          <w:bCs w:val="1"/>
          <w:color w:val="auto"/>
        </w:rPr>
        <w:t>ECITALS</w:t>
      </w:r>
    </w:p>
    <w:p>
      <w:pPr>
        <w:spacing w:after="0" w:line="175" w:lineRule="exact"/>
        <w:rPr>
          <w:sz w:val="20"/>
          <w:szCs w:val="20"/>
          <w:color w:val="auto"/>
        </w:rPr>
      </w:pPr>
    </w:p>
    <w:p>
      <w:pPr>
        <w:ind w:right="50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Bank and Borrower have entered into that certain Loan and Security Agreement dated as of September 21, 2021, as amended by that certain First Amendment to Loan and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between Bank and Borrower, dated as of April 12, 2022 (as the same may from time to time be further amended, modified, supplemented or restated,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Bank has extended credit to Borrower for the purposes permitted in the Loan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Borrower has requested that Bank amend the Loan Agreement to (i) provide for a new term loan and (ii) make certain other revisions to the Loan Agreement as more fully set forth herein.</w:t>
      </w:r>
    </w:p>
    <w:p>
      <w:pPr>
        <w:spacing w:after="0" w:line="175" w:lineRule="exact"/>
        <w:rPr>
          <w:sz w:val="20"/>
          <w:szCs w:val="20"/>
          <w:color w:val="auto"/>
        </w:rPr>
      </w:pPr>
    </w:p>
    <w:p>
      <w:pPr>
        <w:ind w:right="8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D. </w:t>
      </w:r>
      <w:r>
        <w:rPr>
          <w:rFonts w:ascii="Times New Roman" w:cs="Times New Roman" w:eastAsia="Times New Roman" w:hAnsi="Times New Roman"/>
          <w:sz w:val="14"/>
          <w:szCs w:val="14"/>
          <w:color w:val="auto"/>
        </w:rPr>
        <w:t>Bank has agreed to amend certain provisions of the Loan Agreement, but only to the extent, in accordance with the terms, subject to the conditions and in reliance upon the representations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warranties set forth below.</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GREEMENT</w:t>
      </w:r>
    </w:p>
    <w:p>
      <w:pPr>
        <w:spacing w:after="0" w:line="175"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4"/>
          <w:szCs w:val="14"/>
          <w:color w:val="auto"/>
        </w:rPr>
        <w:t>, in consideration of the foregoing recitals and other good and valuable consideration, the receipt and adequacy of which is hereby acknowledged, and intending to be legally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bound, the parties hereto agree as follows:</w:t>
      </w:r>
    </w:p>
    <w:p>
      <w:pPr>
        <w:spacing w:after="0" w:line="121" w:lineRule="exact"/>
        <w:rPr>
          <w:sz w:val="20"/>
          <w:szCs w:val="20"/>
          <w:color w:val="auto"/>
        </w:rPr>
      </w:pPr>
    </w:p>
    <w:p>
      <w:pPr>
        <w:ind w:left="660" w:hanging="145"/>
        <w:spacing w:after="0"/>
        <w:tabs>
          <w:tab w:leader="none" w:pos="660" w:val="left"/>
        </w:tabs>
        <w:numPr>
          <w:ilvl w:val="0"/>
          <w:numId w:val="4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Capitalized terms used but not defined in this Amendment shall have the meanings given to them in the Loan Agreement.</w:t>
      </w:r>
    </w:p>
    <w:p>
      <w:pPr>
        <w:spacing w:after="0" w:line="175"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Loan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right="4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2.1 Warrant</w:t>
      </w:r>
      <w:r>
        <w:rPr>
          <w:rFonts w:ascii="Times New Roman" w:cs="Times New Roman" w:eastAsia="Times New Roman" w:hAnsi="Times New Roman"/>
          <w:sz w:val="14"/>
          <w:szCs w:val="14"/>
          <w:color w:val="auto"/>
        </w:rPr>
        <w:t>. In connection with the Amendment, Borrower was required to grant to Bank a Warrant to Purchase Common Stock equivalent to 0.10% of fully diluted ownership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exercise price equal to the most recent 409a valuation if the 2022 Interest Only Extension Event #1 was not achieved by December 31, 2022. Bank and Borrower hereby agree and acknowledge that the 2022 Interest Only Extension Event #1 was achieved prior to the Second Amendment Effective Date, thereby the Warrant to Purchase Stock was removed from this Amendment.</w:t>
      </w:r>
    </w:p>
    <w:p>
      <w:pPr>
        <w:spacing w:after="0" w:line="133" w:lineRule="exact"/>
        <w:rPr>
          <w:sz w:val="20"/>
          <w:szCs w:val="20"/>
          <w:color w:val="auto"/>
        </w:rPr>
      </w:pPr>
    </w:p>
    <w:p>
      <w:pPr>
        <w:jc w:val="both"/>
        <w:ind w:right="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2.2 Prepayment Fee</w:t>
      </w:r>
      <w:r>
        <w:rPr>
          <w:rFonts w:ascii="Times New Roman" w:cs="Times New Roman" w:eastAsia="Times New Roman" w:hAnsi="Times New Roman"/>
          <w:sz w:val="14"/>
          <w:szCs w:val="14"/>
          <w:color w:val="auto"/>
        </w:rPr>
        <w:t>. Notwithstanding anything to the contrary set forth in the Loan Agreement, Bank hereby waives the Prepayment Fee with respect to the Term Loan Advances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made pursuant to Section 1.1(a) of the Loan Agreement.</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2.3 Section 1.1.1 (2022 Term Loan)</w:t>
      </w:r>
      <w:r>
        <w:rPr>
          <w:rFonts w:ascii="Times New Roman" w:cs="Times New Roman" w:eastAsia="Times New Roman" w:hAnsi="Times New Roman"/>
          <w:sz w:val="14"/>
          <w:szCs w:val="14"/>
          <w:color w:val="auto"/>
        </w:rPr>
        <w:t>. The Loan Agreement is amended by inserting the following new provision to appear as Section 1.1.1 (2022 Term Loan) thereof:</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1.1.1 2022 Term Loan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160" w:right="20" w:firstLine="506"/>
        <w:spacing w:after="0" w:line="258" w:lineRule="auto"/>
        <w:tabs>
          <w:tab w:leader="none" w:pos="1862"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Availability</w:t>
      </w:r>
      <w:r>
        <w:rPr>
          <w:rFonts w:ascii="Times New Roman" w:cs="Times New Roman" w:eastAsia="Times New Roman" w:hAnsi="Times New Roman"/>
          <w:sz w:val="14"/>
          <w:szCs w:val="14"/>
          <w:color w:val="auto"/>
        </w:rPr>
        <w:t>. Subject to the terms and conditions of this Agreement, Borrower shall request and Bank shall make 1 term loan advance in an amount equal to the 2022 Term Loan Availability Amount (the “2022 Term Loan Advance”) on or about the Second Amendment Effective Date; provided that all or a portion of the proceeds of the 2022 Term Loan Advance shall be used to repay in full Borrower’s outstanding obligations and liabilities to Bank under the Term Loan Advances (the “Prior Obligations”). Borrower hereby authorizes Bank to apply the proceeds of the 2022 Term Loan Advance to the Prior Obligations as part of the funding process without actually depositing such funds into an account of Borrower. Borrower may request the 2022 Term Loan Advance as set forth on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461645</wp:posOffset>
            </wp:positionV>
            <wp:extent cx="7188200"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497" w:name="page498"/>
    <w:bookmarkEnd w:id="497"/>
    <w:p>
      <w:pPr>
        <w:ind w:left="1140" w:right="60" w:firstLine="518"/>
        <w:spacing w:after="0" w:line="283" w:lineRule="auto"/>
        <w:tabs>
          <w:tab w:leader="none" w:pos="1849"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Repayment</w:t>
      </w:r>
      <w:r>
        <w:rPr>
          <w:rFonts w:ascii="Times New Roman" w:cs="Times New Roman" w:eastAsia="Times New Roman" w:hAnsi="Times New Roman"/>
          <w:sz w:val="14"/>
          <w:szCs w:val="14"/>
          <w:color w:val="auto"/>
        </w:rPr>
        <w:t>. Borrower shall repay the 2022 Term Loan Advance as set forth in Schedule I hereto. All outstanding principal and accrued and unpaid interest under the 2022 Term Loan Advance, and all other outstanding Obligations with respect to such 2022 Term Loan Advance, are due and payable in full on the 2022 Term Loan Maturity Date.</w:t>
      </w:r>
    </w:p>
    <w:p>
      <w:pPr>
        <w:spacing w:after="0" w:line="124" w:lineRule="exact"/>
        <w:rPr>
          <w:rFonts w:ascii="Times New Roman" w:cs="Times New Roman" w:eastAsia="Times New Roman" w:hAnsi="Times New Roman"/>
          <w:sz w:val="14"/>
          <w:szCs w:val="14"/>
          <w:color w:val="auto"/>
        </w:rPr>
      </w:pPr>
    </w:p>
    <w:p>
      <w:pPr>
        <w:ind w:left="1140" w:right="160" w:firstLine="518"/>
        <w:spacing w:after="0" w:line="261" w:lineRule="auto"/>
        <w:tabs>
          <w:tab w:leader="none" w:pos="1842"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Permitted Prepayment</w:t>
      </w:r>
      <w:r>
        <w:rPr>
          <w:rFonts w:ascii="Times New Roman" w:cs="Times New Roman" w:eastAsia="Times New Roman" w:hAnsi="Times New Roman"/>
          <w:sz w:val="14"/>
          <w:szCs w:val="14"/>
          <w:color w:val="auto"/>
        </w:rPr>
        <w:t>. Borrower shall have the option to prepay all, but not less than all, of the 2022 Term Loan Advance, provided Borrower (i) delivers written notice to Bank of its election to prepay the 2022 Term Loan Advance at least ten (10) days prior to such prepayment, and (ii) pays, on the date of such prepayment (A) the outstanding principal plus accrued and unpaid interest with respect to the 2022 Term Loan Advance, (B) the 2022 Prepayment Fee, (C) the 2022 Final Payment, and (D) all other sums, if any, that shall have become due and payable with respect to the 2022 Term Loan Advance, including interest at the Default Rate with respect to any past due amounts.</w:t>
      </w:r>
    </w:p>
    <w:p>
      <w:pPr>
        <w:spacing w:after="0" w:line="140" w:lineRule="exact"/>
        <w:rPr>
          <w:rFonts w:ascii="Times New Roman" w:cs="Times New Roman" w:eastAsia="Times New Roman" w:hAnsi="Times New Roman"/>
          <w:sz w:val="14"/>
          <w:szCs w:val="14"/>
          <w:color w:val="auto"/>
        </w:rPr>
      </w:pPr>
    </w:p>
    <w:p>
      <w:pPr>
        <w:jc w:val="both"/>
        <w:ind w:left="1160" w:right="200" w:firstLine="506"/>
        <w:spacing w:after="0" w:line="261" w:lineRule="auto"/>
        <w:tabs>
          <w:tab w:leader="none" w:pos="187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Prepayment Upon an Acceleration.</w:t>
      </w:r>
      <w:r>
        <w:rPr>
          <w:rFonts w:ascii="Times New Roman" w:cs="Times New Roman" w:eastAsia="Times New Roman" w:hAnsi="Times New Roman"/>
          <w:sz w:val="14"/>
          <w:szCs w:val="14"/>
          <w:color w:val="auto"/>
        </w:rPr>
        <w:t xml:space="preserve"> If the 2022 Term Loan Advance is accelerated by Bank following the occurrence and during the continuance of an Event of Default, Borrower shall immediately pay to Bank an amount equal to the sum of (i) all outstanding principal plus accrued and unpaid interest with respect to the 2022 Term Loan Advance, (ii) the 2022 Prepayment Premium, (iii) the 2022 Final Payment, and (iv) all other sums, if any, that shall have become due and payable with respect to the 2022 Term Loan Advance, including interest at the Default Rate with respect to any past due amounts.”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2.4 Section 1.2 (Payment of Interest on the Credit Extensions)</w:t>
      </w:r>
      <w:r>
        <w:rPr>
          <w:rFonts w:ascii="Times New Roman" w:cs="Times New Roman" w:eastAsia="Times New Roman" w:hAnsi="Times New Roman"/>
          <w:sz w:val="14"/>
          <w:szCs w:val="14"/>
          <w:color w:val="auto"/>
        </w:rPr>
        <w:t>. Sections 1.2(a) and 1.2(b) are amended in their entirety and replaced with the following:</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u w:val="single" w:color="auto"/>
          <w:color w:val="auto"/>
        </w:rPr>
        <w:t>Interest Payments</w:t>
      </w:r>
      <w:r>
        <w:rPr>
          <w:rFonts w:ascii="Times New Roman" w:cs="Times New Roman" w:eastAsia="Times New Roman" w:hAnsi="Times New Roman"/>
          <w:sz w:val="14"/>
          <w:szCs w:val="14"/>
          <w:color w:val="auto"/>
        </w:rPr>
        <w:t>. Interest on the principal amount of the 2022 Term Loan Advance is payable as set forth on Schedule I hereto</w:t>
      </w:r>
    </w:p>
    <w:p>
      <w:pPr>
        <w:spacing w:after="0" w:line="175" w:lineRule="exact"/>
        <w:rPr>
          <w:sz w:val="20"/>
          <w:szCs w:val="20"/>
          <w:color w:val="auto"/>
        </w:rPr>
      </w:pPr>
    </w:p>
    <w:p>
      <w:pPr>
        <w:ind w:left="1860" w:hanging="194"/>
        <w:spacing w:after="0"/>
        <w:tabs>
          <w:tab w:leader="none" w:pos="1860"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 Rate</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660" w:right="220" w:firstLine="517"/>
        <w:spacing w:after="0" w:line="283" w:lineRule="auto"/>
        <w:tabs>
          <w:tab w:leader="none" w:pos="2339" w:val="left"/>
        </w:tabs>
        <w:numPr>
          <w:ilvl w:val="2"/>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2022 Term Loan Advance</w:t>
      </w:r>
      <w:r>
        <w:rPr>
          <w:rFonts w:ascii="Times New Roman" w:cs="Times New Roman" w:eastAsia="Times New Roman" w:hAnsi="Times New Roman"/>
          <w:sz w:val="14"/>
          <w:szCs w:val="14"/>
          <w:color w:val="auto"/>
        </w:rPr>
        <w:t>. Subject to Section 1.2(c), the outstanding principal amount of the 2022 Term Loan Advance shall accrue interest as set forth on Schedule I hereto.</w:t>
      </w:r>
    </w:p>
    <w:p>
      <w:pPr>
        <w:spacing w:after="0" w:line="124" w:lineRule="exact"/>
        <w:rPr>
          <w:rFonts w:ascii="Times New Roman" w:cs="Times New Roman" w:eastAsia="Times New Roman" w:hAnsi="Times New Roman"/>
          <w:sz w:val="14"/>
          <w:szCs w:val="14"/>
          <w:color w:val="auto"/>
        </w:rPr>
      </w:pPr>
    </w:p>
    <w:p>
      <w:pPr>
        <w:ind w:left="1660" w:firstLine="517"/>
        <w:spacing w:after="0" w:line="283" w:lineRule="auto"/>
        <w:tabs>
          <w:tab w:leader="none" w:pos="2378" w:val="left"/>
        </w:tabs>
        <w:numPr>
          <w:ilvl w:val="2"/>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All-In Rate</w:t>
      </w:r>
      <w:r>
        <w:rPr>
          <w:rFonts w:ascii="Times New Roman" w:cs="Times New Roman" w:eastAsia="Times New Roman" w:hAnsi="Times New Roman"/>
          <w:sz w:val="14"/>
          <w:szCs w:val="14"/>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23" w:lineRule="exact"/>
        <w:rPr>
          <w:sz w:val="20"/>
          <w:szCs w:val="20"/>
          <w:color w:val="auto"/>
        </w:rPr>
      </w:pPr>
    </w:p>
    <w:p>
      <w:pPr>
        <w:ind w:right="3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2.5 Section 1.3 (Fees)</w:t>
      </w:r>
      <w:r>
        <w:rPr>
          <w:rFonts w:ascii="Times New Roman" w:cs="Times New Roman" w:eastAsia="Times New Roman" w:hAnsi="Times New Roman"/>
          <w:sz w:val="14"/>
          <w:szCs w:val="14"/>
          <w:color w:val="auto"/>
        </w:rPr>
        <w:t>. Section 1.3 is amended by (i) deleting “and” appearing at the end of subsection (b), (ii) deleting “.” at the end of subsection (c) and inserting “;” in lieu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and (iii) inserting the following new subsections (d) and (e):</w:t>
      </w:r>
    </w:p>
    <w:p>
      <w:pPr>
        <w:spacing w:after="0" w:line="1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 (d) </w:t>
      </w:r>
      <w:r>
        <w:rPr>
          <w:rFonts w:ascii="Times New Roman" w:cs="Times New Roman" w:eastAsia="Times New Roman" w:hAnsi="Times New Roman"/>
          <w:sz w:val="14"/>
          <w:szCs w:val="14"/>
          <w:u w:val="single" w:color="auto"/>
          <w:color w:val="auto"/>
        </w:rPr>
        <w:t>2022 Final Payment</w:t>
      </w:r>
      <w:r>
        <w:rPr>
          <w:rFonts w:ascii="Times New Roman" w:cs="Times New Roman" w:eastAsia="Times New Roman" w:hAnsi="Times New Roman"/>
          <w:sz w:val="14"/>
          <w:szCs w:val="14"/>
          <w:color w:val="auto"/>
        </w:rPr>
        <w:t>. The 2022 Final Payment, when due hereunder, which shall be fully earned and non-refundable as of such date; and</w:t>
      </w:r>
    </w:p>
    <w:p>
      <w:pPr>
        <w:spacing w:after="0" w:line="175" w:lineRule="exact"/>
        <w:rPr>
          <w:sz w:val="20"/>
          <w:szCs w:val="20"/>
          <w:color w:val="auto"/>
        </w:rPr>
      </w:pPr>
    </w:p>
    <w:p>
      <w:pPr>
        <w:ind w:left="1480" w:hanging="198"/>
        <w:spacing w:after="0"/>
        <w:tabs>
          <w:tab w:leader="none" w:pos="1480"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2022 Prepayment Fee</w:t>
      </w:r>
      <w:r>
        <w:rPr>
          <w:rFonts w:ascii="Times New Roman" w:cs="Times New Roman" w:eastAsia="Times New Roman" w:hAnsi="Times New Roman"/>
          <w:sz w:val="14"/>
          <w:szCs w:val="14"/>
          <w:color w:val="auto"/>
        </w:rPr>
        <w:t>. The 2022 Prepayment Fee, if and when due hereunder, which shall be fully earned and non-refundable as of such date.”</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2.6 Section 1.7 (Procedures for Borrowing)</w:t>
      </w:r>
      <w:r>
        <w:rPr>
          <w:rFonts w:ascii="Times New Roman" w:cs="Times New Roman" w:eastAsia="Times New Roman" w:hAnsi="Times New Roman"/>
          <w:sz w:val="14"/>
          <w:szCs w:val="14"/>
          <w:color w:val="auto"/>
        </w:rPr>
        <w:t>. Section 1.7 is amended in its entirety and replaced with the following:</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“1.7 Procedures for Borrowing</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160" w:right="60" w:firstLine="506"/>
        <w:spacing w:after="0" w:line="256" w:lineRule="auto"/>
        <w:tabs>
          <w:tab w:leader="none" w:pos="1862"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2022 Term Loan Advance</w:t>
      </w:r>
      <w:r>
        <w:rPr>
          <w:rFonts w:ascii="Times New Roman" w:cs="Times New Roman" w:eastAsia="Times New Roman" w:hAnsi="Times New Roman"/>
          <w:sz w:val="14"/>
          <w:szCs w:val="14"/>
          <w:color w:val="auto"/>
        </w:rPr>
        <w:t>. Subject to the prior satisfaction of all other applicable conditions to the making of a 2022 Term Loan Advance set forth in this Agreement (which must be satisfied no later than 12:00 p.m. Eastern time on the applicable Funding Date), to obtain a 2022 Term Loan Advance, Borrower shall notify Bank (which notice shall be irrevocable) by 12:00 p.m. Eastern time at least two (2) Business Days prior to the proposed Funding Date of the 2022 Term Loan Advance. Such notice shall be made by electronic mail or by telephone and, together with any such notification, Borrower shall deliver to Bank by electronic mail a completed Payment/Advance Form executed by an Authorized Signer and such other reports and information as Bank may reasonably request.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2022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461645</wp:posOffset>
            </wp:positionV>
            <wp:extent cx="7188200"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6" w:right="339" w:bottom="1440" w:gutter="0" w:footer="0" w:header="0"/>
        </w:sectPr>
      </w:pPr>
    </w:p>
    <w:bookmarkStart w:id="498" w:name="page499"/>
    <w:bookmarkEnd w:id="498"/>
    <w:p>
      <w:pPr>
        <w:ind w:left="1160"/>
        <w:spacing w:after="0"/>
        <w:rPr>
          <w:sz w:val="20"/>
          <w:szCs w:val="20"/>
          <w:color w:val="auto"/>
        </w:rPr>
      </w:pPr>
      <w:r>
        <w:rPr>
          <w:rFonts w:ascii="Times New Roman" w:cs="Times New Roman" w:eastAsia="Times New Roman" w:hAnsi="Times New Roman"/>
          <w:sz w:val="14"/>
          <w:szCs w:val="14"/>
          <w:color w:val="auto"/>
        </w:rPr>
        <w:t>Advance (which requirement may be deemed satisfied by the prior delivery of Borrowing Resolutions or a secretary’s certificate that certifies as to such Board approval).</w:t>
      </w:r>
    </w:p>
    <w:p>
      <w:pPr>
        <w:spacing w:after="0" w:line="175" w:lineRule="exact"/>
        <w:rPr>
          <w:sz w:val="20"/>
          <w:szCs w:val="20"/>
          <w:color w:val="auto"/>
        </w:rPr>
      </w:pPr>
    </w:p>
    <w:p>
      <w:pPr>
        <w:ind w:left="1160" w:right="240" w:firstLine="506"/>
        <w:spacing w:after="0" w:line="283" w:lineRule="auto"/>
        <w:tabs>
          <w:tab w:leader="none" w:pos="187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shall credit proceeds of a Credit Extension to the Designated Deposit Account. Bank may make the 2022 Term Loan Advance under this Agreement based on instructions from an Authorized Signer or without instructions if such 2022 Term Loan Advance is necessary to meet Obligations which have become due.”</w:t>
      </w:r>
    </w:p>
    <w:p>
      <w:pPr>
        <w:spacing w:after="0" w:line="1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2.7 Section 5.3 (Financial Statements, Reports)</w:t>
      </w:r>
      <w:r>
        <w:rPr>
          <w:rFonts w:ascii="Times New Roman" w:cs="Times New Roman" w:eastAsia="Times New Roman" w:hAnsi="Times New Roman"/>
          <w:sz w:val="14"/>
          <w:szCs w:val="14"/>
          <w:color w:val="auto"/>
        </w:rPr>
        <w:t>. Section 5.3(c) is amended in its entirety and replaced with the following:</w:t>
      </w:r>
    </w:p>
    <w:p>
      <w:pPr>
        <w:spacing w:after="0" w:line="177" w:lineRule="exact"/>
        <w:rPr>
          <w:sz w:val="20"/>
          <w:szCs w:val="20"/>
          <w:color w:val="auto"/>
        </w:rPr>
      </w:pPr>
    </w:p>
    <w:p>
      <w:pPr>
        <w:ind w:left="1160" w:right="100"/>
        <w:spacing w:after="0" w:line="261" w:lineRule="auto"/>
        <w:rPr>
          <w:sz w:val="20"/>
          <w:szCs w:val="20"/>
          <w:color w:val="auto"/>
        </w:rPr>
      </w:pPr>
      <w:r>
        <w:rPr>
          <w:rFonts w:ascii="Times New Roman" w:cs="Times New Roman" w:eastAsia="Times New Roman" w:hAnsi="Times New Roman"/>
          <w:sz w:val="14"/>
          <w:szCs w:val="14"/>
          <w:color w:val="auto"/>
        </w:rPr>
        <w:t xml:space="preserve">“ (c) </w:t>
      </w:r>
      <w:r>
        <w:rPr>
          <w:rFonts w:ascii="Times New Roman" w:cs="Times New Roman" w:eastAsia="Times New Roman" w:hAnsi="Times New Roman"/>
          <w:sz w:val="14"/>
          <w:szCs w:val="14"/>
          <w:u w:val="single" w:color="auto"/>
          <w:color w:val="auto"/>
        </w:rPr>
        <w:t>Annual Operating Budget and Financial Projections</w:t>
      </w:r>
      <w:r>
        <w:rPr>
          <w:rFonts w:ascii="Times New Roman" w:cs="Times New Roman" w:eastAsia="Times New Roman" w:hAnsi="Times New Roman"/>
          <w:sz w:val="14"/>
          <w:szCs w:val="14"/>
          <w:color w:val="auto"/>
        </w:rPr>
        <w:t>. As soon as available, and in any event no later than 60 days following the end of Borrower’s fiscal year, and within 5 days following any updates or amendments thereto, (A) annual operating budgets (including income statements, balance sheets and cash flow statements, by month) for the then current fiscal year of Borrower, and (B) annual financial projections for the then current fiscal year (on a quarterly basis), in each case as approved by the Board, together with any related business forecasts used in the preparation of such annual financial projections;”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2.8 Section 12.2 (Definitions)</w:t>
      </w:r>
      <w:r>
        <w:rPr>
          <w:rFonts w:ascii="Times New Roman" w:cs="Times New Roman" w:eastAsia="Times New Roman" w:hAnsi="Times New Roman"/>
          <w:sz w:val="14"/>
          <w:szCs w:val="14"/>
          <w:color w:val="auto"/>
        </w:rPr>
        <w:t>. The following terms and their respective definitions set forth in Section 12.2 of the Loan Agreement are amended in their entirety and replaced with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“Credit Extension” is any FX Contract, the 2022 Term Loan Advance, or any other extension of credit by Bank under the Loan Documents for Borrower’s benefit.”</w:t>
      </w:r>
    </w:p>
    <w:p>
      <w:pPr>
        <w:spacing w:after="0" w:line="175" w:lineRule="exact"/>
        <w:rPr>
          <w:sz w:val="20"/>
          <w:szCs w:val="20"/>
          <w:color w:val="auto"/>
        </w:rPr>
      </w:pPr>
    </w:p>
    <w:p>
      <w:pPr>
        <w:ind w:left="1160" w:right="100"/>
        <w:spacing w:after="0" w:line="261" w:lineRule="auto"/>
        <w:rPr>
          <w:sz w:val="20"/>
          <w:szCs w:val="20"/>
          <w:color w:val="auto"/>
        </w:rPr>
      </w:pPr>
      <w:r>
        <w:rPr>
          <w:rFonts w:ascii="Times New Roman" w:cs="Times New Roman" w:eastAsia="Times New Roman" w:hAnsi="Times New Roman"/>
          <w:sz w:val="14"/>
          <w:szCs w:val="14"/>
          <w:color w:val="auto"/>
        </w:rPr>
        <w:t>“ “Obligations” are Borrower’s obligations to pay when due any debts, principal, interest, fees, Bank Expenses, the Prepayment Fee, the Final Payment, the 2022 Prepayment Fee, the 2022 Final Payment,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2.9 Section 12.2 (Definitions)</w:t>
      </w:r>
      <w:r>
        <w:rPr>
          <w:rFonts w:ascii="Times New Roman" w:cs="Times New Roman" w:eastAsia="Times New Roman" w:hAnsi="Times New Roman"/>
          <w:sz w:val="14"/>
          <w:szCs w:val="14"/>
          <w:color w:val="auto"/>
        </w:rPr>
        <w:t>. The Loan Agreement is amended by inserting the following new terms and their respective definitions to appear alphabetically in Section 12.2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Agreement thereof:</w:t>
      </w:r>
    </w:p>
    <w:p>
      <w:pPr>
        <w:spacing w:after="0" w:line="159" w:lineRule="exact"/>
        <w:rPr>
          <w:sz w:val="20"/>
          <w:szCs w:val="20"/>
          <w:color w:val="auto"/>
        </w:rPr>
      </w:pPr>
    </w:p>
    <w:p>
      <w:pPr>
        <w:ind w:left="1140" w:right="40"/>
        <w:spacing w:after="0" w:line="268"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2022 Final Payment</w:t>
      </w:r>
      <w:r>
        <w:rPr>
          <w:rFonts w:ascii="Times New Roman" w:cs="Times New Roman" w:eastAsia="Times New Roman" w:hAnsi="Times New Roman"/>
          <w:sz w:val="14"/>
          <w:szCs w:val="14"/>
          <w:color w:val="auto"/>
        </w:rPr>
        <w:t>” is a payment (in addition to and not a substitution for the regular monthly payments of principal plus accrued interest) due on the earliest to occur of (a) the 2022 Term Loan Maturity Date, (b) the repayment of the 2022 Term Loan Advance in full, (c) as required pursuant to Sections 1.1.1(c) or 1.1.1(d), or (d) the termination of this Agreement, in an amount equal to $675,000.00.”</w:t>
      </w:r>
    </w:p>
    <w:p>
      <w:pPr>
        <w:spacing w:after="0" w:line="133" w:lineRule="exact"/>
        <w:rPr>
          <w:sz w:val="20"/>
          <w:szCs w:val="20"/>
          <w:color w:val="auto"/>
        </w:rPr>
      </w:pPr>
    </w:p>
    <w:p>
      <w:pPr>
        <w:jc w:val="both"/>
        <w:ind w:left="1140" w:right="5700"/>
        <w:spacing w:after="0" w:line="501"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2022 Interest Only Extension Event #1</w:t>
      </w:r>
      <w:r>
        <w:rPr>
          <w:rFonts w:ascii="Times New Roman" w:cs="Times New Roman" w:eastAsia="Times New Roman" w:hAnsi="Times New Roman"/>
          <w:sz w:val="14"/>
          <w:szCs w:val="14"/>
          <w:color w:val="auto"/>
        </w:rPr>
        <w:t>” is set forth on Schedule I hereto.” “ “</w:t>
      </w:r>
      <w:r>
        <w:rPr>
          <w:rFonts w:ascii="Times New Roman" w:cs="Times New Roman" w:eastAsia="Times New Roman" w:hAnsi="Times New Roman"/>
          <w:sz w:val="14"/>
          <w:szCs w:val="14"/>
          <w:b w:val="1"/>
          <w:bCs w:val="1"/>
          <w:color w:val="auto"/>
        </w:rPr>
        <w:t>2022 Interest Only Extension Event #2</w:t>
      </w:r>
      <w:r>
        <w:rPr>
          <w:rFonts w:ascii="Times New Roman" w:cs="Times New Roman" w:eastAsia="Times New Roman" w:hAnsi="Times New Roman"/>
          <w:sz w:val="14"/>
          <w:szCs w:val="14"/>
          <w:color w:val="auto"/>
        </w:rPr>
        <w:t>” is set forth on Schedule I hereto.”</w:t>
      </w:r>
    </w:p>
    <w:p>
      <w:pPr>
        <w:ind w:left="11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2022 Prepayment Fee</w:t>
      </w:r>
      <w:r>
        <w:rPr>
          <w:rFonts w:ascii="Times New Roman" w:cs="Times New Roman" w:eastAsia="Times New Roman" w:hAnsi="Times New Roman"/>
          <w:sz w:val="14"/>
          <w:szCs w:val="14"/>
          <w:color w:val="auto"/>
        </w:rPr>
        <w:t>” shall be an additional fee payable to Bank, with respect to the 2022 Term Loan Advance, in an amount equal to:</w:t>
      </w:r>
    </w:p>
    <w:p>
      <w:pPr>
        <w:spacing w:after="0" w:line="182" w:lineRule="exact"/>
        <w:rPr>
          <w:sz w:val="20"/>
          <w:szCs w:val="20"/>
          <w:color w:val="auto"/>
        </w:rPr>
      </w:pPr>
    </w:p>
    <w:p>
      <w:pPr>
        <w:ind w:left="1160" w:right="100" w:firstLine="506"/>
        <w:spacing w:after="0" w:line="232" w:lineRule="auto"/>
        <w:tabs>
          <w:tab w:leader="none" w:pos="1862"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2022 Term Loan Advance made on or prior to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anniversary of the Second Amendment Effective Date, three percent (3.0%) of the then outstanding principal amount of the 2022 Term Loan Advance immediately prior to the date of such prepayment;</w:t>
      </w:r>
    </w:p>
    <w:p>
      <w:pPr>
        <w:spacing w:after="0" w:line="159" w:lineRule="exact"/>
        <w:rPr>
          <w:rFonts w:ascii="Times New Roman" w:cs="Times New Roman" w:eastAsia="Times New Roman" w:hAnsi="Times New Roman"/>
          <w:sz w:val="14"/>
          <w:szCs w:val="14"/>
          <w:color w:val="auto"/>
        </w:rPr>
      </w:pPr>
    </w:p>
    <w:p>
      <w:pPr>
        <w:ind w:left="1160" w:right="120" w:firstLine="506"/>
        <w:spacing w:after="0" w:line="238" w:lineRule="auto"/>
        <w:tabs>
          <w:tab w:leader="none" w:pos="1870"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2022 Term Loan Advance made after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anniversary of the Second Amendment Effective Date, but on or prior to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anniversary of the Second Amendment Effective Date, one percent (1.0%) of the then outstanding principal amount of the 2022 Term Loan Advance immediately prior to the date of such prepayment; and</w:t>
      </w:r>
    </w:p>
    <w:p>
      <w:pPr>
        <w:spacing w:after="0" w:line="158" w:lineRule="exact"/>
        <w:rPr>
          <w:rFonts w:ascii="Times New Roman" w:cs="Times New Roman" w:eastAsia="Times New Roman" w:hAnsi="Times New Roman"/>
          <w:sz w:val="14"/>
          <w:szCs w:val="14"/>
          <w:color w:val="auto"/>
        </w:rPr>
      </w:pPr>
    </w:p>
    <w:p>
      <w:pPr>
        <w:ind w:left="1160" w:right="160" w:firstLine="506"/>
        <w:spacing w:after="0" w:line="232" w:lineRule="auto"/>
        <w:tabs>
          <w:tab w:leader="none" w:pos="1862"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prepayment of the 2022 Term Loan Advance made after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anniversary of the Second Amendment Effective Date, zero percent (0.0%) of the then outstanding principal amount of the 2022 Term Loan Advance immediately prior to the date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468630</wp:posOffset>
            </wp:positionV>
            <wp:extent cx="7188200"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499" w:name="page500"/>
    <w:bookmarkEnd w:id="499"/>
    <w:p>
      <w:pPr>
        <w:ind w:left="1140" w:right="280" w:firstLine="511"/>
        <w:spacing w:after="0" w:line="283" w:lineRule="auto"/>
        <w:rPr>
          <w:sz w:val="20"/>
          <w:szCs w:val="20"/>
          <w:color w:val="auto"/>
        </w:rPr>
      </w:pPr>
      <w:r>
        <w:rPr>
          <w:rFonts w:ascii="Times New Roman" w:cs="Times New Roman" w:eastAsia="Times New Roman" w:hAnsi="Times New Roman"/>
          <w:sz w:val="14"/>
          <w:szCs w:val="14"/>
          <w:color w:val="auto"/>
        </w:rPr>
        <w:t>Notwithstanding the foregoing, provided no Event of Default has occurred and is continuing, the 2022 Prepayment Fee shall be waived by Bank if Bank closes on the refinance and redocumentation of the 2022 Term Loan Advance (in its sole and absolute discretion) prior to the 2022 Term Loan Maturity Date.”</w:t>
      </w:r>
    </w:p>
    <w:p>
      <w:pPr>
        <w:spacing w:after="0" w:line="1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2022 Repayment Schedule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left="1140" w:right="5520"/>
        <w:spacing w:after="0" w:line="501"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2022 Term Loan Advance</w:t>
      </w:r>
      <w:r>
        <w:rPr>
          <w:rFonts w:ascii="Times New Roman" w:cs="Times New Roman" w:eastAsia="Times New Roman" w:hAnsi="Times New Roman"/>
          <w:sz w:val="14"/>
          <w:szCs w:val="14"/>
          <w:color w:val="auto"/>
        </w:rPr>
        <w:t>” is defined in Section 1.1.1(a) of this Agreement.” “ “</w:t>
      </w:r>
      <w:r>
        <w:rPr>
          <w:rFonts w:ascii="Times New Roman" w:cs="Times New Roman" w:eastAsia="Times New Roman" w:hAnsi="Times New Roman"/>
          <w:sz w:val="14"/>
          <w:szCs w:val="14"/>
          <w:b w:val="1"/>
          <w:bCs w:val="1"/>
          <w:color w:val="auto"/>
        </w:rPr>
        <w:t>2022 Term Loan Amortization Date</w:t>
      </w:r>
      <w:r>
        <w:rPr>
          <w:rFonts w:ascii="Times New Roman" w:cs="Times New Roman" w:eastAsia="Times New Roman" w:hAnsi="Times New Roman"/>
          <w:sz w:val="14"/>
          <w:szCs w:val="14"/>
          <w:color w:val="auto"/>
        </w:rPr>
        <w:t>” is set forth on Schedule I hereto.”</w:t>
      </w:r>
    </w:p>
    <w:p>
      <w:pPr>
        <w:ind w:left="1160" w:right="5700"/>
        <w:spacing w:after="0" w:line="540"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2022 Term Loan Availability Amount</w:t>
      </w:r>
      <w:r>
        <w:rPr>
          <w:rFonts w:ascii="Times New Roman" w:cs="Times New Roman" w:eastAsia="Times New Roman" w:hAnsi="Times New Roman"/>
          <w:sz w:val="13"/>
          <w:szCs w:val="13"/>
          <w:color w:val="auto"/>
        </w:rPr>
        <w:t>” is set forth on Schedule I hereto.” “ “</w:t>
      </w:r>
      <w:r>
        <w:rPr>
          <w:rFonts w:ascii="Times New Roman" w:cs="Times New Roman" w:eastAsia="Times New Roman" w:hAnsi="Times New Roman"/>
          <w:sz w:val="13"/>
          <w:szCs w:val="13"/>
          <w:b w:val="1"/>
          <w:bCs w:val="1"/>
          <w:color w:val="auto"/>
        </w:rPr>
        <w:t>2022 Term Loan Maturity Date</w:t>
      </w:r>
      <w:r>
        <w:rPr>
          <w:rFonts w:ascii="Times New Roman" w:cs="Times New Roman" w:eastAsia="Times New Roman" w:hAnsi="Times New Roman"/>
          <w:sz w:val="13"/>
          <w:szCs w:val="13"/>
          <w:color w:val="auto"/>
        </w:rPr>
        <w:t>” is set forth on Schedule I hereto.”</w:t>
      </w:r>
    </w:p>
    <w:p>
      <w:pPr>
        <w:ind w:left="11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Prior Obligations</w:t>
      </w:r>
      <w:r>
        <w:rPr>
          <w:rFonts w:ascii="Times New Roman" w:cs="Times New Roman" w:eastAsia="Times New Roman" w:hAnsi="Times New Roman"/>
          <w:sz w:val="14"/>
          <w:szCs w:val="14"/>
          <w:color w:val="auto"/>
        </w:rPr>
        <w:t>” is defined in section 1.1.1(a) of this Agreement.”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Second Amendment Effective Date</w:t>
      </w:r>
      <w:r>
        <w:rPr>
          <w:rFonts w:ascii="Times New Roman" w:cs="Times New Roman" w:eastAsia="Times New Roman" w:hAnsi="Times New Roman"/>
          <w:sz w:val="14"/>
          <w:szCs w:val="14"/>
          <w:color w:val="auto"/>
        </w:rPr>
        <w:t>” is set forth on Schedule I hereto.”</w:t>
      </w:r>
    </w:p>
    <w:p>
      <w:pPr>
        <w:spacing w:after="0" w:line="175" w:lineRule="exact"/>
        <w:rPr>
          <w:sz w:val="20"/>
          <w:szCs w:val="20"/>
          <w:color w:val="auto"/>
        </w:rPr>
      </w:pPr>
    </w:p>
    <w:p>
      <w:pPr>
        <w:ind w:right="42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2.10 Schedule I (LSA Provisions)</w:t>
      </w:r>
      <w:r>
        <w:rPr>
          <w:rFonts w:ascii="Times New Roman" w:cs="Times New Roman" w:eastAsia="Times New Roman" w:hAnsi="Times New Roman"/>
          <w:sz w:val="14"/>
          <w:szCs w:val="14"/>
          <w:color w:val="auto"/>
        </w:rPr>
        <w:t>. Schedule I (LSA Provisions) to the Loan Agreement is deleted in its entirety and replaced with Schedule I (LSA Provisions) attached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Schedule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attached hereto.</w:t>
      </w:r>
    </w:p>
    <w:p>
      <w:pPr>
        <w:spacing w:after="0" w:line="121" w:lineRule="exact"/>
        <w:rPr>
          <w:sz w:val="20"/>
          <w:szCs w:val="20"/>
          <w:color w:val="auto"/>
        </w:rPr>
      </w:pPr>
    </w:p>
    <w:p>
      <w:pPr>
        <w:ind w:right="2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2.11 Exhibit A (Compliance Statement)</w:t>
      </w:r>
      <w:r>
        <w:rPr>
          <w:rFonts w:ascii="Times New Roman" w:cs="Times New Roman" w:eastAsia="Times New Roman" w:hAnsi="Times New Roman"/>
          <w:sz w:val="14"/>
          <w:szCs w:val="14"/>
          <w:color w:val="auto"/>
        </w:rPr>
        <w:t>. The Compliance Statement appearing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Loan Agreement is deleted in its entirety and replaced with the Compliance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Statement attached as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hereto.</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3. Limitation of Amendments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right="8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 amendments set forth in Section 2 above are effective for the purposes set forth herein and shall be limited precisely as written and shall not be deemed to (a) be a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amendment, waiver or modification of any other term or condition of any Loan Document, or (b) otherwise prejudice any right or remedy which Bank may now have or may have in the future under or in connection with any Loan Document.</w:t>
      </w:r>
    </w:p>
    <w:p>
      <w:pPr>
        <w:spacing w:after="0" w:line="133" w:lineRule="exact"/>
        <w:rPr>
          <w:sz w:val="20"/>
          <w:szCs w:val="20"/>
          <w:color w:val="auto"/>
        </w:rPr>
      </w:pPr>
    </w:p>
    <w:p>
      <w:pPr>
        <w:jc w:val="both"/>
        <w:ind w:right="6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This Amendment shall be construed in connection with and as part of the Loan Documents and all terms, conditions, representations, warranties, covenants and agreements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the Loan Documents, except as herein amended, are hereby ratified and confirmed and shall remain in full force and effect.</w:t>
      </w:r>
    </w:p>
    <w:p>
      <w:pPr>
        <w:spacing w:after="0" w:line="121" w:lineRule="exact"/>
        <w:rPr>
          <w:sz w:val="20"/>
          <w:szCs w:val="20"/>
          <w:color w:val="auto"/>
        </w:rPr>
      </w:pPr>
    </w:p>
    <w:p>
      <w:pPr>
        <w:ind w:left="660" w:hanging="145"/>
        <w:spacing w:after="0"/>
        <w:tabs>
          <w:tab w:leader="none" w:pos="660" w:val="left"/>
        </w:tabs>
        <w:numPr>
          <w:ilvl w:val="0"/>
          <w:numId w:val="4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 To induce Bank to enter into this Amendment, Borrower hereby represents and warrants to Bank as follows:</w:t>
      </w:r>
    </w:p>
    <w:p>
      <w:pPr>
        <w:spacing w:after="0" w:line="175" w:lineRule="exact"/>
        <w:rPr>
          <w:sz w:val="20"/>
          <w:szCs w:val="20"/>
          <w:color w:val="auto"/>
        </w:rPr>
      </w:pPr>
    </w:p>
    <w:p>
      <w:pPr>
        <w:ind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Immediately after giving effect to this Amendment (a) the representations and warranties contained in the Loan Documents are true, accurate and complete in all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Borrower has the power and authority to execute and deliver this Amendment and to perform its obligations under the Loan Agreement, as amended by this Amendment;</w:t>
      </w:r>
    </w:p>
    <w:p>
      <w:pPr>
        <w:spacing w:after="0" w:line="175" w:lineRule="exact"/>
        <w:rPr>
          <w:sz w:val="20"/>
          <w:szCs w:val="20"/>
          <w:color w:val="auto"/>
        </w:rPr>
      </w:pPr>
    </w:p>
    <w:p>
      <w:pPr>
        <w:jc w:val="both"/>
        <w:ind w:right="1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 </w:t>
      </w:r>
      <w:r>
        <w:rPr>
          <w:rFonts w:ascii="Times New Roman" w:cs="Times New Roman" w:eastAsia="Times New Roman" w:hAnsi="Times New Roman"/>
          <w:sz w:val="14"/>
          <w:szCs w:val="14"/>
          <w:color w:val="auto"/>
        </w:rPr>
        <w:t>The organizational documents of Borrower delivered to Bank on the Effective Date remain true, accurate and complete and have not been amended, supplemented or restated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are and continue to be in full force and effect;</w:t>
      </w:r>
    </w:p>
    <w:p>
      <w:pPr>
        <w:spacing w:after="0" w:line="121" w:lineRule="exact"/>
        <w:rPr>
          <w:sz w:val="20"/>
          <w:szCs w:val="20"/>
          <w:color w:val="auto"/>
        </w:rPr>
      </w:pPr>
    </w:p>
    <w:p>
      <w:pPr>
        <w:jc w:val="both"/>
        <w:ind w:right="12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4.4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duly authorized;</w:t>
      </w:r>
    </w:p>
    <w:p>
      <w:pPr>
        <w:spacing w:after="0" w:line="121" w:lineRule="exact"/>
        <w:rPr>
          <w:sz w:val="20"/>
          <w:szCs w:val="20"/>
          <w:color w:val="auto"/>
        </w:rPr>
      </w:pPr>
    </w:p>
    <w:p>
      <w:pPr>
        <w:jc w:val="both"/>
        <w:ind w:right="12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4.5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456565</wp:posOffset>
            </wp:positionV>
            <wp:extent cx="7188200"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500" w:name="page501"/>
    <w:bookmarkEnd w:id="500"/>
    <w:p>
      <w:pPr>
        <w:ind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4.6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3" w:lineRule="exact"/>
        <w:rPr>
          <w:sz w:val="20"/>
          <w:szCs w:val="20"/>
          <w:color w:val="auto"/>
        </w:rPr>
      </w:pPr>
    </w:p>
    <w:p>
      <w:pPr>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4.7 </w:t>
      </w:r>
      <w:r>
        <w:rPr>
          <w:rFonts w:ascii="Times New Roman" w:cs="Times New Roman" w:eastAsia="Times New Roman" w:hAnsi="Times New Roman"/>
          <w:sz w:val="14"/>
          <w:szCs w:val="14"/>
          <w:color w:val="auto"/>
        </w:rPr>
        <w:t>This Amendment has been duly executed and delivered by Borrower and is the binding obligation of Borrower, enforceable against Borrower in accordance with its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such enforceability may be limited by bankruptcy, insolvency, reorganization, liquidation, moratorium or other similar laws of application relating to or affecting creditors’ rights and general equitable principles.</w:t>
      </w:r>
    </w:p>
    <w:p>
      <w:pPr>
        <w:spacing w:after="0" w:line="133" w:lineRule="exact"/>
        <w:rPr>
          <w:sz w:val="20"/>
          <w:szCs w:val="20"/>
          <w:color w:val="auto"/>
        </w:rPr>
      </w:pPr>
    </w:p>
    <w:p>
      <w:pPr>
        <w:ind w:firstLine="515"/>
        <w:spacing w:after="0" w:line="268" w:lineRule="auto"/>
        <w:tabs>
          <w:tab w:leader="none" w:pos="651" w:val="left"/>
        </w:tabs>
        <w:numPr>
          <w:ilvl w:val="1"/>
          <w:numId w:val="4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Ratification of Perfection Certificate</w:t>
      </w:r>
      <w:r>
        <w:rPr>
          <w:rFonts w:ascii="Times New Roman" w:cs="Times New Roman" w:eastAsia="Times New Roman" w:hAnsi="Times New Roman"/>
          <w:sz w:val="14"/>
          <w:szCs w:val="14"/>
          <w:color w:val="auto"/>
        </w:rPr>
        <w:t>. Borrower hereby ratifies, confirms and reaffirms, all and singular, the terms and disclosures contained in a certain Perfection Certificate of Borrower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dated as of April 12, 2022, and acknowledges, confirms and agrees the disclosures and information Borrower provided to Bank in said Perfection Certificate have not changed, as of the date hereof, except as set forth on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xml:space="preserve"> attached hereto.</w:t>
      </w:r>
    </w:p>
    <w:p>
      <w:pPr>
        <w:spacing w:after="0" w:line="133"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1"/>
          <w:numId w:val="4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Reserved</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b w:val="1"/>
          <w:bCs w:val="1"/>
          <w:color w:val="auto"/>
        </w:rPr>
      </w:pPr>
    </w:p>
    <w:p>
      <w:pPr>
        <w:ind w:right="360" w:firstLine="515"/>
        <w:spacing w:after="0" w:line="268" w:lineRule="auto"/>
        <w:tabs>
          <w:tab w:leader="none" w:pos="651" w:val="left"/>
        </w:tabs>
        <w:numPr>
          <w:ilvl w:val="1"/>
          <w:numId w:val="4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Integration</w:t>
      </w:r>
      <w:r>
        <w:rPr>
          <w:rFonts w:ascii="Times New Roman" w:cs="Times New Roman" w:eastAsia="Times New Roman" w:hAnsi="Times New Roman"/>
          <w:sz w:val="14"/>
          <w:szCs w:val="14"/>
          <w:color w:val="auto"/>
        </w:rPr>
        <w:t>. This Amendment and the Loan Documents represent the entire agreement about this subject matter and supersede prior negotiations or agreements. All prior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understandings, representations, warranties, and negotiations between the parties about the subject matter of this Amendment and the Loan Documents merge into this Amendment and the Loan Documents.</w:t>
      </w:r>
    </w:p>
    <w:p>
      <w:pPr>
        <w:spacing w:after="0" w:line="133" w:lineRule="exact"/>
        <w:rPr>
          <w:rFonts w:ascii="Times New Roman" w:cs="Times New Roman" w:eastAsia="Times New Roman" w:hAnsi="Times New Roman"/>
          <w:sz w:val="14"/>
          <w:szCs w:val="14"/>
          <w:b w:val="1"/>
          <w:bCs w:val="1"/>
          <w:color w:val="auto"/>
        </w:rPr>
      </w:pPr>
    </w:p>
    <w:p>
      <w:pPr>
        <w:ind w:right="460" w:firstLine="515"/>
        <w:spacing w:after="0" w:line="286" w:lineRule="auto"/>
        <w:tabs>
          <w:tab w:leader="none" w:pos="651" w:val="left"/>
        </w:tabs>
        <w:numPr>
          <w:ilvl w:val="1"/>
          <w:numId w:val="4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Counterparts</w:t>
      </w:r>
      <w:r>
        <w:rPr>
          <w:rFonts w:ascii="Times New Roman" w:cs="Times New Roman" w:eastAsia="Times New Roman" w:hAnsi="Times New Roman"/>
          <w:sz w:val="14"/>
          <w:szCs w:val="14"/>
          <w:color w:val="auto"/>
        </w:rPr>
        <w:t>. This Amendment may be executed in any number of counterparts (including by PDF or other electronic transmission, or facsimile) and all of such counterparts taken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be deemed to constitute one and the same instrument.</w:t>
      </w:r>
    </w:p>
    <w:p>
      <w:pPr>
        <w:spacing w:after="0" w:line="120"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1"/>
          <w:numId w:val="4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Effectiveness</w:t>
      </w:r>
      <w:r>
        <w:rPr>
          <w:rFonts w:ascii="Times New Roman" w:cs="Times New Roman" w:eastAsia="Times New Roman" w:hAnsi="Times New Roman"/>
          <w:sz w:val="14"/>
          <w:szCs w:val="14"/>
          <w:color w:val="auto"/>
        </w:rPr>
        <w:t>. This Amendment shall be deemed effective upon (a) the due execution and delivery to Bank of this Amendment by each party hereto and (b) Borrower’s payment to Bank of</w:t>
      </w:r>
    </w:p>
    <w:p>
      <w:pPr>
        <w:spacing w:after="0" w:line="23" w:lineRule="exact"/>
        <w:rPr>
          <w:rFonts w:ascii="Times New Roman" w:cs="Times New Roman" w:eastAsia="Times New Roman" w:hAnsi="Times New Roman"/>
          <w:sz w:val="14"/>
          <w:szCs w:val="14"/>
          <w:b w:val="1"/>
          <w:bCs w:val="1"/>
          <w:color w:val="auto"/>
        </w:rPr>
      </w:pPr>
    </w:p>
    <w:p>
      <w:pPr>
        <w:ind w:left="180" w:hanging="176"/>
        <w:spacing w:after="0"/>
        <w:tabs>
          <w:tab w:leader="none" w:pos="18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Final Payment in the amount of $675,000.00 and (ii) Bank’s reasonable and documented legal fees and expenses incurred in connection with this Amendment.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501" w:name="page502"/>
    <w:bookmarkEnd w:id="501"/>
    <w:p>
      <w:pPr>
        <w:ind w:left="52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Amendment to be duly executed and delivered as of the date first written above.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6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0" w:type="dxa"/>
            <w:vAlign w:val="bottom"/>
          </w:tcPr>
          <w:p>
            <w:pPr>
              <w:spacing w:after="0"/>
              <w:rPr>
                <w:sz w:val="1"/>
                <w:szCs w:val="1"/>
                <w:color w:val="auto"/>
              </w:rPr>
            </w:pPr>
          </w:p>
        </w:tc>
      </w:tr>
      <w:tr>
        <w:trPr>
          <w:trHeight w:val="336"/>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SILICON VALLEY BANK</w:t>
            </w:r>
          </w:p>
        </w:tc>
        <w:tc>
          <w:tcPr>
            <w:tcW w:w="64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FOG PHARMACEUTICALS, INC.</w:t>
            </w:r>
          </w:p>
        </w:tc>
        <w:tc>
          <w:tcPr>
            <w:tcW w:w="0" w:type="dxa"/>
            <w:vAlign w:val="bottom"/>
          </w:tcPr>
          <w:p>
            <w:pPr>
              <w:spacing w:after="0"/>
              <w:rPr>
                <w:sz w:val="1"/>
                <w:szCs w:val="1"/>
                <w:color w:val="auto"/>
              </w:rPr>
            </w:pPr>
          </w:p>
        </w:tc>
      </w:tr>
      <w:tr>
        <w:trPr>
          <w:trHeight w:val="336"/>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 Jameson Whiteley</w:t>
            </w:r>
          </w:p>
        </w:tc>
        <w:tc>
          <w:tcPr>
            <w:tcW w:w="64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By:    /s/ Gregory L. Verdine</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 w:type="dxa"/>
            <w:vAlign w:val="bottom"/>
            <w:vMerge w:val="continue"/>
          </w:tcPr>
          <w:p>
            <w:pPr>
              <w:spacing w:after="0"/>
              <w:rPr>
                <w:sz w:val="12"/>
                <w:szCs w:val="12"/>
                <w:color w:val="auto"/>
              </w:rPr>
            </w:pPr>
          </w:p>
        </w:tc>
        <w:tc>
          <w:tcPr>
            <w:tcW w:w="4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Jameson Whiteley</w:t>
            </w:r>
          </w:p>
        </w:tc>
        <w:tc>
          <w:tcPr>
            <w:tcW w:w="6420" w:type="dxa"/>
            <w:vAlign w:val="bottom"/>
            <w:gridSpan w:val="2"/>
          </w:tcPr>
          <w:p>
            <w:pPr>
              <w:ind w:left="460"/>
              <w:spacing w:after="0" w:line="144" w:lineRule="exact"/>
              <w:rPr>
                <w:sz w:val="20"/>
                <w:szCs w:val="20"/>
                <w:color w:val="auto"/>
              </w:rPr>
            </w:pPr>
            <w:r>
              <w:rPr>
                <w:rFonts w:ascii="Times New Roman" w:cs="Times New Roman" w:eastAsia="Times New Roman" w:hAnsi="Times New Roman"/>
                <w:sz w:val="14"/>
                <w:szCs w:val="14"/>
                <w:color w:val="auto"/>
              </w:rPr>
              <w:t>Name:  Gregory L. Verdine</w:t>
            </w:r>
          </w:p>
        </w:tc>
        <w:tc>
          <w:tcPr>
            <w:tcW w:w="0" w:type="dxa"/>
            <w:vAlign w:val="bottom"/>
          </w:tcPr>
          <w:p>
            <w:pPr>
              <w:spacing w:after="0"/>
              <w:rPr>
                <w:sz w:val="1"/>
                <w:szCs w:val="1"/>
                <w:color w:val="auto"/>
              </w:rPr>
            </w:pPr>
          </w:p>
        </w:tc>
      </w:tr>
      <w:tr>
        <w:trPr>
          <w:trHeight w:val="183"/>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Vice President</w:t>
            </w:r>
          </w:p>
        </w:tc>
        <w:tc>
          <w:tcPr>
            <w:tcW w:w="64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Title:    President, Treasurer and Secretary</w:t>
            </w:r>
          </w:p>
        </w:tc>
        <w:tc>
          <w:tcPr>
            <w:tcW w:w="0" w:type="dxa"/>
            <w:vAlign w:val="bottom"/>
          </w:tcPr>
          <w:p>
            <w:pPr>
              <w:spacing w:after="0"/>
              <w:rPr>
                <w:sz w:val="1"/>
                <w:szCs w:val="1"/>
                <w:color w:val="auto"/>
              </w:rPr>
            </w:pPr>
          </w:p>
        </w:tc>
      </w:tr>
      <w:tr>
        <w:trPr>
          <w:trHeight w:val="926"/>
        </w:trPr>
        <w:tc>
          <w:tcPr>
            <w:tcW w:w="4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502" w:name="page503"/>
    <w:bookmarkEnd w:id="502"/>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80" w:type="dxa"/>
            <w:vAlign w:val="bottom"/>
            <w:gridSpan w:val="4"/>
          </w:tcPr>
          <w:p>
            <w:pPr>
              <w:jc w:val="center"/>
              <w:ind w:right="5340"/>
              <w:spacing w:after="0"/>
              <w:rPr>
                <w:sz w:val="20"/>
                <w:szCs w:val="20"/>
                <w:color w:val="auto"/>
              </w:rPr>
            </w:pPr>
            <w:r>
              <w:rPr>
                <w:rFonts w:ascii="Times New Roman" w:cs="Times New Roman" w:eastAsia="Times New Roman" w:hAnsi="Times New Roman"/>
                <w:sz w:val="14"/>
                <w:szCs w:val="14"/>
                <w:b w:val="1"/>
                <w:bCs w:val="1"/>
                <w:color w:val="auto"/>
                <w:w w:val="99"/>
              </w:rPr>
              <w:t>Schedule 1</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16"/>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SCHEDULE I</w:t>
            </w:r>
          </w:p>
        </w:tc>
        <w:tc>
          <w:tcPr>
            <w:tcW w:w="5220" w:type="dxa"/>
            <w:vAlign w:val="bottom"/>
            <w:gridSpan w:val="2"/>
          </w:tcPr>
          <w:p>
            <w:pPr>
              <w:spacing w:after="0"/>
              <w:rPr>
                <w:sz w:val="24"/>
                <w:szCs w:val="24"/>
                <w:color w:val="auto"/>
              </w:rPr>
            </w:pPr>
          </w:p>
        </w:tc>
      </w:tr>
      <w:tr>
        <w:trPr>
          <w:trHeight w:val="316"/>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LSA PROVISIONS</w:t>
            </w:r>
          </w:p>
        </w:tc>
        <w:tc>
          <w:tcPr>
            <w:tcW w:w="5060" w:type="dxa"/>
            <w:vAlign w:val="bottom"/>
          </w:tcPr>
          <w:p>
            <w:pPr>
              <w:spacing w:after="0"/>
              <w:rPr>
                <w:sz w:val="24"/>
                <w:szCs w:val="2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LSA Section</w:t>
            </w:r>
          </w:p>
        </w:tc>
        <w:tc>
          <w:tcPr>
            <w:tcW w:w="120" w:type="dxa"/>
            <w:vAlign w:val="bottom"/>
          </w:tcPr>
          <w:p>
            <w:pPr>
              <w:spacing w:after="0"/>
              <w:rPr>
                <w:sz w:val="24"/>
                <w:szCs w:val="24"/>
                <w:color w:val="auto"/>
              </w:rPr>
            </w:pPr>
          </w:p>
        </w:tc>
        <w:tc>
          <w:tcPr>
            <w:tcW w:w="8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LSA Provision</w:t>
            </w:r>
          </w:p>
        </w:tc>
      </w:tr>
      <w:tr>
        <w:trPr>
          <w:trHeight w:val="22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1.1.1(a) – 2022 Term Loan – Availability</w:t>
            </w:r>
          </w:p>
        </w:tc>
        <w:tc>
          <w:tcPr>
            <w:tcW w:w="120" w:type="dxa"/>
            <w:vAlign w:val="bottom"/>
          </w:tcPr>
          <w:p>
            <w:pPr>
              <w:spacing w:after="0"/>
              <w:rPr>
                <w:sz w:val="19"/>
                <w:szCs w:val="19"/>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After repayment, the 2022 Term Loan Advance (or any portion thereof) may not be reborrowed.</w:t>
            </w: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1.1.1(b) – 2022 Term Loan – Repayment</w:t>
            </w:r>
          </w:p>
        </w:tc>
        <w:tc>
          <w:tcPr>
            <w:tcW w:w="120" w:type="dxa"/>
            <w:vAlign w:val="bottom"/>
          </w:tcPr>
          <w:p>
            <w:pPr>
              <w:spacing w:after="0"/>
              <w:rPr>
                <w:sz w:val="21"/>
                <w:szCs w:val="21"/>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Commencing on the 2022 Term Loan Amortization Date and continuing on each Payment Date thereafter, Borrower shall repay the 2022</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Term Loan Advance in (i) consecutive equal monthly installments of principal based on the applicable 2022 Repayment Schedule, plus (ii)</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monthly payments of accrued interest at the rate set forth in Section 1.2(b)(i).</w:t>
            </w: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Notwithstanding the foregoing, if the 2022 Interest Only Extension Event #1 does not occur on or prior to December 31, 2022, then Borrower</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shall make a payment to Bank on January 1, 2023 (in addition to and not a substitution for the regular monthly payment of principal plus</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accrued interest due on such date) in an amount equal to $833,333.34.</w:t>
            </w: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1.2(a) – Interest Payments – 2022 Term Loan Advance</w:t>
            </w:r>
          </w:p>
        </w:tc>
        <w:tc>
          <w:tcPr>
            <w:tcW w:w="120" w:type="dxa"/>
            <w:vAlign w:val="bottom"/>
          </w:tcPr>
          <w:p>
            <w:pPr>
              <w:spacing w:after="0"/>
              <w:rPr>
                <w:sz w:val="21"/>
                <w:szCs w:val="21"/>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Interest on the principal amount of the 2022 Term Loan Advance is payable in arrears monthly (A) on each Payment Date commencing on the</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9"/>
              </w:rPr>
              <w:t>first Payment Date following the Funding Date of the 2022 Term Loan Advance, (B) on the date of any prepayment and (C) on the 2022 Term</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Loan Maturity Date.</w:t>
            </w: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1.2(b)(i) – Interest Rate – 2022 Term Loan Advance</w:t>
            </w:r>
          </w:p>
        </w:tc>
        <w:tc>
          <w:tcPr>
            <w:tcW w:w="120" w:type="dxa"/>
            <w:vAlign w:val="bottom"/>
          </w:tcPr>
          <w:p>
            <w:pPr>
              <w:spacing w:after="0"/>
              <w:rPr>
                <w:sz w:val="21"/>
                <w:szCs w:val="21"/>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outstanding principal amount of the 2022 Term Loan Advance shall accrue interest at a floating rate per annum equal to the greater of (1)</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6.75% and (2) the Prime Rate plus the Prime Rate Margin (provided that the interest rate under Section 1.2(b)(i) shall never exceed (6.75%)),</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which interest shall be payable in accordance with Section 1.2(a).</w:t>
            </w:r>
          </w:p>
        </w:tc>
      </w:tr>
      <w:tr>
        <w:trPr>
          <w:trHeight w:val="26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1.2(e) – Interest Computation</w:t>
            </w:r>
          </w:p>
        </w:tc>
        <w:tc>
          <w:tcPr>
            <w:tcW w:w="120" w:type="dxa"/>
            <w:vAlign w:val="bottom"/>
          </w:tcPr>
          <w:p>
            <w:pPr>
              <w:spacing w:after="0"/>
              <w:rPr>
                <w:sz w:val="22"/>
                <w:szCs w:val="22"/>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Interest shall be computed on the basis of the actual number of days elapsed and a 360-day year.</w:t>
            </w: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12.2 – “2022 Interest Only Extension Event #1”</w:t>
            </w:r>
          </w:p>
        </w:tc>
        <w:tc>
          <w:tcPr>
            <w:tcW w:w="120" w:type="dxa"/>
            <w:vAlign w:val="bottom"/>
          </w:tcPr>
          <w:p>
            <w:pPr>
              <w:spacing w:after="0"/>
              <w:rPr>
                <w:sz w:val="21"/>
                <w:szCs w:val="21"/>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“2022 Interest Only Extension Event #1” means Bank has confirmed in writing that Borrower has provided Bank with evidence, on or prior to</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December 31, 2022, satisfactory to Bank in its sole and absolute discretion, that Borrower has received after November 1, 2022, but prior to</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December 31, 2022, unrestricted and unencumbered (other than Bank’s Lien under this Agreement) net cash proceeds from its Series D</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financing with investors reasonably acceptable to Bank in an aggregate amount of at least $165,000,000.00. Bank hereby confirms that the</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2022 Interest Only Extension Event #1 occurred prior to the Second Amendment Effective Date.</w:t>
            </w: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12.2 – “2022 Interest Only Extension Event #2”</w:t>
            </w:r>
          </w:p>
        </w:tc>
        <w:tc>
          <w:tcPr>
            <w:tcW w:w="120" w:type="dxa"/>
            <w:vAlign w:val="bottom"/>
          </w:tcPr>
          <w:p>
            <w:pPr>
              <w:spacing w:after="0"/>
              <w:rPr>
                <w:sz w:val="21"/>
                <w:szCs w:val="21"/>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“2022 Interest Only Extension Event #2” means Bank has confirmed in writing that (i) the 2022 Interest Only Extension Event #1 has</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occurred and (ii) Borrower has provided Bank with evidence satisfactory to Bank in its sole and absolute discretion, that Borrower has</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received after the Second Amendment Effective Date, but on or prior to April 30, 2024, unrestricted and unencumbered (other than Bank’s</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9"/>
              </w:rPr>
              <w:t>Lien under this Agreement) net cash proceeds in an aggregate amount of at least $50,000,000.00 from (i) the issuance and sale by Borrower of</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9"/>
              </w:rPr>
              <w:t>its equity securities to investors reasonably acceptable to Bank (exclusive of any proceeds received in connection with Interest Only Extension</w:t>
            </w:r>
          </w:p>
        </w:tc>
      </w:tr>
      <w:tr>
        <w:trPr>
          <w:trHeight w:val="168"/>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Event #1) and/or (ii) upfront cash payments from outbound license agreements or partnership agreements, in each case, in a form and</w:t>
            </w: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substance acceptable to Bank in all respects.</w:t>
            </w:r>
          </w:p>
        </w:tc>
      </w:tr>
      <w:tr>
        <w:trPr>
          <w:trHeight w:val="853"/>
        </w:trPr>
        <w:tc>
          <w:tcPr>
            <w:tcW w:w="3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135"/>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LSA Section</w:t>
            </w:r>
          </w:p>
        </w:tc>
        <w:tc>
          <w:tcPr>
            <w:tcW w:w="120" w:type="dxa"/>
            <w:vAlign w:val="bottom"/>
          </w:tcPr>
          <w:p>
            <w:pPr>
              <w:spacing w:after="0"/>
              <w:rPr>
                <w:sz w:val="11"/>
                <w:szCs w:val="11"/>
                <w:color w:val="auto"/>
              </w:rPr>
            </w:pP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LSA Provision</w:t>
            </w:r>
          </w:p>
        </w:tc>
      </w:tr>
      <w:tr>
        <w:trPr>
          <w:trHeight w:val="144"/>
        </w:trPr>
        <w:tc>
          <w:tcPr>
            <w:tcW w:w="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 “2022 Repayment Schedule”</w:t>
            </w:r>
          </w:p>
        </w:tc>
        <w:tc>
          <w:tcPr>
            <w:tcW w:w="120" w:type="dxa"/>
            <w:vAlign w:val="bottom"/>
          </w:tcPr>
          <w:p>
            <w:pPr>
              <w:spacing w:after="0"/>
              <w:rPr>
                <w:sz w:val="12"/>
                <w:szCs w:val="12"/>
                <w:color w:val="auto"/>
              </w:rPr>
            </w:pPr>
          </w:p>
        </w:tc>
        <w:tc>
          <w:tcPr>
            <w:tcW w:w="80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“2022 Repayment Schedule” means the period of time equal to 33 consecutive calendar months, which period of time shall be reduced to 30</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consecutive calendar months upon the occurrence of 2022 Interest Only Extension Event #1, which shall be further reduced to 24 consecutive</w:t>
            </w:r>
          </w:p>
        </w:tc>
      </w:tr>
      <w:tr>
        <w:trPr>
          <w:trHeight w:val="183"/>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calendar months upon the occurrence of 2022 Interest Only Extension Event #2.</w:t>
            </w: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Availability Amount”</w:t>
            </w:r>
          </w:p>
        </w:tc>
        <w:tc>
          <w:tcPr>
            <w:tcW w:w="120" w:type="dxa"/>
            <w:vAlign w:val="bottom"/>
          </w:tcPr>
          <w:p>
            <w:pPr>
              <w:spacing w:after="0"/>
              <w:rPr>
                <w:sz w:val="22"/>
                <w:szCs w:val="22"/>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“2022 Term Loan Availability Amount” is an original principal amount equal to $15,000,000.00.</w:t>
            </w:r>
          </w:p>
        </w:tc>
      </w:tr>
      <w:tr>
        <w:trPr>
          <w:trHeight w:val="24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Amortization Date”</w:t>
            </w:r>
          </w:p>
        </w:tc>
        <w:tc>
          <w:tcPr>
            <w:tcW w:w="120" w:type="dxa"/>
            <w:vAlign w:val="bottom"/>
          </w:tcPr>
          <w:p>
            <w:pPr>
              <w:spacing w:after="0"/>
              <w:rPr>
                <w:sz w:val="21"/>
                <w:szCs w:val="21"/>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“2022 Term Loan Amortization Date” is, for the 2022 Term Loan Advance, January 1, 2023, which shall be extended to May 1, 2024, upon</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the occurrence of 2022 Interest Only Extension Event #1, which shall be further extended to November 1, 2024 upon the occurrence of 2022</w:t>
            </w:r>
          </w:p>
        </w:tc>
      </w:tr>
      <w:tr>
        <w:trPr>
          <w:trHeight w:val="183"/>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Interest Only Extension Event #2.</w:t>
            </w:r>
          </w:p>
        </w:tc>
      </w:tr>
      <w:tr>
        <w:trPr>
          <w:trHeight w:val="24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Maturity Date”</w:t>
            </w:r>
          </w:p>
        </w:tc>
        <w:tc>
          <w:tcPr>
            <w:tcW w:w="120" w:type="dxa"/>
            <w:vAlign w:val="bottom"/>
          </w:tcPr>
          <w:p>
            <w:pPr>
              <w:spacing w:after="0"/>
              <w:rPr>
                <w:sz w:val="21"/>
                <w:szCs w:val="21"/>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“2022 Term Loan Maturity Date” is September 1, 2025, which shall be extended to October 1, 2026 upon the occurrence of 2022 Interest</w:t>
            </w:r>
          </w:p>
        </w:tc>
      </w:tr>
      <w:tr>
        <w:trPr>
          <w:trHeight w:val="183"/>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Only Extension Event #1.</w:t>
            </w: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“Borrower”</w:t>
            </w:r>
          </w:p>
        </w:tc>
        <w:tc>
          <w:tcPr>
            <w:tcW w:w="120" w:type="dxa"/>
            <w:vAlign w:val="bottom"/>
          </w:tcPr>
          <w:p>
            <w:pPr>
              <w:spacing w:after="0"/>
              <w:rPr>
                <w:sz w:val="22"/>
                <w:szCs w:val="22"/>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“Borrower” means FOG PHARMACEUTICALS, INC., a Delaware corporation.</w:t>
            </w: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“Effective Date”</w:t>
            </w:r>
          </w:p>
        </w:tc>
        <w:tc>
          <w:tcPr>
            <w:tcW w:w="120" w:type="dxa"/>
            <w:vAlign w:val="bottom"/>
          </w:tcPr>
          <w:p>
            <w:pPr>
              <w:spacing w:after="0"/>
              <w:rPr>
                <w:sz w:val="22"/>
                <w:szCs w:val="22"/>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“Effective Date” is September 21, 2021.</w:t>
            </w:r>
          </w:p>
        </w:tc>
      </w:tr>
      <w:tr>
        <w:trPr>
          <w:trHeight w:val="24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“Payment Date”</w:t>
            </w:r>
          </w:p>
        </w:tc>
        <w:tc>
          <w:tcPr>
            <w:tcW w:w="120" w:type="dxa"/>
            <w:vAlign w:val="bottom"/>
          </w:tcPr>
          <w:p>
            <w:pPr>
              <w:spacing w:after="0"/>
              <w:rPr>
                <w:sz w:val="21"/>
                <w:szCs w:val="21"/>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“Payment Date” is the first (1st) calendar day of each month.</w:t>
            </w:r>
          </w:p>
        </w:tc>
      </w:tr>
      <w:tr>
        <w:trPr>
          <w:trHeight w:val="16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“Prime Rate”</w:t>
            </w: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“Prime Rate” is the rate of interest per annum from time to time published in the money rates section of The Wall Street Journal or any</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successor publication thereto as the “prime rate” then in effect; provided that if such rate of interest, as set forth from time to time in the</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money rates section of The Wall Street Journal, becomes unavailable for any reason as determined by Bank, the “Prime Rate” shall mean the</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rate of interest per annum announced by Bank as its prime rate in effect at its principal office in the State of California (such Bank announced</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Prime Rate not being intended to be the lowest rate of interest charged by Bank in connection with extensions of credit to debtors); provided</w:t>
            </w:r>
          </w:p>
        </w:tc>
      </w:tr>
      <w:tr>
        <w:trPr>
          <w:trHeight w:val="168"/>
        </w:trPr>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that, in the event such rate of interest is less than zero percent (0.0%) per annum, such rate shall be deemed to be zero percent (0.0%) per</w:t>
            </w:r>
          </w:p>
        </w:tc>
      </w:tr>
      <w:tr>
        <w:trPr>
          <w:trHeight w:val="183"/>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annum for purposes of this Agreement.</w:t>
            </w: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“Prime Rate Margin”</w:t>
            </w:r>
          </w:p>
        </w:tc>
        <w:tc>
          <w:tcPr>
            <w:tcW w:w="120" w:type="dxa"/>
            <w:vAlign w:val="bottom"/>
          </w:tcPr>
          <w:p>
            <w:pPr>
              <w:spacing w:after="0"/>
              <w:rPr>
                <w:sz w:val="22"/>
                <w:szCs w:val="22"/>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“Prime Rate Margin” is one-half of one percent (0.50%).</w:t>
            </w:r>
          </w:p>
        </w:tc>
      </w:tr>
      <w:tr>
        <w:trPr>
          <w:trHeight w:val="26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w w:val="97"/>
              </w:rPr>
              <w:t>12.2</w:t>
            </w: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“Second Amendment Effective Date”</w:t>
            </w:r>
          </w:p>
        </w:tc>
        <w:tc>
          <w:tcPr>
            <w:tcW w:w="120" w:type="dxa"/>
            <w:vAlign w:val="bottom"/>
          </w:tcPr>
          <w:p>
            <w:pPr>
              <w:spacing w:after="0"/>
              <w:rPr>
                <w:sz w:val="22"/>
                <w:szCs w:val="22"/>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“Second Amendment Effective Date” is November 30, 2022.</w:t>
            </w:r>
          </w:p>
        </w:tc>
      </w:tr>
      <w:tr>
        <w:trPr>
          <w:trHeight w:val="1021"/>
        </w:trPr>
        <w:tc>
          <w:tcPr>
            <w:tcW w:w="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04" w:name="page505"/>
    <w:bookmarkEnd w:id="504"/>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5"/>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Schedule 2</w:t>
            </w:r>
          </w:p>
        </w:tc>
      </w:tr>
      <w:tr>
        <w:trPr>
          <w:trHeight w:val="20"/>
        </w:trPr>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6"/>
        </w:trPr>
        <w:tc>
          <w:tcPr>
            <w:tcW w:w="9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1120" w:type="dxa"/>
            <w:vAlign w:val="bottom"/>
            <w:gridSpan w:val="3"/>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80" w:type="dxa"/>
            <w:vAlign w:val="bottom"/>
            <w:tcBorders>
              <w:bottom w:val="single" w:sz="8" w:color="auto"/>
            </w:tcBorders>
            <w:gridSpan w:val="6"/>
          </w:tcPr>
          <w:p>
            <w:pPr>
              <w:jc w:val="center"/>
              <w:spacing w:after="0" w:line="148" w:lineRule="exact"/>
              <w:rPr>
                <w:sz w:val="20"/>
                <w:szCs w:val="20"/>
                <w:color w:val="auto"/>
              </w:rPr>
            </w:pPr>
            <w:r>
              <w:rPr>
                <w:rFonts w:ascii="Times New Roman" w:cs="Times New Roman" w:eastAsia="Times New Roman" w:hAnsi="Times New Roman"/>
                <w:sz w:val="14"/>
                <w:szCs w:val="14"/>
                <w:color w:val="auto"/>
              </w:rPr>
              <w:t>COMPLIANCE STATEMENT</w:t>
            </w:r>
          </w:p>
        </w:tc>
        <w:tc>
          <w:tcPr>
            <w:tcW w:w="600" w:type="dxa"/>
            <w:vAlign w:val="bottom"/>
          </w:tcPr>
          <w:p>
            <w:pPr>
              <w:spacing w:after="0"/>
              <w:rPr>
                <w:sz w:val="12"/>
                <w:szCs w:val="12"/>
                <w:color w:val="auto"/>
              </w:rPr>
            </w:pPr>
          </w:p>
        </w:tc>
      </w:tr>
      <w:tr>
        <w:trPr>
          <w:trHeight w:val="337"/>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TO:</w:t>
            </w:r>
          </w:p>
        </w:tc>
        <w:tc>
          <w:tcPr>
            <w:tcW w:w="3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SILICON VALLEY BANK</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Date:                </w:t>
            </w:r>
          </w:p>
        </w:tc>
      </w:tr>
      <w:tr>
        <w:trPr>
          <w:trHeight w:val="18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FROM:</w:t>
            </w:r>
          </w:p>
        </w:tc>
        <w:tc>
          <w:tcPr>
            <w:tcW w:w="3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FOG PHARMACEUTICALS, INC.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bl>
    <w:p>
      <w:pPr>
        <w:spacing w:after="0" w:line="154"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4"/>
          <w:szCs w:val="14"/>
          <w:color w:val="auto"/>
        </w:rPr>
        <w:t>Under the terms and conditions of the Loan and Security Agreement between Borrower and Bank (as amended, modified, supplemented and/or restated from time to time, the “Agreement”), Borrower is in complete compliance for the period ending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-241300</wp:posOffset>
            </wp:positionV>
            <wp:extent cx="355600" cy="6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Please indicate compliance status by circling Yes/No under “Complies” column.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Reporting Covenants</w:t>
            </w:r>
          </w:p>
        </w:tc>
        <w:tc>
          <w:tcPr>
            <w:tcW w:w="100" w:type="dxa"/>
            <w:vAlign w:val="bottom"/>
          </w:tcPr>
          <w:p>
            <w:pPr>
              <w:spacing w:after="0"/>
              <w:rPr>
                <w:sz w:val="11"/>
                <w:szCs w:val="11"/>
                <w:color w:val="auto"/>
              </w:rPr>
            </w:pPr>
          </w:p>
        </w:tc>
        <w:tc>
          <w:tcPr>
            <w:tcW w:w="40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1"/>
                <w:szCs w:val="11"/>
                <w:b w:val="1"/>
                <w:bCs w:val="1"/>
                <w:color w:val="auto"/>
              </w:rPr>
              <w:t>Required</w:t>
            </w:r>
          </w:p>
        </w:tc>
        <w:tc>
          <w:tcPr>
            <w:tcW w:w="100" w:type="dxa"/>
            <w:vAlign w:val="bottom"/>
          </w:tcPr>
          <w:p>
            <w:pPr>
              <w:spacing w:after="0"/>
              <w:rPr>
                <w:sz w:val="11"/>
                <w:szCs w:val="11"/>
                <w:color w:val="auto"/>
              </w:rPr>
            </w:pPr>
          </w:p>
        </w:tc>
        <w:tc>
          <w:tcPr>
            <w:tcW w:w="27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Complies</w:t>
            </w:r>
          </w:p>
        </w:tc>
      </w:tr>
      <w:tr>
        <w:trPr>
          <w:trHeight w:val="23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Monthly financial statements with Compliance Statement</w:t>
            </w: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Monthly within 30 days</w:t>
            </w:r>
          </w:p>
        </w:tc>
        <w:tc>
          <w:tcPr>
            <w:tcW w:w="100" w:type="dxa"/>
            <w:vAlign w:val="bottom"/>
          </w:tcPr>
          <w:p>
            <w:pPr>
              <w:spacing w:after="0"/>
              <w:rPr>
                <w:sz w:val="20"/>
                <w:szCs w:val="20"/>
                <w:color w:val="auto"/>
              </w:rPr>
            </w:pPr>
          </w:p>
        </w:tc>
        <w:tc>
          <w:tcPr>
            <w:tcW w:w="27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Yes No</w:t>
            </w:r>
          </w:p>
        </w:tc>
      </w:tr>
      <w:tr>
        <w:trPr>
          <w:trHeight w:val="16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Annual financial statements (CPA Audited)</w:t>
            </w:r>
          </w:p>
        </w:tc>
        <w:tc>
          <w:tcPr>
            <w:tcW w:w="1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FYE within 180 days</w:t>
            </w:r>
          </w:p>
        </w:tc>
        <w:tc>
          <w:tcPr>
            <w:tcW w:w="100" w:type="dxa"/>
            <w:vAlign w:val="bottom"/>
          </w:tcPr>
          <w:p>
            <w:pPr>
              <w:spacing w:after="0"/>
              <w:rPr>
                <w:sz w:val="14"/>
                <w:szCs w:val="14"/>
                <w:color w:val="auto"/>
              </w:rPr>
            </w:pPr>
          </w:p>
        </w:tc>
        <w:tc>
          <w:tcPr>
            <w:tcW w:w="27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Yes No</w:t>
            </w:r>
          </w:p>
        </w:tc>
      </w:tr>
      <w:tr>
        <w:trPr>
          <w:trHeight w:val="16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10-Q, 10-K and 8-K</w:t>
            </w:r>
          </w:p>
        </w:tc>
        <w:tc>
          <w:tcPr>
            <w:tcW w:w="1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Within 5 days after filing with SEC</w:t>
            </w:r>
          </w:p>
        </w:tc>
        <w:tc>
          <w:tcPr>
            <w:tcW w:w="100" w:type="dxa"/>
            <w:vAlign w:val="bottom"/>
          </w:tcPr>
          <w:p>
            <w:pPr>
              <w:spacing w:after="0"/>
              <w:rPr>
                <w:sz w:val="14"/>
                <w:szCs w:val="14"/>
                <w:color w:val="auto"/>
              </w:rPr>
            </w:pPr>
          </w:p>
        </w:tc>
        <w:tc>
          <w:tcPr>
            <w:tcW w:w="27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Yes No</w:t>
            </w: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Board approved projections</w:t>
            </w:r>
          </w:p>
        </w:tc>
        <w:tc>
          <w:tcPr>
            <w:tcW w:w="10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FYE within 60 days and within 5 days of being amended/updated</w:t>
            </w:r>
          </w:p>
        </w:tc>
        <w:tc>
          <w:tcPr>
            <w:tcW w:w="100" w:type="dxa"/>
            <w:vAlign w:val="bottom"/>
          </w:tcPr>
          <w:p>
            <w:pPr>
              <w:spacing w:after="0"/>
              <w:rPr>
                <w:sz w:val="15"/>
                <w:szCs w:val="15"/>
                <w:color w:val="auto"/>
              </w:rPr>
            </w:pPr>
          </w:p>
        </w:tc>
        <w:tc>
          <w:tcPr>
            <w:tcW w:w="27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Yes No</w:t>
            </w:r>
          </w:p>
        </w:tc>
      </w:tr>
    </w:tbl>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05" w:name="page506"/>
    <w:bookmarkEnd w:id="50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WAIVER AND THIRD AMENDMENT</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LOAN AND SECURITY AGREEMENT</w:t>
      </w:r>
    </w:p>
    <w:p>
      <w:pPr>
        <w:spacing w:after="0" w:line="159" w:lineRule="exact"/>
        <w:rPr>
          <w:sz w:val="20"/>
          <w:szCs w:val="20"/>
          <w:color w:val="auto"/>
        </w:rPr>
      </w:pPr>
    </w:p>
    <w:p>
      <w:pPr>
        <w:ind w:right="60" w:firstLine="511"/>
        <w:spacing w:after="0" w:line="268" w:lineRule="auto"/>
        <w:rPr>
          <w:sz w:val="20"/>
          <w:szCs w:val="20"/>
          <w:color w:val="auto"/>
        </w:rPr>
      </w:pPr>
      <w:r>
        <w:rPr>
          <w:rFonts w:ascii="Times New Roman" w:cs="Times New Roman" w:eastAsia="Times New Roman" w:hAnsi="Times New Roman"/>
          <w:sz w:val="14"/>
          <w:szCs w:val="14"/>
          <w:color w:val="auto"/>
        </w:rPr>
        <w:t>This Waiver and Third Amendment to Loan and Security Agreement (this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this 25</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day of April, 2023, by and between Silicon Valley Bank, a division of First-Citizens Bank &amp; Trust Company (successor by purchase to the Federal Deposit Insurance Corporation as Receiver for Silicon Valley Bridge Bank, N.A. (as successor to Silicon Valley Bank))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and Fog Pharmaceuticals, Inc., a Delaware corporation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whose address is 30 Acord Park Drive, Cambridge, Massachusetts 02139.</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0"/>
          <w:szCs w:val="10"/>
          <w:b w:val="1"/>
          <w:bCs w:val="1"/>
          <w:color w:val="auto"/>
        </w:rPr>
        <w:t>ECITALS</w:t>
      </w:r>
    </w:p>
    <w:p>
      <w:pPr>
        <w:spacing w:after="0" w:line="175" w:lineRule="exact"/>
        <w:rPr>
          <w:sz w:val="20"/>
          <w:szCs w:val="20"/>
          <w:color w:val="auto"/>
        </w:rPr>
      </w:pPr>
    </w:p>
    <w:p>
      <w:pPr>
        <w:ind w:right="60" w:firstLine="51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Bank and Borrower have entered into that certain Loan and Security Agreement dated as of September 21, 2021, as amended by that certain First Amendment to Loan and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between Bank and Borrower, dated as of April 12, 2022, and as further amended by that certain Second Amendment to Loan and Security Agreement between Bank and Borrower, dated as of November 30, 2022 (the “</w:t>
      </w:r>
      <w:r>
        <w:rPr>
          <w:rFonts w:ascii="Times New Roman" w:cs="Times New Roman" w:eastAsia="Times New Roman" w:hAnsi="Times New Roman"/>
          <w:sz w:val="14"/>
          <w:szCs w:val="14"/>
          <w:b w:val="1"/>
          <w:bCs w:val="1"/>
          <w:color w:val="auto"/>
        </w:rPr>
        <w:t>Second Amendment</w:t>
      </w:r>
      <w:r>
        <w:rPr>
          <w:rFonts w:ascii="Times New Roman" w:cs="Times New Roman" w:eastAsia="Times New Roman" w:hAnsi="Times New Roman"/>
          <w:sz w:val="14"/>
          <w:szCs w:val="14"/>
          <w:color w:val="auto"/>
        </w:rPr>
        <w:t>”) (as the same may from time to time be further amended, modified, supplemented or restated,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Bank has extended credit to Borrower for the purposes permitted in the Loan Agreement.</w:t>
      </w:r>
    </w:p>
    <w:p>
      <w:pPr>
        <w:spacing w:after="0" w:line="175" w:lineRule="exact"/>
        <w:rPr>
          <w:sz w:val="20"/>
          <w:szCs w:val="20"/>
          <w:color w:val="auto"/>
        </w:rPr>
      </w:pPr>
    </w:p>
    <w:p>
      <w:pPr>
        <w:ind w:right="16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Borrower has requested that Bank (a) waive the Stated Default (as hereinafter defined) and (b) amend the Loan Agreement to make certain revisions to the Loan Agreement as more fully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 forth herein.</w:t>
      </w:r>
    </w:p>
    <w:p>
      <w:pPr>
        <w:spacing w:after="0" w:line="121" w:lineRule="exact"/>
        <w:rPr>
          <w:sz w:val="20"/>
          <w:szCs w:val="20"/>
          <w:color w:val="auto"/>
        </w:rPr>
      </w:pPr>
    </w:p>
    <w:p>
      <w:pPr>
        <w:ind w:right="24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D. </w:t>
      </w:r>
      <w:r>
        <w:rPr>
          <w:rFonts w:ascii="Times New Roman" w:cs="Times New Roman" w:eastAsia="Times New Roman" w:hAnsi="Times New Roman"/>
          <w:sz w:val="14"/>
          <w:szCs w:val="14"/>
          <w:color w:val="auto"/>
        </w:rPr>
        <w:t>Bank has agreed to so (i) waive the Stated Default (as hereinafter defined) and (ii) amend certain provisions of the Loan Agreement, but only to the extent, in accordance with the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conditions and in reliance upon the representations and warranties set forth below.</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GREEMENT</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foregoing recitals and other good and valuable consideration, the receipt and adequacy of which is hereby acknowledged, and intending to be legally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bound, the parties hereto agree as follows:</w:t>
      </w:r>
    </w:p>
    <w:p>
      <w:pPr>
        <w:spacing w:after="0" w:line="121" w:lineRule="exact"/>
        <w:rPr>
          <w:sz w:val="20"/>
          <w:szCs w:val="20"/>
          <w:color w:val="auto"/>
        </w:rPr>
      </w:pPr>
    </w:p>
    <w:p>
      <w:pPr>
        <w:ind w:left="660" w:hanging="145"/>
        <w:spacing w:after="0"/>
        <w:tabs>
          <w:tab w:leader="none" w:pos="660" w:val="left"/>
        </w:tabs>
        <w:numPr>
          <w:ilvl w:val="0"/>
          <w:numId w:val="4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Capitalized terms used but not defined in this Amendment shall have the meanings given to them in the Loan Agreement.</w:t>
      </w:r>
    </w:p>
    <w:p>
      <w:pPr>
        <w:spacing w:after="0" w:line="175"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Loan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2.1 Section 5.7 (Accounts)</w:t>
      </w:r>
      <w:r>
        <w:rPr>
          <w:rFonts w:ascii="Times New Roman" w:cs="Times New Roman" w:eastAsia="Times New Roman" w:hAnsi="Times New Roman"/>
          <w:sz w:val="14"/>
          <w:szCs w:val="14"/>
          <w:color w:val="auto"/>
        </w:rPr>
        <w:t>. Section 5.7 is amended in its entirety and replaced with the following:</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5.7 (Accounts)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160" w:firstLine="506"/>
        <w:spacing w:after="0" w:line="254" w:lineRule="auto"/>
        <w:tabs>
          <w:tab w:leader="none" w:pos="1862"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as of the Third Amendment Effective Date, maintain a portion of Borrower’s, any of its Subsidiaries’ and any Guarantor’s primary operating accounts, depository accounts and excess cash with Bank; provided that such accounts with Bank (which may include the accounts of the Securities Corp. with Bank) shall be in amount equal to at least the lesser of (i) $25,000,000.00 or (ii) one hundred percent (100.0%) of the Dollar value of Borrower’s consolidated cash, including any Subsidiaries’, Affiliates’, or related entities’ cash, in the aggregate wherever located. In addition to the foregoing, Borrower shall at all times have on deposit in operating and depository accounts maintained in the name of Borrower with Bank, unrestricted and unencumbered cash in an amount equal to the lesser of (x) one hundred percent (100.0%) of the Dollar value of Borrower’s consolidated cash, including any Subsidiaries’, Affiliates’, or related entities’ cash, in the aggregate, wherever located, and (y) one hundred ten percent (110.0%) of the then-outstanding Obligations of Borrower to Bank. So long as, in each case, Borrower is in compliance with the terms of this Section 5.7(a), Borrower shall be permitted to maintain accounts with other banks or financial institutions (other than Bank) (the “</w:t>
      </w:r>
      <w:r>
        <w:rPr>
          <w:rFonts w:ascii="Times New Roman" w:cs="Times New Roman" w:eastAsia="Times New Roman" w:hAnsi="Times New Roman"/>
          <w:sz w:val="14"/>
          <w:szCs w:val="14"/>
          <w:b w:val="1"/>
          <w:bCs w:val="1"/>
          <w:color w:val="auto"/>
        </w:rPr>
        <w:t>Permitted Accounts</w:t>
      </w:r>
      <w:r>
        <w:rPr>
          <w:rFonts w:ascii="Times New Roman" w:cs="Times New Roman" w:eastAsia="Times New Roman" w:hAnsi="Times New Roman"/>
          <w:sz w:val="14"/>
          <w:szCs w:val="14"/>
          <w:color w:val="auto"/>
        </w:rPr>
        <w:t>”); provided that such Permitted Accounts shall be subject to a Control Agreement in favor of Bank pursuant to the terms of Section 5.7(c) and 5.13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464820</wp:posOffset>
            </wp:positionV>
            <wp:extent cx="7188200"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506" w:name="page507"/>
    <w:bookmarkEnd w:id="506"/>
    <w:p>
      <w:pPr>
        <w:ind w:left="1860" w:hanging="202"/>
        <w:spacing w:after="0"/>
        <w:tabs>
          <w:tab w:leader="none" w:pos="1860"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5" w:lineRule="exact"/>
        <w:rPr>
          <w:rFonts w:ascii="Times New Roman" w:cs="Times New Roman" w:eastAsia="Times New Roman" w:hAnsi="Times New Roman"/>
          <w:sz w:val="14"/>
          <w:szCs w:val="14"/>
          <w:color w:val="auto"/>
        </w:rPr>
      </w:pPr>
    </w:p>
    <w:p>
      <w:pPr>
        <w:ind w:left="1160" w:right="20" w:firstLine="506"/>
        <w:spacing w:after="0" w:line="257" w:lineRule="auto"/>
        <w:tabs>
          <w:tab w:leader="none" w:pos="1862"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and without limiting the restrictions in (a), Borrower shall provide Bank five (5) days prior written notice before establishing any Collateral Account at or with any bank or financial institution other than Bank or Bank’s Affiliates. Subject to the terms of Section 5.13,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2.2 Section 5 (Affirmative Covenants)</w:t>
      </w:r>
      <w:r>
        <w:rPr>
          <w:rFonts w:ascii="Times New Roman" w:cs="Times New Roman" w:eastAsia="Times New Roman" w:hAnsi="Times New Roman"/>
          <w:sz w:val="14"/>
          <w:szCs w:val="14"/>
          <w:color w:val="auto"/>
        </w:rPr>
        <w:t>. The Loan Agreement is amended by inserting the following new provision to appear as Section 5.13 thereof:</w:t>
      </w:r>
    </w:p>
    <w:p>
      <w:pPr>
        <w:spacing w:after="0" w:line="175" w:lineRule="exact"/>
        <w:rPr>
          <w:sz w:val="20"/>
          <w:szCs w:val="20"/>
          <w:color w:val="auto"/>
        </w:rPr>
      </w:pPr>
    </w:p>
    <w:p>
      <w:pPr>
        <w:ind w:left="1160" w:right="8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5.13 Post-Closing Condition</w:t>
      </w:r>
      <w:r>
        <w:rPr>
          <w:rFonts w:ascii="Times New Roman" w:cs="Times New Roman" w:eastAsia="Times New Roman" w:hAnsi="Times New Roman"/>
          <w:sz w:val="14"/>
          <w:szCs w:val="14"/>
          <w:color w:val="auto"/>
        </w:rPr>
        <w:t>. Deliver to Bank a duly executed Control Agreement (i) with respect to Permitted Accounts opened prior to the Third Amendment Effective Date, within thirty (30) days after the Third Amendment Effective Date, and (ii) with respect to Permitted Accounts opened after the Third Amendment Effective Date, within thirty (30) days after opening any such account.”</w:t>
      </w:r>
    </w:p>
    <w:p>
      <w:pPr>
        <w:spacing w:after="0" w:line="133" w:lineRule="exact"/>
        <w:rPr>
          <w:sz w:val="20"/>
          <w:szCs w:val="20"/>
          <w:color w:val="auto"/>
        </w:rPr>
      </w:pPr>
    </w:p>
    <w:p>
      <w:pPr>
        <w:ind w:right="120" w:firstLine="1158"/>
        <w:spacing w:after="0" w:line="286" w:lineRule="auto"/>
        <w:rPr>
          <w:sz w:val="20"/>
          <w:szCs w:val="20"/>
          <w:color w:val="auto"/>
        </w:rPr>
      </w:pPr>
      <w:r>
        <w:rPr>
          <w:rFonts w:ascii="Times New Roman" w:cs="Times New Roman" w:eastAsia="Times New Roman" w:hAnsi="Times New Roman"/>
          <w:sz w:val="14"/>
          <w:szCs w:val="14"/>
          <w:b w:val="1"/>
          <w:bCs w:val="1"/>
          <w:color w:val="auto"/>
        </w:rPr>
        <w:t>2.3 Section 12.2 (Definitions)</w:t>
      </w:r>
      <w:r>
        <w:rPr>
          <w:rFonts w:ascii="Times New Roman" w:cs="Times New Roman" w:eastAsia="Times New Roman" w:hAnsi="Times New Roman"/>
          <w:sz w:val="14"/>
          <w:szCs w:val="14"/>
          <w:color w:val="auto"/>
        </w:rPr>
        <w:t>. Clause (b) of the definition of Permitted Indebtedness is amended by inserting the words “(other than with respect to the Permitted Letter of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Permitted Credit Cards)” to appear immediately following the words “Perfection Certificate” appearing therein.</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2.4 Section 12.2 (Definitions)</w:t>
      </w:r>
      <w:r>
        <w:rPr>
          <w:rFonts w:ascii="Times New Roman" w:cs="Times New Roman" w:eastAsia="Times New Roman" w:hAnsi="Times New Roman"/>
          <w:sz w:val="14"/>
          <w:szCs w:val="14"/>
          <w:color w:val="auto"/>
        </w:rPr>
        <w:t>. Clause (e) of the definition of Permitted Indebtedness is amended in its entirety and replaced with the following:</w:t>
      </w:r>
    </w:p>
    <w:p>
      <w:pPr>
        <w:spacing w:after="0" w:line="177" w:lineRule="exact"/>
        <w:rPr>
          <w:sz w:val="20"/>
          <w:szCs w:val="20"/>
          <w:color w:val="auto"/>
        </w:rPr>
      </w:pPr>
    </w:p>
    <w:p>
      <w:pPr>
        <w:ind w:left="1160" w:firstLine="511"/>
        <w:spacing w:after="0" w:line="283" w:lineRule="auto"/>
        <w:rPr>
          <w:sz w:val="20"/>
          <w:szCs w:val="20"/>
          <w:color w:val="auto"/>
        </w:rPr>
      </w:pPr>
      <w:r>
        <w:rPr>
          <w:rFonts w:ascii="Times New Roman" w:cs="Times New Roman" w:eastAsia="Times New Roman" w:hAnsi="Times New Roman"/>
          <w:sz w:val="14"/>
          <w:szCs w:val="14"/>
          <w:color w:val="auto"/>
        </w:rPr>
        <w:t>“ (e) Indebtedness in connection with corporate credit cards provided by a financial institution other than Bank in an aggregate principal amount not to exceed $250,000.00 at any time (the “</w:t>
      </w:r>
      <w:r>
        <w:rPr>
          <w:rFonts w:ascii="Times New Roman" w:cs="Times New Roman" w:eastAsia="Times New Roman" w:hAnsi="Times New Roman"/>
          <w:sz w:val="14"/>
          <w:szCs w:val="14"/>
          <w:b w:val="1"/>
          <w:bCs w:val="1"/>
          <w:color w:val="auto"/>
        </w:rPr>
        <w:t>Permitted Credit Cards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right="1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2.5 Section 12.2 (Definitions)</w:t>
      </w:r>
      <w:r>
        <w:rPr>
          <w:rFonts w:ascii="Times New Roman" w:cs="Times New Roman" w:eastAsia="Times New Roman" w:hAnsi="Times New Roman"/>
          <w:sz w:val="14"/>
          <w:szCs w:val="14"/>
          <w:color w:val="auto"/>
        </w:rPr>
        <w:t>. The definition of Permitted Indebtedness is amended by (i) deleting the “.” at the end of clause (f) thereof and inserting in lieu thereof “; and”,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(ii) inserting the following new clause (g) thereof to appear immediately following clause (f) thereof:</w:t>
      </w:r>
    </w:p>
    <w:p>
      <w:pPr>
        <w:spacing w:after="0" w:line="121" w:lineRule="exact"/>
        <w:rPr>
          <w:sz w:val="20"/>
          <w:szCs w:val="20"/>
          <w:color w:val="auto"/>
        </w:rPr>
      </w:pPr>
    </w:p>
    <w:p>
      <w:pPr>
        <w:ind w:left="1140" w:right="60" w:firstLine="511"/>
        <w:spacing w:after="0" w:line="286" w:lineRule="auto"/>
        <w:rPr>
          <w:sz w:val="20"/>
          <w:szCs w:val="20"/>
          <w:color w:val="auto"/>
        </w:rPr>
      </w:pPr>
      <w:r>
        <w:rPr>
          <w:rFonts w:ascii="Times New Roman" w:cs="Times New Roman" w:eastAsia="Times New Roman" w:hAnsi="Times New Roman"/>
          <w:sz w:val="14"/>
          <w:szCs w:val="14"/>
          <w:color w:val="auto"/>
        </w:rPr>
        <w:t>“ (g) Indebtedness consisting of Borrower’s letter of credit with financial institutions other than Bank in a maximum amount not to exceed $3,000,000.00 (the “</w:t>
      </w:r>
      <w:r>
        <w:rPr>
          <w:rFonts w:ascii="Times New Roman" w:cs="Times New Roman" w:eastAsia="Times New Roman" w:hAnsi="Times New Roman"/>
          <w:sz w:val="14"/>
          <w:szCs w:val="14"/>
          <w:b w:val="1"/>
          <w:bCs w:val="1"/>
          <w:color w:val="auto"/>
        </w:rPr>
        <w:t>Permitted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Letter of Credit</w:t>
      </w:r>
      <w:r>
        <w:rPr>
          <w:rFonts w:ascii="Times New Roman" w:cs="Times New Roman" w:eastAsia="Times New Roman" w:hAnsi="Times New Roman"/>
          <w:sz w:val="14"/>
          <w:szCs w:val="14"/>
          <w:color w:val="auto"/>
        </w:rPr>
        <w:t>”); and</w:t>
      </w:r>
    </w:p>
    <w:p>
      <w:pPr>
        <w:spacing w:after="0" w:line="121" w:lineRule="exact"/>
        <w:rPr>
          <w:sz w:val="20"/>
          <w:szCs w:val="20"/>
          <w:color w:val="auto"/>
        </w:rPr>
      </w:pPr>
    </w:p>
    <w:p>
      <w:pPr>
        <w:ind w:right="3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2.6 Section 12.2 (Definitions)</w:t>
      </w:r>
      <w:r>
        <w:rPr>
          <w:rFonts w:ascii="Times New Roman" w:cs="Times New Roman" w:eastAsia="Times New Roman" w:hAnsi="Times New Roman"/>
          <w:sz w:val="14"/>
          <w:szCs w:val="14"/>
          <w:color w:val="auto"/>
        </w:rPr>
        <w:t>. Clause (a) of the definition of Permitted Liens is amended by inserting the words “(other than with respect to the Permitted Letter of Credit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Permitted Credit Cards)” to appear immediately following the words “Perfection Certificate” appearing therein.</w:t>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2.7 Section 12.2 (Definitions)</w:t>
      </w:r>
      <w:r>
        <w:rPr>
          <w:rFonts w:ascii="Times New Roman" w:cs="Times New Roman" w:eastAsia="Times New Roman" w:hAnsi="Times New Roman"/>
          <w:sz w:val="14"/>
          <w:szCs w:val="14"/>
          <w:color w:val="auto"/>
        </w:rPr>
        <w:t>. The definition of Permitted Liens is amended by (i) deleting the word “and” appearing at the end of clause (d) thereof, (ii) deleting clause (e)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 and (iii) inserting the following new clauses (e), (f) and (g) thereof to appear immediately following clause (d) thereof:</w:t>
      </w:r>
    </w:p>
    <w:p>
      <w:pPr>
        <w:spacing w:after="0" w:line="1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(e) the Lien on the collateral account securing the obligations with respect to the Permitted Letter of Credit in an amount not to exceed $3,000,000.00;</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 the Lien on the collateral account securing the obligations with respect to the Permitted Credit Cards in an amount not to exceed $250,000.00; and</w:t>
      </w:r>
    </w:p>
    <w:p>
      <w:pPr>
        <w:spacing w:after="0" w:line="175" w:lineRule="exact"/>
        <w:rPr>
          <w:sz w:val="20"/>
          <w:szCs w:val="20"/>
          <w:color w:val="auto"/>
        </w:rPr>
      </w:pPr>
    </w:p>
    <w:p>
      <w:pPr>
        <w:ind w:left="1160" w:right="240" w:firstLine="506"/>
        <w:spacing w:after="0" w:line="283" w:lineRule="auto"/>
        <w:tabs>
          <w:tab w:leader="none" w:pos="1870"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in the extension, renewal or refinancing of the Indebtedness secured by Liens described in (a) through (f), but any extension, renewal or replacement Lien must be limited to the property encumbered by the existing Lien and the principal amount of the indebtedness may not increase.”</w:t>
      </w:r>
    </w:p>
    <w:p>
      <w:pPr>
        <w:spacing w:after="0" w:line="1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2.8 Section 12.2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The following new defined terms and their respective definitions are hereby inserted alphabetically in Section 12.2:</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Permitted Accounts</w:t>
      </w:r>
      <w:r>
        <w:rPr>
          <w:rFonts w:ascii="Times New Roman" w:cs="Times New Roman" w:eastAsia="Times New Roman" w:hAnsi="Times New Roman"/>
          <w:sz w:val="14"/>
          <w:szCs w:val="14"/>
          <w:color w:val="auto"/>
        </w:rPr>
        <w:t>” is defined in Section 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483235</wp:posOffset>
            </wp:positionV>
            <wp:extent cx="7188200"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507" w:name="page508"/>
    <w:bookmarkEnd w:id="507"/>
    <w:p>
      <w:pPr>
        <w:ind w:left="1160" w:right="5400"/>
        <w:spacing w:after="0" w:line="501"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Permitted Letter of Credit</w:t>
      </w:r>
      <w:r>
        <w:rPr>
          <w:rFonts w:ascii="Times New Roman" w:cs="Times New Roman" w:eastAsia="Times New Roman" w:hAnsi="Times New Roman"/>
          <w:sz w:val="14"/>
          <w:szCs w:val="14"/>
          <w:color w:val="auto"/>
        </w:rPr>
        <w:t>” is defined in clause (g) of Permitted Indebtedness.” “ “</w:t>
      </w:r>
      <w:r>
        <w:rPr>
          <w:rFonts w:ascii="Times New Roman" w:cs="Times New Roman" w:eastAsia="Times New Roman" w:hAnsi="Times New Roman"/>
          <w:sz w:val="14"/>
          <w:szCs w:val="14"/>
          <w:b w:val="1"/>
          <w:bCs w:val="1"/>
          <w:color w:val="auto"/>
        </w:rPr>
        <w:t>Third Amendment Effective Date</w:t>
      </w:r>
      <w:r>
        <w:rPr>
          <w:rFonts w:ascii="Times New Roman" w:cs="Times New Roman" w:eastAsia="Times New Roman" w:hAnsi="Times New Roman"/>
          <w:sz w:val="14"/>
          <w:szCs w:val="14"/>
          <w:color w:val="auto"/>
        </w:rPr>
        <w:t>” is April 25, 2023.”</w:t>
      </w:r>
    </w:p>
    <w:p>
      <w:pPr>
        <w:ind w:left="660" w:hanging="145"/>
        <w:spacing w:after="0"/>
        <w:tabs>
          <w:tab w:leader="none" w:pos="660" w:val="left"/>
        </w:tabs>
        <w:numPr>
          <w:ilvl w:val="0"/>
          <w:numId w:val="4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 of Amendments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right="10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 amendments set forth in Section 2 above are effective for the purposes set forth herein and shall be limited precisely as written and shall not be deemed to (a) be a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amendment, waiver or modification of any other term or condition of any Loan Document, or (b) otherwise prejudice any right or remedy which Bank may now have or may have in the future under or in connection with any Loan Document.</w:t>
      </w:r>
    </w:p>
    <w:p>
      <w:pPr>
        <w:spacing w:after="0" w:line="133" w:lineRule="exact"/>
        <w:rPr>
          <w:sz w:val="20"/>
          <w:szCs w:val="20"/>
          <w:color w:val="auto"/>
        </w:rPr>
      </w:pPr>
    </w:p>
    <w:p>
      <w:pPr>
        <w:jc w:val="both"/>
        <w:ind w:right="8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This Amendment shall be construed in connection with and as part of the Loan Documents and all terms, conditions, representations, warranties, covenants and agreements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the Loan Documents, except as herein amended, are hereby ratified and confirmed and shall remain in full force and effect.</w:t>
      </w:r>
    </w:p>
    <w:p>
      <w:pPr>
        <w:spacing w:after="0" w:line="121" w:lineRule="exact"/>
        <w:rPr>
          <w:sz w:val="20"/>
          <w:szCs w:val="20"/>
          <w:color w:val="auto"/>
        </w:rPr>
      </w:pPr>
    </w:p>
    <w:p>
      <w:pPr>
        <w:ind w:left="660" w:hanging="145"/>
        <w:spacing w:after="0"/>
        <w:tabs>
          <w:tab w:leader="none" w:pos="660" w:val="left"/>
        </w:tabs>
        <w:numPr>
          <w:ilvl w:val="0"/>
          <w:numId w:val="4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 To induce Bank to enter into this Amendment, Borrower hereby represents and warrants to Bank as follows:</w:t>
      </w:r>
    </w:p>
    <w:p>
      <w:pPr>
        <w:spacing w:after="0" w:line="175" w:lineRule="exact"/>
        <w:rPr>
          <w:sz w:val="20"/>
          <w:szCs w:val="20"/>
          <w:color w:val="auto"/>
        </w:rPr>
      </w:pPr>
    </w:p>
    <w:p>
      <w:pPr>
        <w:ind w:right="2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Immediately after giving effect to this Amendment (a) the representations and warranties contained in the Loan Documents are true, accurate and complete in all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respects as of the date hereof (except to the extent such representations and warranties relate to an earlier date, in which case they are true and correct in all material respects as of such date), and (b) no Event of Default (other than the Stated Default) has occurred and is continuing;</w:t>
      </w:r>
    </w:p>
    <w:p>
      <w:pPr>
        <w:spacing w:after="0" w:line="1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Borrower has the power and authority to execute and deliver this Amendment and to perform its obligations under the Loan Agreement, as amended by this Amendment;</w:t>
      </w:r>
    </w:p>
    <w:p>
      <w:pPr>
        <w:spacing w:after="0" w:line="175" w:lineRule="exact"/>
        <w:rPr>
          <w:sz w:val="20"/>
          <w:szCs w:val="20"/>
          <w:color w:val="auto"/>
        </w:rPr>
      </w:pPr>
    </w:p>
    <w:p>
      <w:pPr>
        <w:ind w:right="16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 </w:t>
      </w:r>
      <w:r>
        <w:rPr>
          <w:rFonts w:ascii="Times New Roman" w:cs="Times New Roman" w:eastAsia="Times New Roman" w:hAnsi="Times New Roman"/>
          <w:sz w:val="14"/>
          <w:szCs w:val="14"/>
          <w:color w:val="auto"/>
        </w:rPr>
        <w:t>The organizational documents of Borrower delivered to Bank on the Effective Date remain true, accurate and complete and have not been amended, supplemented or restated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are and continue to be in full force and effect;</w:t>
      </w:r>
    </w:p>
    <w:p>
      <w:pPr>
        <w:spacing w:after="0" w:line="121" w:lineRule="exact"/>
        <w:rPr>
          <w:sz w:val="20"/>
          <w:szCs w:val="20"/>
          <w:color w:val="auto"/>
        </w:rPr>
      </w:pPr>
    </w:p>
    <w:p>
      <w:pPr>
        <w:ind w:right="1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4.4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duly authorized;</w:t>
      </w:r>
    </w:p>
    <w:p>
      <w:pPr>
        <w:spacing w:after="0" w:line="121" w:lineRule="exact"/>
        <w:rPr>
          <w:sz w:val="20"/>
          <w:szCs w:val="20"/>
          <w:color w:val="auto"/>
        </w:rPr>
      </w:pPr>
    </w:p>
    <w:p>
      <w:pPr>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4.5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and will not contravene (a) any law or regulation binding on or affecting Borrower, (b) any material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33" w:lineRule="exact"/>
        <w:rPr>
          <w:sz w:val="20"/>
          <w:szCs w:val="20"/>
          <w:color w:val="auto"/>
        </w:rPr>
      </w:pPr>
    </w:p>
    <w:p>
      <w:pPr>
        <w:ind w:firstLine="1158"/>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4.6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3" w:lineRule="exact"/>
        <w:rPr>
          <w:sz w:val="20"/>
          <w:szCs w:val="20"/>
          <w:color w:val="auto"/>
        </w:rPr>
      </w:pPr>
    </w:p>
    <w:p>
      <w:pPr>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4.7 </w:t>
      </w:r>
      <w:r>
        <w:rPr>
          <w:rFonts w:ascii="Times New Roman" w:cs="Times New Roman" w:eastAsia="Times New Roman" w:hAnsi="Times New Roman"/>
          <w:sz w:val="14"/>
          <w:szCs w:val="14"/>
          <w:color w:val="auto"/>
        </w:rPr>
        <w:t>This Amendment has been duly executed and delivered by Borrower and is the binding obligation of Borrower, enforceable against Borrower in accordance with its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such enforceability may be limited by bankruptcy, insolvency, reorganization, liquidation, moratorium or other similar laws of general application relating to or affecting creditors’ rights and by general equitable principles.</w:t>
      </w:r>
    </w:p>
    <w:p>
      <w:pPr>
        <w:spacing w:after="0" w:line="133" w:lineRule="exact"/>
        <w:rPr>
          <w:sz w:val="20"/>
          <w:szCs w:val="20"/>
          <w:color w:val="auto"/>
        </w:rPr>
      </w:pPr>
    </w:p>
    <w:p>
      <w:pPr>
        <w:jc w:val="both"/>
        <w:ind w:right="60" w:firstLine="515"/>
        <w:spacing w:after="0" w:line="268" w:lineRule="auto"/>
        <w:tabs>
          <w:tab w:leader="none" w:pos="651" w:val="left"/>
        </w:tabs>
        <w:numPr>
          <w:ilvl w:val="0"/>
          <w:numId w:val="4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Ratification of Perfection Certificate</w:t>
      </w:r>
      <w:r>
        <w:rPr>
          <w:rFonts w:ascii="Times New Roman" w:cs="Times New Roman" w:eastAsia="Times New Roman" w:hAnsi="Times New Roman"/>
          <w:sz w:val="14"/>
          <w:szCs w:val="14"/>
          <w:color w:val="auto"/>
        </w:rPr>
        <w:t>. Borrower hereby ratifies, confirms and reaffirms, all and singular, the terms and disclosures contained in a certain Perfection Certificate dated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April 12, 2022 between Borrower and Bank, as updated pursuant </w:t>
      </w:r>
      <w:r>
        <w:rPr>
          <w:rFonts w:ascii="Times New Roman" w:cs="Times New Roman" w:eastAsia="Times New Roman" w:hAnsi="Times New Roman"/>
          <w:sz w:val="14"/>
          <w:szCs w:val="14"/>
          <w:b w:val="1"/>
          <w:bCs w:val="1"/>
          <w:u w:val="single" w:color="auto"/>
          <w:color w:val="auto"/>
        </w:rPr>
        <w:t>Schedule 3</w:t>
      </w:r>
      <w:r>
        <w:rPr>
          <w:rFonts w:ascii="Times New Roman" w:cs="Times New Roman" w:eastAsia="Times New Roman" w:hAnsi="Times New Roman"/>
          <w:sz w:val="14"/>
          <w:szCs w:val="14"/>
          <w:color w:val="auto"/>
        </w:rPr>
        <w:t xml:space="preserve"> of the Second Amendment, and acknowledges, confirms and agrees the disclosures and information Borrower provided to Bank in said Perfection Certificate have not changed, as of the date hereof, except as set forth on Schedule I hereto.</w:t>
      </w:r>
    </w:p>
    <w:p>
      <w:pPr>
        <w:spacing w:after="0" w:line="133" w:lineRule="exact"/>
        <w:rPr>
          <w:rFonts w:ascii="Times New Roman" w:cs="Times New Roman" w:eastAsia="Times New Roman" w:hAnsi="Times New Roman"/>
          <w:sz w:val="14"/>
          <w:szCs w:val="14"/>
          <w:b w:val="1"/>
          <w:bCs w:val="1"/>
          <w:color w:val="auto"/>
        </w:rPr>
      </w:pPr>
    </w:p>
    <w:p>
      <w:pPr>
        <w:ind w:right="120" w:firstLine="515"/>
        <w:spacing w:after="0" w:line="262" w:lineRule="auto"/>
        <w:tabs>
          <w:tab w:leader="none" w:pos="651" w:val="left"/>
        </w:tabs>
        <w:numPr>
          <w:ilvl w:val="0"/>
          <w:numId w:val="4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w:t>
      </w:r>
      <w:r>
        <w:rPr>
          <w:rFonts w:ascii="Times New Roman" w:cs="Times New Roman" w:eastAsia="Times New Roman" w:hAnsi="Times New Roman"/>
          <w:sz w:val="14"/>
          <w:szCs w:val="14"/>
          <w:color w:val="auto"/>
        </w:rPr>
        <w:t>. Bank hereby waives Borrower’s existing default under the Loan Agreement by virtue of Borrower’s failure to comply with Section 5.7 of the Loan Agreement (relative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maintaining depository accounts with financial institutions other than Bank) (the “</w:t>
      </w:r>
      <w:r>
        <w:rPr>
          <w:rFonts w:ascii="Times New Roman" w:cs="Times New Roman" w:eastAsia="Times New Roman" w:hAnsi="Times New Roman"/>
          <w:sz w:val="14"/>
          <w:szCs w:val="14"/>
          <w:b w:val="1"/>
          <w:bCs w:val="1"/>
          <w:color w:val="auto"/>
        </w:rPr>
        <w:t>Stated Default</w:t>
      </w:r>
      <w:r>
        <w:rPr>
          <w:rFonts w:ascii="Times New Roman" w:cs="Times New Roman" w:eastAsia="Times New Roman" w:hAnsi="Times New Roman"/>
          <w:sz w:val="14"/>
          <w:szCs w:val="14"/>
          <w:color w:val="auto"/>
        </w:rPr>
        <w:t>”). Bank’s waiver of the Stated Default is a one-time waiver that shall apply only to the foregoing specific period. Borrower hereby acknowledges and agrees that except as specifically provided herein, nothing in this Section or anywhere in this Amendment shall be deemed or otherwise construed as a waiver by Bank of any of its rights and remedies pursuant to the Loan Documents, applicable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7188200"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508" w:name="page509"/>
    <w:bookmarkEnd w:id="508"/>
    <w:p>
      <w:pPr>
        <w:ind w:left="145" w:hanging="145"/>
        <w:spacing w:after="0"/>
        <w:tabs>
          <w:tab w:leader="none" w:pos="145"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Release by Borrower</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b w:val="1"/>
          <w:bCs w:val="1"/>
          <w:color w:val="auto"/>
        </w:rPr>
      </w:pPr>
    </w:p>
    <w:p>
      <w:pPr>
        <w:ind w:left="5" w:right="140" w:firstLine="507"/>
        <w:spacing w:after="0" w:line="256" w:lineRule="auto"/>
        <w:tabs>
          <w:tab w:leader="none" w:pos="687"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GOOD AND VALUABLE CONSIDERATION, Borrower hereby forever relieves, releases, and discharges Bank and its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(collectively “</w:t>
      </w:r>
      <w:r>
        <w:rPr>
          <w:rFonts w:ascii="Times New Roman" w:cs="Times New Roman" w:eastAsia="Times New Roman" w:hAnsi="Times New Roman"/>
          <w:sz w:val="14"/>
          <w:szCs w:val="14"/>
          <w:b w:val="1"/>
          <w:bCs w:val="1"/>
          <w:color w:val="auto"/>
        </w:rPr>
        <w:t>Released Claims</w:t>
      </w:r>
      <w:r>
        <w:rPr>
          <w:rFonts w:ascii="Times New Roman" w:cs="Times New Roman" w:eastAsia="Times New Roman" w:hAnsi="Times New Roman"/>
          <w:sz w:val="14"/>
          <w:szCs w:val="14"/>
          <w:color w:val="auto"/>
        </w:rPr>
        <w:t>”).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spacing w:after="0" w:line="143" w:lineRule="exact"/>
        <w:rPr>
          <w:rFonts w:ascii="Times New Roman" w:cs="Times New Roman" w:eastAsia="Times New Roman" w:hAnsi="Times New Roman"/>
          <w:sz w:val="14"/>
          <w:szCs w:val="14"/>
          <w:color w:val="auto"/>
        </w:rPr>
      </w:pPr>
    </w:p>
    <w:p>
      <w:pPr>
        <w:ind w:left="685" w:hanging="173"/>
        <w:spacing w:after="0"/>
        <w:tabs>
          <w:tab w:leader="none" w:pos="685"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furtherance of this release, Borrower expressly acknowledges and waives any and all rights under Section 1542 of the California Civil Code, which provides as follows:</w:t>
      </w:r>
    </w:p>
    <w:p>
      <w:pPr>
        <w:spacing w:after="0" w:line="173" w:lineRule="exact"/>
        <w:rPr>
          <w:sz w:val="20"/>
          <w:szCs w:val="20"/>
          <w:color w:val="auto"/>
        </w:rPr>
      </w:pPr>
    </w:p>
    <w:p>
      <w:pPr>
        <w:ind w:left="645" w:right="200" w:firstLine="511"/>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 general release</w:t>
      </w:r>
      <w:r>
        <w:rPr>
          <w:rFonts w:ascii="Times New Roman" w:cs="Times New Roman" w:eastAsia="Times New Roman" w:hAnsi="Times New Roman"/>
          <w:sz w:val="14"/>
          <w:szCs w:val="14"/>
          <w:color w:val="auto"/>
        </w:rPr>
        <w:t xml:space="preserve"> 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spacing w:after="0" w:line="123" w:lineRule="exact"/>
        <w:rPr>
          <w:sz w:val="20"/>
          <w:szCs w:val="20"/>
          <w:color w:val="auto"/>
        </w:rPr>
      </w:pPr>
    </w:p>
    <w:p>
      <w:pPr>
        <w:ind w:left="5" w:firstLine="511"/>
        <w:spacing w:after="0" w:line="257" w:lineRule="auto"/>
        <w:rPr>
          <w:sz w:val="20"/>
          <w:szCs w:val="20"/>
          <w:color w:val="auto"/>
        </w:rPr>
      </w:pPr>
      <w:r>
        <w:rPr>
          <w:rFonts w:ascii="Times New Roman" w:cs="Times New Roman" w:eastAsia="Times New Roman" w:hAnsi="Times New Roman"/>
          <w:sz w:val="14"/>
          <w:szCs w:val="14"/>
          <w:color w:val="auto"/>
        </w:rPr>
        <w:t>C. 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43" w:lineRule="exact"/>
        <w:rPr>
          <w:sz w:val="20"/>
          <w:szCs w:val="20"/>
          <w:color w:val="auto"/>
        </w:rPr>
      </w:pPr>
    </w:p>
    <w:p>
      <w:pPr>
        <w:ind w:left="5" w:right="200" w:firstLine="511"/>
        <w:spacing w:after="0" w:line="267" w:lineRule="auto"/>
        <w:rPr>
          <w:sz w:val="20"/>
          <w:szCs w:val="20"/>
          <w:color w:val="auto"/>
        </w:rPr>
      </w:pPr>
      <w:r>
        <w:rPr>
          <w:rFonts w:ascii="Times New Roman" w:cs="Times New Roman" w:eastAsia="Times New Roman" w:hAnsi="Times New Roman"/>
          <w:sz w:val="14"/>
          <w:szCs w:val="14"/>
          <w:color w:val="auto"/>
        </w:rPr>
        <w:t>D. 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Bank to enter into this Amendment, and that Bank would not have done so but for Bank’s expectation that such release is valid and enforceable in all events.</w:t>
      </w:r>
    </w:p>
    <w:p>
      <w:pPr>
        <w:spacing w:after="0" w:line="136"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4"/>
          <w:szCs w:val="14"/>
          <w:color w:val="auto"/>
        </w:rPr>
        <w:t>E. Borrower hereby represents and warrants to Bank, and Bank is relying thereon, as follows:</w:t>
      </w:r>
    </w:p>
    <w:p>
      <w:pPr>
        <w:spacing w:after="0" w:line="175" w:lineRule="exact"/>
        <w:rPr>
          <w:sz w:val="20"/>
          <w:szCs w:val="20"/>
          <w:color w:val="auto"/>
        </w:rPr>
      </w:pPr>
    </w:p>
    <w:p>
      <w:pPr>
        <w:ind w:left="645" w:right="220" w:firstLine="511"/>
        <w:spacing w:after="0" w:line="283" w:lineRule="auto"/>
        <w:rPr>
          <w:sz w:val="20"/>
          <w:szCs w:val="20"/>
          <w:color w:val="auto"/>
        </w:rPr>
      </w:pPr>
      <w:r>
        <w:rPr>
          <w:rFonts w:ascii="Times New Roman" w:cs="Times New Roman" w:eastAsia="Times New Roman" w:hAnsi="Times New Roman"/>
          <w:sz w:val="14"/>
          <w:szCs w:val="14"/>
          <w:color w:val="auto"/>
        </w:rPr>
        <w:t>1 Except as expressly stated in this Amendment, neither Bank nor any agent, employee or representative of Bank has made any statement or representation to Borrower regarding any fact relied upon by Borrower in entering into this Amendment.</w:t>
      </w:r>
    </w:p>
    <w:p>
      <w:pPr>
        <w:spacing w:after="0" w:line="12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2 Borrower has made such investigation of the facts pertaining to this Amendment and all of the matters appertaining thereto, as it deems necessary.</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3 The terms of this Amendment are contractual and not a mere recital.</w:t>
      </w:r>
    </w:p>
    <w:p>
      <w:pPr>
        <w:spacing w:after="0" w:line="175" w:lineRule="exact"/>
        <w:rPr>
          <w:sz w:val="20"/>
          <w:szCs w:val="20"/>
          <w:color w:val="auto"/>
        </w:rPr>
      </w:pPr>
    </w:p>
    <w:p>
      <w:pPr>
        <w:ind w:left="625" w:right="200" w:firstLine="511"/>
        <w:spacing w:after="0" w:line="283" w:lineRule="auto"/>
        <w:rPr>
          <w:sz w:val="20"/>
          <w:szCs w:val="20"/>
          <w:color w:val="auto"/>
        </w:rPr>
      </w:pPr>
      <w:r>
        <w:rPr>
          <w:rFonts w:ascii="Times New Roman" w:cs="Times New Roman" w:eastAsia="Times New Roman" w:hAnsi="Times New Roman"/>
          <w:sz w:val="14"/>
          <w:szCs w:val="14"/>
          <w:color w:val="auto"/>
        </w:rPr>
        <w:t>4 This Amendment has been carefully read by Borrower, the contents hereof are known and understood by Borrower, and this Amendment is signed freely, and without duress, by Borrower.</w:t>
      </w:r>
    </w:p>
    <w:p>
      <w:pPr>
        <w:spacing w:after="0" w:line="125" w:lineRule="exact"/>
        <w:rPr>
          <w:sz w:val="20"/>
          <w:szCs w:val="20"/>
          <w:color w:val="auto"/>
        </w:rPr>
      </w:pPr>
    </w:p>
    <w:p>
      <w:pPr>
        <w:ind w:left="625" w:right="140" w:firstLine="511"/>
        <w:spacing w:after="0" w:line="261" w:lineRule="auto"/>
        <w:rPr>
          <w:sz w:val="20"/>
          <w:szCs w:val="20"/>
          <w:color w:val="auto"/>
        </w:rPr>
      </w:pPr>
      <w:r>
        <w:rPr>
          <w:rFonts w:ascii="Times New Roman" w:cs="Times New Roman" w:eastAsia="Times New Roman" w:hAnsi="Times New Roman"/>
          <w:sz w:val="14"/>
          <w:szCs w:val="14"/>
          <w:color w:val="auto"/>
        </w:rPr>
        <w:t>5 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459740</wp:posOffset>
            </wp:positionV>
            <wp:extent cx="7188200"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5"/>
          </w:cols>
          <w:pgMar w:left="815" w:top="985" w:right="319" w:bottom="1440" w:gutter="0" w:footer="0" w:header="0"/>
        </w:sectPr>
      </w:pPr>
    </w:p>
    <w:bookmarkStart w:id="509" w:name="page510"/>
    <w:bookmarkEnd w:id="509"/>
    <w:p>
      <w:pPr>
        <w:ind w:right="40" w:firstLine="515"/>
        <w:spacing w:after="0" w:line="286" w:lineRule="auto"/>
        <w:tabs>
          <w:tab w:leader="none" w:pos="651"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Fees and Expenses</w:t>
      </w:r>
      <w:r>
        <w:rPr>
          <w:rFonts w:ascii="Times New Roman" w:cs="Times New Roman" w:eastAsia="Times New Roman" w:hAnsi="Times New Roman"/>
          <w:sz w:val="14"/>
          <w:szCs w:val="14"/>
          <w:color w:val="auto"/>
        </w:rPr>
        <w:t>. Borrower shall reimburse Bank for all unreimbursed Bank Expenses, including without limitation, all reasonable and documented legal fees and expenses incurred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this Amendment.</w:t>
      </w:r>
    </w:p>
    <w:p>
      <w:pPr>
        <w:spacing w:after="0" w:line="120"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w:t>
      </w:r>
      <w:r>
        <w:rPr>
          <w:rFonts w:ascii="Times New Roman" w:cs="Times New Roman" w:eastAsia="Times New Roman" w:hAnsi="Times New Roman"/>
          <w:sz w:val="14"/>
          <w:szCs w:val="14"/>
          <w:color w:val="auto"/>
        </w:rPr>
        <w:t>. This Amendment shall be governed and construed in accordance with the laws of the Commonwealth of Massachusetts, without giving effect to conflicts of laws</w:t>
      </w:r>
    </w:p>
    <w:p>
      <w:pPr>
        <w:spacing w:after="0" w:line="23"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principles.</w:t>
      </w:r>
    </w:p>
    <w:p>
      <w:pPr>
        <w:spacing w:after="0" w:line="158" w:lineRule="exact"/>
        <w:rPr>
          <w:rFonts w:ascii="Times New Roman" w:cs="Times New Roman" w:eastAsia="Times New Roman" w:hAnsi="Times New Roman"/>
          <w:sz w:val="14"/>
          <w:szCs w:val="14"/>
          <w:b w:val="1"/>
          <w:bCs w:val="1"/>
          <w:color w:val="auto"/>
        </w:rPr>
      </w:pPr>
    </w:p>
    <w:p>
      <w:pPr>
        <w:ind w:right="200" w:firstLine="515"/>
        <w:spacing w:after="0" w:line="268" w:lineRule="auto"/>
        <w:tabs>
          <w:tab w:leader="none" w:pos="721"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Integration</w:t>
      </w:r>
      <w:r>
        <w:rPr>
          <w:rFonts w:ascii="Times New Roman" w:cs="Times New Roman" w:eastAsia="Times New Roman" w:hAnsi="Times New Roman"/>
          <w:sz w:val="14"/>
          <w:szCs w:val="14"/>
          <w:color w:val="auto"/>
        </w:rPr>
        <w:t>. This Amendment and the Loan Documents represent the entire agreement about this subject matter and supersede prior negotiations or agreements. All prior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understandings, representations, warranties, and negotiations between the parties about the subject matter of this Amendment and the Loan Documents merge into this Amendment and the Loan Documents.</w:t>
      </w:r>
    </w:p>
    <w:p>
      <w:pPr>
        <w:spacing w:after="0" w:line="133" w:lineRule="exact"/>
        <w:rPr>
          <w:rFonts w:ascii="Times New Roman" w:cs="Times New Roman" w:eastAsia="Times New Roman" w:hAnsi="Times New Roman"/>
          <w:sz w:val="14"/>
          <w:szCs w:val="14"/>
          <w:b w:val="1"/>
          <w:bCs w:val="1"/>
          <w:color w:val="auto"/>
        </w:rPr>
      </w:pPr>
    </w:p>
    <w:p>
      <w:pPr>
        <w:ind w:firstLine="515"/>
        <w:spacing w:after="0" w:line="268" w:lineRule="auto"/>
        <w:tabs>
          <w:tab w:leader="none" w:pos="721"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Counterparts</w:t>
      </w:r>
      <w:r>
        <w:rPr>
          <w:rFonts w:ascii="Times New Roman" w:cs="Times New Roman" w:eastAsia="Times New Roman" w:hAnsi="Times New Roman"/>
          <w:sz w:val="14"/>
          <w:szCs w:val="14"/>
          <w:color w:val="auto"/>
        </w:rPr>
        <w:t>. This Amendment may be executed in any number of counterparts and all of such counterparts taken together shall be deemed to constitute one and the same instrument.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party hereto may execute this Amendment by electronic means and recognizes and accepts the use of electronic signatures and records by any other party hereto in connection with the execution and storage hereof.</w:t>
      </w:r>
    </w:p>
    <w:p>
      <w:pPr>
        <w:spacing w:after="0" w:line="133" w:lineRule="exact"/>
        <w:rPr>
          <w:rFonts w:ascii="Times New Roman" w:cs="Times New Roman" w:eastAsia="Times New Roman" w:hAnsi="Times New Roman"/>
          <w:sz w:val="14"/>
          <w:szCs w:val="14"/>
          <w:b w:val="1"/>
          <w:bCs w:val="1"/>
          <w:color w:val="auto"/>
        </w:rPr>
      </w:pPr>
    </w:p>
    <w:p>
      <w:pPr>
        <w:ind w:left="720" w:hanging="205"/>
        <w:spacing w:after="0"/>
        <w:tabs>
          <w:tab w:leader="none" w:pos="720"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Effectiveness</w:t>
      </w:r>
      <w:r>
        <w:rPr>
          <w:rFonts w:ascii="Times New Roman" w:cs="Times New Roman" w:eastAsia="Times New Roman" w:hAnsi="Times New Roman"/>
          <w:sz w:val="14"/>
          <w:szCs w:val="14"/>
          <w:color w:val="auto"/>
        </w:rPr>
        <w:t>. This Amendment shall be deemed effective as of the due execution and delivery to Bank of this Amendment by each party hereto.</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60"/>
          </w:cols>
          <w:pgMar w:left="300" w:top="985" w:right="439" w:bottom="1440" w:gutter="0" w:footer="0" w:header="0"/>
        </w:sectPr>
      </w:pPr>
    </w:p>
    <w:bookmarkStart w:id="510" w:name="page511"/>
    <w:bookmarkEnd w:id="510"/>
    <w:p>
      <w:pPr>
        <w:ind w:left="52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Amendment to be duly executed and delivered as of the date first written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6220" w:type="dxa"/>
            <w:vAlign w:val="bottom"/>
          </w:tcPr>
          <w:p>
            <w:pPr>
              <w:spacing w:after="0"/>
              <w:rPr>
                <w:sz w:val="16"/>
                <w:szCs w:val="16"/>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BORROWER</w:t>
            </w:r>
          </w:p>
        </w:tc>
      </w:tr>
      <w:tr>
        <w:trPr>
          <w:trHeight w:val="322"/>
        </w:trPr>
        <w:tc>
          <w:tcPr>
            <w:tcW w:w="112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First-Citizens Bank &amp; Trust Company (successor by purchase to the Federal Deposit Insurance Corporation as Receiver for   FOG PHARMACEUTICALS, INC.</w:t>
            </w:r>
          </w:p>
        </w:tc>
      </w:tr>
      <w:tr>
        <w:trPr>
          <w:trHeight w:val="168"/>
        </w:trPr>
        <w:tc>
          <w:tcPr>
            <w:tcW w:w="7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Silicon Valley Bridge Bank, N.A. (as successor to Silicon Valley Bank))</w:t>
            </w:r>
          </w:p>
        </w:tc>
        <w:tc>
          <w:tcPr>
            <w:tcW w:w="3520" w:type="dxa"/>
            <w:vAlign w:val="bottom"/>
          </w:tcPr>
          <w:p>
            <w:pPr>
              <w:spacing w:after="0"/>
              <w:rPr>
                <w:sz w:val="14"/>
                <w:szCs w:val="14"/>
                <w:color w:val="auto"/>
              </w:rPr>
            </w:pPr>
          </w:p>
        </w:tc>
      </w:tr>
      <w:tr>
        <w:trPr>
          <w:trHeight w:val="183"/>
        </w:trPr>
        <w:tc>
          <w:tcPr>
            <w:tcW w:w="7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By:</w:t>
            </w: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7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5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Gregory L. Verdine</w:t>
            </w:r>
          </w:p>
        </w:tc>
      </w:tr>
      <w:tr>
        <w:trPr>
          <w:trHeight w:val="168"/>
        </w:trPr>
        <w:tc>
          <w:tcPr>
            <w:tcW w:w="7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Title:</w:t>
            </w: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President, Treasurer and Secretary</w:t>
            </w:r>
          </w:p>
        </w:tc>
      </w:tr>
      <w:tr>
        <w:trPr>
          <w:trHeight w:val="183"/>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Jameson Whiteley</w:t>
            </w:r>
          </w:p>
        </w:tc>
        <w:tc>
          <w:tcPr>
            <w:tcW w:w="3520" w:type="dxa"/>
            <w:vAlign w:val="bottom"/>
          </w:tcPr>
          <w:p>
            <w:pPr>
              <w:spacing w:after="0"/>
              <w:rPr>
                <w:sz w:val="15"/>
                <w:szCs w:val="15"/>
                <w:color w:val="auto"/>
              </w:rPr>
            </w:pPr>
          </w:p>
        </w:tc>
      </w:tr>
      <w:tr>
        <w:trPr>
          <w:trHeight w:val="144"/>
        </w:trPr>
        <w:tc>
          <w:tcPr>
            <w:tcW w:w="7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62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Jameson Whiteley</w:t>
            </w:r>
          </w:p>
        </w:tc>
        <w:tc>
          <w:tcPr>
            <w:tcW w:w="78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83"/>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Vice President</w:t>
            </w:r>
          </w:p>
        </w:tc>
        <w:tc>
          <w:tcPr>
            <w:tcW w:w="3520" w:type="dxa"/>
            <w:vAlign w:val="bottom"/>
          </w:tcPr>
          <w:p>
            <w:pPr>
              <w:spacing w:after="0"/>
              <w:rPr>
                <w:sz w:val="15"/>
                <w:szCs w:val="15"/>
                <w:color w:val="auto"/>
              </w:rPr>
            </w:pPr>
          </w:p>
        </w:tc>
      </w:tr>
      <w:tr>
        <w:trPr>
          <w:trHeight w:val="926"/>
        </w:trPr>
        <w:tc>
          <w:tcPr>
            <w:tcW w:w="76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511" w:name="page512"/>
    <w:bookmarkEnd w:id="511"/>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FOURTH AMENDMENT</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LOAN AND SECURITY AGREEMENT</w:t>
      </w:r>
    </w:p>
    <w:p>
      <w:pPr>
        <w:spacing w:after="0" w:line="159" w:lineRule="exact"/>
        <w:rPr>
          <w:sz w:val="20"/>
          <w:szCs w:val="20"/>
          <w:color w:val="auto"/>
        </w:rPr>
      </w:pPr>
    </w:p>
    <w:p>
      <w:pPr>
        <w:ind w:right="60" w:firstLine="511"/>
        <w:spacing w:after="0" w:line="268" w:lineRule="auto"/>
        <w:rPr>
          <w:sz w:val="20"/>
          <w:szCs w:val="20"/>
          <w:color w:val="auto"/>
        </w:rPr>
      </w:pPr>
      <w:r>
        <w:rPr>
          <w:rFonts w:ascii="Times New Roman" w:cs="Times New Roman" w:eastAsia="Times New Roman" w:hAnsi="Times New Roman"/>
          <w:sz w:val="14"/>
          <w:szCs w:val="14"/>
          <w:color w:val="auto"/>
        </w:rPr>
        <w:t>This Fourth Amendment to Loan and Security Agreement (this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this 22</w:t>
      </w:r>
      <w:r>
        <w:rPr>
          <w:rFonts w:ascii="Times New Roman" w:cs="Times New Roman" w:eastAsia="Times New Roman" w:hAnsi="Times New Roman"/>
          <w:sz w:val="7"/>
          <w:szCs w:val="7"/>
          <w:color w:val="auto"/>
        </w:rPr>
        <w:t>nd</w:t>
      </w:r>
      <w:r>
        <w:rPr>
          <w:rFonts w:ascii="Times New Roman" w:cs="Times New Roman" w:eastAsia="Times New Roman" w:hAnsi="Times New Roman"/>
          <w:sz w:val="14"/>
          <w:szCs w:val="14"/>
          <w:color w:val="auto"/>
        </w:rPr>
        <w:t xml:space="preserve"> day of November, 2024, by and between </w:t>
      </w:r>
      <w:r>
        <w:rPr>
          <w:rFonts w:ascii="Times New Roman" w:cs="Times New Roman" w:eastAsia="Times New Roman" w:hAnsi="Times New Roman"/>
          <w:sz w:val="14"/>
          <w:szCs w:val="14"/>
          <w:b w:val="1"/>
          <w:bCs w:val="1"/>
          <w:color w:val="auto"/>
        </w:rPr>
        <w:t>SILICON VALLEY BANK, a division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First-Citizens Bank &amp; Trust Company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PARABILIS MEDICINES, INC. (F/K/A FOG PHARMACEUTICALS, INC.)</w:t>
      </w:r>
      <w:r>
        <w:rPr>
          <w:rFonts w:ascii="Times New Roman" w:cs="Times New Roman" w:eastAsia="Times New Roman" w:hAnsi="Times New Roman"/>
          <w:sz w:val="14"/>
          <w:szCs w:val="14"/>
          <w:color w:val="auto"/>
        </w:rPr>
        <w:t>, a Delaware corporation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whose address is 30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Acord Park Drive, Cambridge, Massachusetts 02139.</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0"/>
          <w:szCs w:val="10"/>
          <w:b w:val="1"/>
          <w:bCs w:val="1"/>
          <w:color w:val="auto"/>
        </w:rPr>
        <w:t>ECITALS</w:t>
      </w:r>
    </w:p>
    <w:p>
      <w:pPr>
        <w:spacing w:after="0" w:line="175"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Bank and Borrower have entered into that certain Loan and Security Agreement dated as of September 21, 2021, as amended by that certain First Amendment to Loan and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between Bank and Borrower, dated as of April 12, 2022, as further amended by that certain Second Amendment to Loan and Security Agreement between Bank and Borrower, dated as of November 30, 2022 (the “</w:t>
      </w:r>
      <w:r>
        <w:rPr>
          <w:rFonts w:ascii="Times New Roman" w:cs="Times New Roman" w:eastAsia="Times New Roman" w:hAnsi="Times New Roman"/>
          <w:sz w:val="14"/>
          <w:szCs w:val="14"/>
          <w:b w:val="1"/>
          <w:bCs w:val="1"/>
          <w:color w:val="auto"/>
        </w:rPr>
        <w:t>Second Amendment</w:t>
      </w:r>
      <w:r>
        <w:rPr>
          <w:rFonts w:ascii="Times New Roman" w:cs="Times New Roman" w:eastAsia="Times New Roman" w:hAnsi="Times New Roman"/>
          <w:sz w:val="14"/>
          <w:szCs w:val="14"/>
          <w:color w:val="auto"/>
        </w:rPr>
        <w:t>”), as further amended by that certain Waiver and Third Amendment to Loan and Security Agreement between Bank and Borrower, dated as of April 25, 2023 (the “</w:t>
      </w:r>
      <w:r>
        <w:rPr>
          <w:rFonts w:ascii="Times New Roman" w:cs="Times New Roman" w:eastAsia="Times New Roman" w:hAnsi="Times New Roman"/>
          <w:sz w:val="14"/>
          <w:szCs w:val="14"/>
          <w:b w:val="1"/>
          <w:bCs w:val="1"/>
          <w:color w:val="auto"/>
        </w:rPr>
        <w:t>Third Amendment</w:t>
      </w:r>
      <w:r>
        <w:rPr>
          <w:rFonts w:ascii="Times New Roman" w:cs="Times New Roman" w:eastAsia="Times New Roman" w:hAnsi="Times New Roman"/>
          <w:sz w:val="14"/>
          <w:szCs w:val="14"/>
          <w:color w:val="auto"/>
        </w:rPr>
        <w:t>”), and as further affected by that certain Consent to Loan and Security Agreement between Bank and Borrower, dated as of July 18, 2024 (the “</w:t>
      </w:r>
      <w:r>
        <w:rPr>
          <w:rFonts w:ascii="Times New Roman" w:cs="Times New Roman" w:eastAsia="Times New Roman" w:hAnsi="Times New Roman"/>
          <w:sz w:val="14"/>
          <w:szCs w:val="14"/>
          <w:b w:val="1"/>
          <w:bCs w:val="1"/>
          <w:color w:val="auto"/>
        </w:rPr>
        <w:t>Consent Agreement</w:t>
      </w:r>
      <w:r>
        <w:rPr>
          <w:rFonts w:ascii="Times New Roman" w:cs="Times New Roman" w:eastAsia="Times New Roman" w:hAnsi="Times New Roman"/>
          <w:sz w:val="14"/>
          <w:szCs w:val="14"/>
          <w:color w:val="auto"/>
        </w:rPr>
        <w:t>”) (as the same may from time to time be further amended, modified, supplemented or restated,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Bank has extended credit to Borrower for the purposes permitted in the Loan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Borrower has requested that Bank amend the Loan Agreement to make certain revisions to the Loan Agreement as more fully set forth herein.</w:t>
      </w:r>
    </w:p>
    <w:p>
      <w:pPr>
        <w:spacing w:after="0" w:line="175" w:lineRule="exact"/>
        <w:rPr>
          <w:sz w:val="20"/>
          <w:szCs w:val="20"/>
          <w:color w:val="auto"/>
        </w:rPr>
      </w:pPr>
    </w:p>
    <w:p>
      <w:pPr>
        <w:ind w:right="8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D. </w:t>
      </w:r>
      <w:r>
        <w:rPr>
          <w:rFonts w:ascii="Times New Roman" w:cs="Times New Roman" w:eastAsia="Times New Roman" w:hAnsi="Times New Roman"/>
          <w:sz w:val="14"/>
          <w:szCs w:val="14"/>
          <w:color w:val="auto"/>
        </w:rPr>
        <w:t>Bank has agreed to so amend certain provisions of the Loan Agreement, but only to the extent, in accordance with the terms, subject to the conditions and in reliance upon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representations and warranties set forth below.</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0"/>
          <w:szCs w:val="10"/>
          <w:b w:val="1"/>
          <w:bCs w:val="1"/>
          <w:color w:val="auto"/>
        </w:rPr>
        <w:t>GREEMENT</w:t>
      </w:r>
    </w:p>
    <w:p>
      <w:pPr>
        <w:spacing w:after="0" w:line="175"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4"/>
          <w:szCs w:val="14"/>
          <w:color w:val="auto"/>
        </w:rPr>
        <w:t>, in consideration of the foregoing recitals and other good and valuable consideration, the receipt and adequacy of which is hereby acknowledged, and intending to be legally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bound, the parties hereto agree as follows:</w:t>
      </w:r>
    </w:p>
    <w:p>
      <w:pPr>
        <w:spacing w:after="0" w:line="121" w:lineRule="exact"/>
        <w:rPr>
          <w:sz w:val="20"/>
          <w:szCs w:val="20"/>
          <w:color w:val="auto"/>
        </w:rPr>
      </w:pPr>
    </w:p>
    <w:p>
      <w:pPr>
        <w:ind w:left="660" w:hanging="145"/>
        <w:spacing w:after="0"/>
        <w:tabs>
          <w:tab w:leader="none" w:pos="660" w:val="left"/>
        </w:tabs>
        <w:numPr>
          <w:ilvl w:val="0"/>
          <w:numId w:val="4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Capitalized terms used but not defined in this Amendment shall have the meanings given to them in the Loan Agreement.</w:t>
      </w:r>
    </w:p>
    <w:p>
      <w:pPr>
        <w:spacing w:after="0" w:line="175"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Loan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2.1 Section 5.7 (Accounts)</w:t>
      </w:r>
      <w:r>
        <w:rPr>
          <w:rFonts w:ascii="Times New Roman" w:cs="Times New Roman" w:eastAsia="Times New Roman" w:hAnsi="Times New Roman"/>
          <w:sz w:val="14"/>
          <w:szCs w:val="14"/>
          <w:color w:val="auto"/>
        </w:rPr>
        <w:t>. Section 5.7 is amended in its entirety and replaced with the following:</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5.7 (Accounts).</w:t>
      </w:r>
    </w:p>
    <w:p>
      <w:pPr>
        <w:spacing w:after="0" w:line="177" w:lineRule="exact"/>
        <w:rPr>
          <w:sz w:val="20"/>
          <w:szCs w:val="20"/>
          <w:color w:val="auto"/>
        </w:rPr>
      </w:pPr>
    </w:p>
    <w:p>
      <w:pPr>
        <w:ind w:left="1140" w:firstLine="518"/>
        <w:spacing w:after="0" w:line="254" w:lineRule="auto"/>
        <w:tabs>
          <w:tab w:leader="none" w:pos="1842"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upon the expiration of the Fourth Amendment Transition Period and at all times thereafter, maintain a portion of Borrower’s, any of its Subsidiaries’ (excluding Securities Corp.) and any Guarantor’s primary operating accounts, depository accounts and excess cash with Bank and Bank’s Affiliates; provided that, (i) prior to the occurrence of the 2024 Interest Only Extension Event #2, such accounts and Cash Equivalents with Bank and Bank’s Affiliates (which may include the accounts of the Securities Corp. with Bank and Bank’s Affiliates) shall be in amount equal to at least the lesser of (A) $60,000,000.00 or (B) fifty percent (50.0%) of the Dollar value of Borrower’s, its Subsidiaries’, and any Guarantor’s consolidated cash and Cash Equivalents, in the aggregate wherever located, and (ii) upon the occurrence of the 2024 Interest Only Extension Event #2, such accounts and Cash Equivalents with Bank and Bank’s Affiliates (which may include the accounts of the Securities Corp. with Bank and Bank’s Affiliates) shall be in amount equal to at least the lesser of (A) $100,000,000.00 or (B) fifty percent (50.0%) of the Dollar value of Borrower’s, its Subsidiaries’, and any Guarantor’s consolidated cash and Cash Equivalents, in the aggregate wherever located. In addition to the foregoing, Borrower shall at all times have on deposit in operating and depository accounts maintained in the name of Borrower with Bank, unrestricted and unencumbered (other than Liens in favor of Bank under this Agreement) cash in an amount equal to the lesser of (x) one hundred percent (100.0%) of the Dollar value of Borrower’s, its Subsidiaries’, and any Guarantor’s consolidated cash, in the aggregate wherever located, and (y) one hundred ten percent (110.0%) of the then-outstanding Obligations of Borrower to Bank. So long as,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462280</wp:posOffset>
            </wp:positionV>
            <wp:extent cx="7188200" cy="3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512" w:name="page513"/>
    <w:bookmarkEnd w:id="512"/>
    <w:p>
      <w:pPr>
        <w:ind w:left="1140" w:right="160"/>
        <w:spacing w:after="0" w:line="283" w:lineRule="auto"/>
        <w:rPr>
          <w:sz w:val="20"/>
          <w:szCs w:val="20"/>
          <w:color w:val="auto"/>
        </w:rPr>
      </w:pPr>
      <w:r>
        <w:rPr>
          <w:rFonts w:ascii="Times New Roman" w:cs="Times New Roman" w:eastAsia="Times New Roman" w:hAnsi="Times New Roman"/>
          <w:sz w:val="14"/>
          <w:szCs w:val="14"/>
          <w:color w:val="auto"/>
        </w:rPr>
        <w:t>Borrower is in compliance with the terms of this Section 5.7(a), Borrower shall be permitted to maintain accounts with other banks or financial institutions (other than Bank) (the “</w:t>
      </w:r>
      <w:r>
        <w:rPr>
          <w:rFonts w:ascii="Times New Roman" w:cs="Times New Roman" w:eastAsia="Times New Roman" w:hAnsi="Times New Roman"/>
          <w:sz w:val="14"/>
          <w:szCs w:val="14"/>
          <w:b w:val="1"/>
          <w:bCs w:val="1"/>
          <w:color w:val="auto"/>
        </w:rPr>
        <w:t>Permitted Accounts</w:t>
      </w:r>
      <w:r>
        <w:rPr>
          <w:rFonts w:ascii="Times New Roman" w:cs="Times New Roman" w:eastAsia="Times New Roman" w:hAnsi="Times New Roman"/>
          <w:sz w:val="14"/>
          <w:szCs w:val="14"/>
          <w:color w:val="auto"/>
        </w:rPr>
        <w:t>”); provided that such Permitted Accounts shall be subject to a Control Agreement in favor of Bank pursuant to the terms of Section 5.7(c).</w:t>
      </w:r>
    </w:p>
    <w:p>
      <w:pPr>
        <w:spacing w:after="0" w:line="125" w:lineRule="exact"/>
        <w:rPr>
          <w:sz w:val="20"/>
          <w:szCs w:val="20"/>
          <w:color w:val="auto"/>
        </w:rPr>
      </w:pPr>
    </w:p>
    <w:p>
      <w:pPr>
        <w:ind w:left="1860" w:hanging="202"/>
        <w:spacing w:after="0"/>
        <w:tabs>
          <w:tab w:leader="none" w:pos="186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5" w:lineRule="exact"/>
        <w:rPr>
          <w:rFonts w:ascii="Times New Roman" w:cs="Times New Roman" w:eastAsia="Times New Roman" w:hAnsi="Times New Roman"/>
          <w:sz w:val="14"/>
          <w:szCs w:val="14"/>
          <w:color w:val="auto"/>
        </w:rPr>
      </w:pPr>
    </w:p>
    <w:p>
      <w:pPr>
        <w:ind w:left="1140" w:firstLine="518"/>
        <w:spacing w:after="0" w:line="255" w:lineRule="auto"/>
        <w:tabs>
          <w:tab w:leader="none" w:pos="1842"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 provided, however, that the funds on deposit in such deposit accounts will at no time exceed the actual payroll, payroll taxes, withholding taxes and other employee wage and benefit payments then owing for the immediately succeeding payroll period (or greater amount to the extent required by Applicable Law).”</w:t>
      </w:r>
    </w:p>
    <w:p>
      <w:pPr>
        <w:spacing w:after="0" w:line="1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2.1 Section 6.1 (Dispositions)</w:t>
      </w:r>
      <w:r>
        <w:rPr>
          <w:rFonts w:ascii="Times New Roman" w:cs="Times New Roman" w:eastAsia="Times New Roman" w:hAnsi="Times New Roman"/>
          <w:sz w:val="14"/>
          <w:szCs w:val="14"/>
          <w:color w:val="auto"/>
        </w:rPr>
        <w:t>. Section 6.1 of the Loan Agreement is hereby amended by deleting clause (f) in its entirety and replacing it with the following:</w:t>
      </w:r>
    </w:p>
    <w:p>
      <w:pPr>
        <w:spacing w:after="0" w:line="177" w:lineRule="exact"/>
        <w:rPr>
          <w:sz w:val="20"/>
          <w:szCs w:val="20"/>
          <w:color w:val="auto"/>
        </w:rPr>
      </w:pPr>
    </w:p>
    <w:p>
      <w:pPr>
        <w:jc w:val="both"/>
        <w:ind w:left="1140" w:right="420" w:firstLine="511"/>
        <w:spacing w:after="0" w:line="267" w:lineRule="auto"/>
        <w:rPr>
          <w:sz w:val="20"/>
          <w:szCs w:val="20"/>
          <w:color w:val="auto"/>
        </w:rPr>
      </w:pPr>
      <w:r>
        <w:rPr>
          <w:rFonts w:ascii="Times New Roman" w:cs="Times New Roman" w:eastAsia="Times New Roman" w:hAnsi="Times New Roman"/>
          <w:sz w:val="14"/>
          <w:szCs w:val="14"/>
          <w:color w:val="auto"/>
        </w:rPr>
        <w:t>“ (f) consisting of non-exclusive licenses for the use of the property of Borrower or its Subsidiaries in the ordinary course of business and licenses for the use of the property of Borrower or its Subsidiaries in the ordinary course of business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2.2 Section 12.2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The following term and its respective definition set forth in Section 12.2 of the Loan Agreement is amended in its entirety and replaced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Collateral</w:t>
      </w:r>
      <w:r>
        <w:rPr>
          <w:rFonts w:ascii="Times New Roman" w:cs="Times New Roman" w:eastAsia="Times New Roman" w:hAnsi="Times New Roman"/>
          <w:sz w:val="14"/>
          <w:szCs w:val="14"/>
          <w:color w:val="auto"/>
        </w:rPr>
        <w:t>” consists of all of Borrower’s right, title and interest in and to the following personal property:</w:t>
      </w:r>
    </w:p>
    <w:p>
      <w:pPr>
        <w:spacing w:after="0" w:line="177" w:lineRule="exact"/>
        <w:rPr>
          <w:sz w:val="20"/>
          <w:szCs w:val="20"/>
          <w:color w:val="auto"/>
        </w:rPr>
      </w:pPr>
    </w:p>
    <w:p>
      <w:pPr>
        <w:ind w:left="1160" w:firstLine="506"/>
        <w:spacing w:after="0" w:line="257" w:lineRule="auto"/>
        <w:tabs>
          <w:tab w:leader="none" w:pos="1862"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3" w:lineRule="exact"/>
        <w:rPr>
          <w:rFonts w:ascii="Times New Roman" w:cs="Times New Roman" w:eastAsia="Times New Roman" w:hAnsi="Times New Roman"/>
          <w:sz w:val="14"/>
          <w:szCs w:val="14"/>
          <w:color w:val="auto"/>
        </w:rPr>
      </w:pPr>
    </w:p>
    <w:p>
      <w:pPr>
        <w:ind w:left="1160" w:firstLine="506"/>
        <w:spacing w:after="0" w:line="255" w:lineRule="auto"/>
        <w:tabs>
          <w:tab w:leader="none" w:pos="187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the Collateral does not include any (i) consents, authorizations, approvals, orders, licenses, franchises, permits, certificates, accreditations, registrations, filings or notice (collectively, “</w:t>
      </w:r>
      <w:r>
        <w:rPr>
          <w:rFonts w:ascii="Times New Roman" w:cs="Times New Roman" w:eastAsia="Times New Roman" w:hAnsi="Times New Roman"/>
          <w:sz w:val="14"/>
          <w:szCs w:val="14"/>
          <w:b w:val="1"/>
          <w:bCs w:val="1"/>
          <w:color w:val="auto"/>
        </w:rPr>
        <w:t>Governmental Approvals</w:t>
      </w:r>
      <w:r>
        <w:rPr>
          <w:rFonts w:ascii="Times New Roman" w:cs="Times New Roman" w:eastAsia="Times New Roman" w:hAnsi="Times New Roman"/>
          <w:sz w:val="14"/>
          <w:szCs w:val="14"/>
          <w:color w:val="auto"/>
        </w:rPr>
        <w:t>”) issued by or from any governmental or regulatory authority if granting a security interest or Lien thereon is prohibited or would expose Borrower to the risk of termination, revocation or any similar result with respect to such Governmental Approval; provided, however, that upon termination of such prohibition, such interest shall immediately become Collateral without any action by Borrower or Bank, or (ii)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462915</wp:posOffset>
            </wp:positionV>
            <wp:extent cx="7188200"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7" w:right="339" w:bottom="1440" w:gutter="0" w:footer="0" w:header="0"/>
        </w:sectPr>
      </w:pPr>
    </w:p>
    <w:bookmarkStart w:id="513" w:name="page514"/>
    <w:bookmarkEnd w:id="513"/>
    <w:p>
      <w:pPr>
        <w:ind w:left="1140" w:right="180" w:firstLine="518"/>
        <w:spacing w:after="0" w:line="283" w:lineRule="auto"/>
        <w:tabs>
          <w:tab w:leader="none" w:pos="1842" w:val="left"/>
        </w:tabs>
        <w:numPr>
          <w:ilvl w:val="1"/>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a certain negative pledge arrangement with Bank, Borrower has agreed not to encumber any of its Intellectual Property without Bank’s prior written consent.”</w:t>
      </w:r>
    </w:p>
    <w:p>
      <w:pPr>
        <w:spacing w:after="0" w:line="122" w:lineRule="exact"/>
        <w:rPr>
          <w:rFonts w:ascii="Times New Roman" w:cs="Times New Roman" w:eastAsia="Times New Roman" w:hAnsi="Times New Roman"/>
          <w:sz w:val="14"/>
          <w:szCs w:val="14"/>
          <w:color w:val="auto"/>
        </w:rPr>
      </w:pPr>
    </w:p>
    <w:p>
      <w:pPr>
        <w:ind w:left="1140" w:right="8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4"/>
          <w:szCs w:val="14"/>
          <w:color w:val="auto"/>
        </w:rPr>
        <w:t>” are Borrower’s obligations to pay when due any debts, principal, interest, fees, Bank Expenses, the Final Payment, the 2022 Prepayment Fee, the 2022 Final Payment, the Fourth Amendment Fee,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138" w:lineRule="exact"/>
        <w:rPr>
          <w:sz w:val="20"/>
          <w:szCs w:val="20"/>
          <w:color w:val="auto"/>
        </w:rPr>
      </w:pPr>
    </w:p>
    <w:p>
      <w:pPr>
        <w:ind w:right="1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2.3 Section 12.2 (Definitions)</w:t>
      </w:r>
      <w:r>
        <w:rPr>
          <w:rFonts w:ascii="Times New Roman" w:cs="Times New Roman" w:eastAsia="Times New Roman" w:hAnsi="Times New Roman"/>
          <w:sz w:val="14"/>
          <w:szCs w:val="14"/>
          <w:color w:val="auto"/>
        </w:rPr>
        <w:t>. The definition of Permitted Investments is amended by deleting the “.” at the end of clause (c) thereof and inserting in lieu thereof “;” and inserting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new clauses (d) through (l) thereof to appear immediately following clause (c) thereof:</w:t>
      </w:r>
    </w:p>
    <w:p>
      <w:pPr>
        <w:spacing w:after="0" w:line="123" w:lineRule="exact"/>
        <w:rPr>
          <w:sz w:val="20"/>
          <w:szCs w:val="20"/>
          <w:color w:val="auto"/>
        </w:rPr>
      </w:pPr>
    </w:p>
    <w:p>
      <w:pPr>
        <w:ind w:left="1140" w:right="40" w:firstLine="511"/>
        <w:spacing w:after="0" w:line="267" w:lineRule="auto"/>
        <w:rPr>
          <w:sz w:val="20"/>
          <w:szCs w:val="20"/>
          <w:color w:val="auto"/>
        </w:rPr>
      </w:pPr>
      <w:r>
        <w:rPr>
          <w:rFonts w:ascii="Times New Roman" w:cs="Times New Roman" w:eastAsia="Times New Roman" w:hAnsi="Times New Roman"/>
          <w:sz w:val="14"/>
          <w:szCs w:val="14"/>
          <w:color w:val="auto"/>
        </w:rPr>
        <w:t>“ (d) Investments (i) by Borrower or any secured Guarantor in Borrower or any secured Guarantor, (ii) by any Subsidiary that is not a secured Guarantor in Borrower or any other Subsidiary, or (iii) by Borrower or any Subsidiary that is a secured Guarantor in any Subsidiary that is not a secured Guarantor in an amount not to exceed $200,000.00 in the aggregate in any month;</w:t>
      </w:r>
    </w:p>
    <w:p>
      <w:pPr>
        <w:spacing w:after="0" w:line="136" w:lineRule="exact"/>
        <w:rPr>
          <w:sz w:val="20"/>
          <w:szCs w:val="20"/>
          <w:color w:val="auto"/>
        </w:rPr>
      </w:pPr>
    </w:p>
    <w:p>
      <w:pPr>
        <w:ind w:left="1140" w:right="60" w:firstLine="518"/>
        <w:spacing w:after="0" w:line="267" w:lineRule="auto"/>
        <w:tabs>
          <w:tab w:leader="none" w:pos="1842"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35" w:lineRule="exact"/>
        <w:rPr>
          <w:rFonts w:ascii="Times New Roman" w:cs="Times New Roman" w:eastAsia="Times New Roman" w:hAnsi="Times New Roman"/>
          <w:sz w:val="14"/>
          <w:szCs w:val="14"/>
          <w:color w:val="auto"/>
        </w:rPr>
      </w:pPr>
    </w:p>
    <w:p>
      <w:pPr>
        <w:ind w:left="1140" w:right="500" w:firstLine="518"/>
        <w:spacing w:after="0" w:line="283" w:lineRule="auto"/>
        <w:tabs>
          <w:tab w:leader="none" w:pos="1826"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24" w:lineRule="exact"/>
        <w:rPr>
          <w:rFonts w:ascii="Times New Roman" w:cs="Times New Roman" w:eastAsia="Times New Roman" w:hAnsi="Times New Roman"/>
          <w:sz w:val="14"/>
          <w:szCs w:val="14"/>
          <w:color w:val="auto"/>
        </w:rPr>
      </w:pPr>
    </w:p>
    <w:p>
      <w:pPr>
        <w:ind w:left="1140" w:right="80" w:firstLine="518"/>
        <w:spacing w:after="0" w:line="283" w:lineRule="auto"/>
        <w:tabs>
          <w:tab w:leader="none" w:pos="185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notes receivable of, or prepaid royalties and other credit extensions, to customers and suppliers who are not Affiliates, in the ordinary course of business; provided that this paragraph (g) shall not apply to Investments of Borrower in any Subsidiary;</w:t>
      </w:r>
    </w:p>
    <w:p>
      <w:pPr>
        <w:spacing w:after="0" w:line="124" w:lineRule="exact"/>
        <w:rPr>
          <w:rFonts w:ascii="Times New Roman" w:cs="Times New Roman" w:eastAsia="Times New Roman" w:hAnsi="Times New Roman"/>
          <w:sz w:val="14"/>
          <w:szCs w:val="14"/>
          <w:color w:val="auto"/>
        </w:rPr>
      </w:pPr>
    </w:p>
    <w:p>
      <w:pPr>
        <w:ind w:left="1860" w:hanging="198"/>
        <w:spacing w:after="0"/>
        <w:tabs>
          <w:tab w:leader="none" w:pos="186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the endorsement of negotiable instruments for deposit or collection or similar transactions in the ordinary course of Borrower;</w:t>
      </w:r>
    </w:p>
    <w:p>
      <w:pPr>
        <w:spacing w:after="0" w:line="175" w:lineRule="exact"/>
        <w:rPr>
          <w:rFonts w:ascii="Times New Roman" w:cs="Times New Roman" w:eastAsia="Times New Roman" w:hAnsi="Times New Roman"/>
          <w:sz w:val="14"/>
          <w:szCs w:val="14"/>
          <w:color w:val="auto"/>
        </w:rPr>
      </w:pPr>
    </w:p>
    <w:p>
      <w:pPr>
        <w:ind w:left="1820" w:hanging="162"/>
        <w:spacing w:after="0"/>
        <w:tabs>
          <w:tab w:leader="none" w:pos="182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accepted in connection with Transfers permitted by Section 6.1;</w:t>
      </w:r>
    </w:p>
    <w:p>
      <w:pPr>
        <w:spacing w:after="0" w:line="175" w:lineRule="exact"/>
        <w:rPr>
          <w:rFonts w:ascii="Times New Roman" w:cs="Times New Roman" w:eastAsia="Times New Roman" w:hAnsi="Times New Roman"/>
          <w:sz w:val="14"/>
          <w:szCs w:val="14"/>
          <w:color w:val="auto"/>
        </w:rPr>
      </w:pPr>
    </w:p>
    <w:p>
      <w:pPr>
        <w:ind w:left="1140" w:right="220" w:firstLine="518"/>
        <w:spacing w:after="0" w:line="283" w:lineRule="auto"/>
        <w:tabs>
          <w:tab w:leader="none" w:pos="1818"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deposit accounts (but only to the extent that Borrower is permitted to maintain such accounts pursuant to Section 5.7 of this Agreement) in which, to the extent required pursuant to Section 5.7, Bank has a first priority perfected security interest;</w:t>
      </w:r>
    </w:p>
    <w:p>
      <w:pPr>
        <w:spacing w:after="0" w:line="124" w:lineRule="exact"/>
        <w:rPr>
          <w:rFonts w:ascii="Times New Roman" w:cs="Times New Roman" w:eastAsia="Times New Roman" w:hAnsi="Times New Roman"/>
          <w:sz w:val="14"/>
          <w:szCs w:val="14"/>
          <w:color w:val="auto"/>
        </w:rPr>
      </w:pPr>
    </w:p>
    <w:p>
      <w:pPr>
        <w:ind w:left="1140" w:right="340" w:firstLine="518"/>
        <w:spacing w:after="0" w:line="283" w:lineRule="auto"/>
        <w:tabs>
          <w:tab w:leader="none" w:pos="185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the creation of a Subsidiary for the purpose of consummating a merger transaction permitted by Section 6.3 of this Agreement, which is otherwise a Permitted Investment; and</w:t>
      </w:r>
    </w:p>
    <w:p>
      <w:pPr>
        <w:spacing w:after="0" w:line="124" w:lineRule="exact"/>
        <w:rPr>
          <w:rFonts w:ascii="Times New Roman" w:cs="Times New Roman" w:eastAsia="Times New Roman" w:hAnsi="Times New Roman"/>
          <w:sz w:val="14"/>
          <w:szCs w:val="14"/>
          <w:color w:val="auto"/>
        </w:rPr>
      </w:pPr>
    </w:p>
    <w:p>
      <w:pPr>
        <w:ind w:left="1820" w:hanging="162"/>
        <w:spacing w:after="0"/>
        <w:tabs>
          <w:tab w:leader="none" w:pos="182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Investments not otherwise permitted by Section 6.7 not exceeding $100,000.00 in the aggregate in any fiscal year.”</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2.4 Section 12.2 (Definitions)</w:t>
      </w:r>
      <w:r>
        <w:rPr>
          <w:rFonts w:ascii="Times New Roman" w:cs="Times New Roman" w:eastAsia="Times New Roman" w:hAnsi="Times New Roman"/>
          <w:sz w:val="14"/>
          <w:szCs w:val="14"/>
          <w:color w:val="auto"/>
        </w:rPr>
        <w:t>. Clause (d) of the definition of Permitted Liens is amended in its entirety and replaced with the following:</w:t>
      </w:r>
    </w:p>
    <w:p>
      <w:pPr>
        <w:spacing w:after="0" w:line="17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(d) non-exclusive licenses for the use of the property of Borrower or its Subsidiaries in the ordinary course of business and licenses for the use of the property of</w:t>
      </w:r>
    </w:p>
    <w:p>
      <w:pPr>
        <w:spacing w:after="0" w:line="21" w:lineRule="exact"/>
        <w:rPr>
          <w:sz w:val="20"/>
          <w:szCs w:val="20"/>
          <w:color w:val="auto"/>
        </w:rPr>
      </w:pPr>
    </w:p>
    <w:p>
      <w:pPr>
        <w:ind w:left="1160"/>
        <w:spacing w:after="0" w:line="261" w:lineRule="auto"/>
        <w:rPr>
          <w:sz w:val="20"/>
          <w:szCs w:val="20"/>
          <w:color w:val="auto"/>
        </w:rPr>
      </w:pPr>
      <w:r>
        <w:rPr>
          <w:rFonts w:ascii="Times New Roman" w:cs="Times New Roman" w:eastAsia="Times New Roman" w:hAnsi="Times New Roman"/>
          <w:sz w:val="14"/>
          <w:szCs w:val="14"/>
          <w:color w:val="auto"/>
        </w:rPr>
        <w:t>Borrower or its Subsidiaries in the ordinary course of business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459105</wp:posOffset>
            </wp:positionV>
            <wp:extent cx="7188200"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514" w:name="page515"/>
    <w:bookmarkEnd w:id="514"/>
    <w:p>
      <w:pPr>
        <w:ind w:left="1160"/>
        <w:spacing w:after="0"/>
        <w:rPr>
          <w:sz w:val="20"/>
          <w:szCs w:val="20"/>
          <w:color w:val="auto"/>
        </w:rPr>
      </w:pPr>
      <w:r>
        <w:rPr>
          <w:rFonts w:ascii="Times New Roman" w:cs="Times New Roman" w:eastAsia="Times New Roman" w:hAnsi="Times New Roman"/>
          <w:sz w:val="14"/>
          <w:szCs w:val="14"/>
          <w:b w:val="1"/>
          <w:bCs w:val="1"/>
          <w:color w:val="auto"/>
        </w:rPr>
        <w:t>2.5 Section 12.2 (Definitions)</w:t>
      </w:r>
      <w:r>
        <w:rPr>
          <w:rFonts w:ascii="Times New Roman" w:cs="Times New Roman" w:eastAsia="Times New Roman" w:hAnsi="Times New Roman"/>
          <w:sz w:val="14"/>
          <w:szCs w:val="14"/>
          <w:color w:val="auto"/>
        </w:rPr>
        <w:t>. The definition of Permitted Liens is amended by deleting (g) thereof and inserting in lieu thereof “;” and inserting new clauses (h) through (j)</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 to appear immediately following clause (g) thereof:</w:t>
      </w:r>
    </w:p>
    <w:p>
      <w:pPr>
        <w:spacing w:after="0" w:line="161" w:lineRule="exact"/>
        <w:rPr>
          <w:sz w:val="20"/>
          <w:szCs w:val="20"/>
          <w:color w:val="auto"/>
        </w:rPr>
      </w:pPr>
    </w:p>
    <w:p>
      <w:pPr>
        <w:ind w:left="1140" w:firstLine="511"/>
        <w:spacing w:after="0" w:line="283" w:lineRule="auto"/>
        <w:rPr>
          <w:sz w:val="20"/>
          <w:szCs w:val="20"/>
          <w:color w:val="auto"/>
        </w:rPr>
      </w:pPr>
      <w:r>
        <w:rPr>
          <w:rFonts w:ascii="Times New Roman" w:cs="Times New Roman" w:eastAsia="Times New Roman" w:hAnsi="Times New Roman"/>
          <w:sz w:val="14"/>
          <w:szCs w:val="14"/>
          <w:color w:val="auto"/>
        </w:rPr>
        <w:t>“ (h) Liens to secure payment of workers’ compensation, employment insurance, old-age pensions, social security and other like obligations incurred in the ordinary course of business (other than Liens imposed by ERISA);</w:t>
      </w:r>
    </w:p>
    <w:p>
      <w:pPr>
        <w:spacing w:after="0" w:line="125" w:lineRule="exact"/>
        <w:rPr>
          <w:sz w:val="20"/>
          <w:szCs w:val="20"/>
          <w:color w:val="auto"/>
        </w:rPr>
      </w:pPr>
    </w:p>
    <w:p>
      <w:pPr>
        <w:ind w:left="1140" w:right="120" w:firstLine="518"/>
        <w:spacing w:after="0" w:line="261" w:lineRule="auto"/>
        <w:tabs>
          <w:tab w:leader="none" w:pos="1818"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40" w:lineRule="exact"/>
        <w:rPr>
          <w:rFonts w:ascii="Times New Roman" w:cs="Times New Roman" w:eastAsia="Times New Roman" w:hAnsi="Times New Roman"/>
          <w:sz w:val="14"/>
          <w:szCs w:val="14"/>
          <w:color w:val="auto"/>
        </w:rPr>
      </w:pPr>
    </w:p>
    <w:p>
      <w:pPr>
        <w:ind w:left="1820" w:hanging="162"/>
        <w:spacing w:after="0"/>
        <w:tabs>
          <w:tab w:leader="none" w:pos="182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from attachments or judgments, orders, or decrees in circumstances not constituting an Event of Default under Sections 7.4 and 7.7; and</w:t>
      </w:r>
    </w:p>
    <w:p>
      <w:pPr>
        <w:spacing w:after="0" w:line="175" w:lineRule="exact"/>
        <w:rPr>
          <w:rFonts w:ascii="Times New Roman" w:cs="Times New Roman" w:eastAsia="Times New Roman" w:hAnsi="Times New Roman"/>
          <w:sz w:val="14"/>
          <w:szCs w:val="14"/>
          <w:color w:val="auto"/>
        </w:rPr>
      </w:pPr>
    </w:p>
    <w:p>
      <w:pPr>
        <w:ind w:left="1140" w:right="40" w:firstLine="518"/>
        <w:spacing w:after="0" w:line="267" w:lineRule="auto"/>
        <w:tabs>
          <w:tab w:leader="none" w:pos="185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Liens of any bank in connection with statutory, common law and contractual rights of setoff and recoupment with respect to any deposit account or securities account of Borrower or its Subsidiaries, provided that (i) to the extent required pursuant to Section 5.7, Bank has a first priority perfected security interest in such account and (ii) such account is permitted to be maintained pursuant to Section 5.7 of this Agreement.”</w:t>
      </w:r>
    </w:p>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2.6 Section 12.2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The following new defined terms and their respective definitions are hereby inserted alphabetically in Section 12.2:</w:t>
      </w:r>
    </w:p>
    <w:p>
      <w:pPr>
        <w:spacing w:after="0" w:line="175" w:lineRule="exact"/>
        <w:rPr>
          <w:sz w:val="20"/>
          <w:szCs w:val="20"/>
          <w:color w:val="auto"/>
        </w:rPr>
      </w:pPr>
    </w:p>
    <w:p>
      <w:pPr>
        <w:jc w:val="both"/>
        <w:ind w:left="1160" w:right="5680"/>
        <w:spacing w:after="0" w:line="501"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2024 Interest Only Extension Event #1</w:t>
      </w:r>
      <w:r>
        <w:rPr>
          <w:rFonts w:ascii="Times New Roman" w:cs="Times New Roman" w:eastAsia="Times New Roman" w:hAnsi="Times New Roman"/>
          <w:sz w:val="14"/>
          <w:szCs w:val="14"/>
          <w:color w:val="auto"/>
        </w:rPr>
        <w:t>” is set forth on Schedule I hereto.” “ “</w:t>
      </w:r>
      <w:r>
        <w:rPr>
          <w:rFonts w:ascii="Times New Roman" w:cs="Times New Roman" w:eastAsia="Times New Roman" w:hAnsi="Times New Roman"/>
          <w:sz w:val="14"/>
          <w:szCs w:val="14"/>
          <w:b w:val="1"/>
          <w:bCs w:val="1"/>
          <w:color w:val="auto"/>
        </w:rPr>
        <w:t>2024 Interest Only Extension Event #2</w:t>
      </w:r>
      <w:r>
        <w:rPr>
          <w:rFonts w:ascii="Times New Roman" w:cs="Times New Roman" w:eastAsia="Times New Roman" w:hAnsi="Times New Roman"/>
          <w:sz w:val="14"/>
          <w:szCs w:val="14"/>
          <w:color w:val="auto"/>
        </w:rPr>
        <w:t>” is set forth on Schedule I hereto.” “ “Fourth Amendment Effective Date” is November 22, 2024.”</w:t>
      </w:r>
    </w:p>
    <w:p>
      <w:pPr>
        <w:spacing w:after="0" w:line="1" w:lineRule="exact"/>
        <w:rPr>
          <w:sz w:val="20"/>
          <w:szCs w:val="20"/>
          <w:color w:val="auto"/>
        </w:rPr>
      </w:pPr>
    </w:p>
    <w:p>
      <w:pPr>
        <w:ind w:left="1160" w:right="240"/>
        <w:spacing w:after="0" w:line="286"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Fourth Amendment Transition Period</w:t>
      </w:r>
      <w:r>
        <w:rPr>
          <w:rFonts w:ascii="Times New Roman" w:cs="Times New Roman" w:eastAsia="Times New Roman" w:hAnsi="Times New Roman"/>
          <w:sz w:val="14"/>
          <w:szCs w:val="14"/>
          <w:color w:val="auto"/>
        </w:rPr>
        <w:t>” means the period of time commencing as of the Fourth Amendment Effective Date through the earlier to occur of (i) December 22, 2024 and (ii) at Bank’s option, an Event of Default that has not been waived in writing by Bank.”</w:t>
      </w:r>
    </w:p>
    <w:p>
      <w:pPr>
        <w:spacing w:after="0" w:line="121" w:lineRule="exact"/>
        <w:rPr>
          <w:sz w:val="20"/>
          <w:szCs w:val="20"/>
          <w:color w:val="auto"/>
        </w:rPr>
      </w:pPr>
    </w:p>
    <w:p>
      <w:pPr>
        <w:ind w:right="5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2.7 Schedule I (LSA Provisions)</w:t>
      </w:r>
      <w:r>
        <w:rPr>
          <w:rFonts w:ascii="Times New Roman" w:cs="Times New Roman" w:eastAsia="Times New Roman" w:hAnsi="Times New Roman"/>
          <w:sz w:val="14"/>
          <w:szCs w:val="14"/>
          <w:color w:val="auto"/>
        </w:rPr>
        <w:t>. Schedule I (LSA Provisions) to the Loan Agreement is deleted in its entirety and replaced with Schedule I (LSA Provisions) attached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Schedule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attached hereto.</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3. Limitation of Amendments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right="12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 amendments set forth in Section 2 above are effective for the purposes set forth herein and shall be limited precisely as written and shall not be deemed to (a) be a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amendment, waiver or modification of any other term or condition of any Loan Document, or (b) otherwise prejudice any right or remedy which Bank may now have or may have in the future under or in connection with any Loan Document.</w:t>
      </w:r>
    </w:p>
    <w:p>
      <w:pPr>
        <w:spacing w:after="0" w:line="133" w:lineRule="exact"/>
        <w:rPr>
          <w:sz w:val="20"/>
          <w:szCs w:val="20"/>
          <w:color w:val="auto"/>
        </w:rPr>
      </w:pPr>
    </w:p>
    <w:p>
      <w:pPr>
        <w:jc w:val="both"/>
        <w:ind w:right="10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This Amendment shall be construed in connection with and as part of the Loan Documents and all terms, conditions, representations, warranties, covenants and agreements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the Loan Documents, except as herein amended, are hereby ratified and confirmed and shall remain in full force and effect.</w:t>
      </w:r>
    </w:p>
    <w:p>
      <w:pPr>
        <w:spacing w:after="0" w:line="121" w:lineRule="exact"/>
        <w:rPr>
          <w:sz w:val="20"/>
          <w:szCs w:val="20"/>
          <w:color w:val="auto"/>
        </w:rPr>
      </w:pPr>
    </w:p>
    <w:p>
      <w:pPr>
        <w:ind w:left="660" w:hanging="145"/>
        <w:spacing w:after="0"/>
        <w:tabs>
          <w:tab w:leader="none" w:pos="660" w:val="left"/>
        </w:tabs>
        <w:numPr>
          <w:ilvl w:val="0"/>
          <w:numId w:val="4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 To induce Bank to enter into this Amendment, Borrower hereby represents and warrants to Bank as follows:</w:t>
      </w:r>
    </w:p>
    <w:p>
      <w:pPr>
        <w:spacing w:after="0" w:line="175" w:lineRule="exact"/>
        <w:rPr>
          <w:sz w:val="20"/>
          <w:szCs w:val="20"/>
          <w:color w:val="auto"/>
        </w:rPr>
      </w:pPr>
    </w:p>
    <w:p>
      <w:pPr>
        <w:jc w:val="both"/>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Immediately after giving effect to this Amendment (a) the representations and warranties contained in the Loan Documents are true and correct in all material respects as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hereof (except to the extent such representations and warranties relate to an earlier date, in which case they are true and correct in all material respects as of such date), and (b) no Event of Default has occurred and is continuing;</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 xml:space="preserve">4.2 </w:t>
      </w:r>
      <w:r>
        <w:rPr>
          <w:rFonts w:ascii="Times New Roman" w:cs="Times New Roman" w:eastAsia="Times New Roman" w:hAnsi="Times New Roman"/>
          <w:sz w:val="14"/>
          <w:szCs w:val="14"/>
          <w:color w:val="auto"/>
        </w:rPr>
        <w:t>Borrower has the power and authority to execute and deliver this Amendment and to perform its obligations under the Loan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483235</wp:posOffset>
            </wp:positionV>
            <wp:extent cx="7188200"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515" w:name="page516"/>
    <w:bookmarkEnd w:id="515"/>
    <w:p>
      <w:pPr>
        <w:ind w:right="42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4.3 </w:t>
      </w:r>
      <w:r>
        <w:rPr>
          <w:rFonts w:ascii="Times New Roman" w:cs="Times New Roman" w:eastAsia="Times New Roman" w:hAnsi="Times New Roman"/>
          <w:sz w:val="14"/>
          <w:szCs w:val="14"/>
          <w:color w:val="auto"/>
        </w:rPr>
        <w:t>The organizational documents of Borrower delivered to Bank on the Second Amendment Effective Date remain true, accurate and complete and have not been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supplemented or restated and are and continue to be in full force and effect, except as set forth on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hereto;</w:t>
      </w:r>
    </w:p>
    <w:p>
      <w:pPr>
        <w:spacing w:after="0" w:line="121" w:lineRule="exact"/>
        <w:rPr>
          <w:sz w:val="20"/>
          <w:szCs w:val="20"/>
          <w:color w:val="auto"/>
        </w:rPr>
      </w:pPr>
    </w:p>
    <w:p>
      <w:pPr>
        <w:ind w:right="140" w:firstLine="1151"/>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4.4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duly authorized;</w:t>
      </w:r>
    </w:p>
    <w:p>
      <w:pPr>
        <w:spacing w:after="0" w:line="121" w:lineRule="exact"/>
        <w:rPr>
          <w:sz w:val="20"/>
          <w:szCs w:val="20"/>
          <w:color w:val="auto"/>
        </w:rPr>
      </w:pPr>
    </w:p>
    <w:p>
      <w:pPr>
        <w:ind w:right="14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4.5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and will not contravene (a) any material Applicable Law, (b) any material agreement, (c) any order, judgment or decree of any court or other governmental or public body or authority, or subdivision thereof, binding on Borrower, or (d) the organizational documents of Borrower;</w:t>
      </w:r>
    </w:p>
    <w:p>
      <w:pPr>
        <w:spacing w:after="0" w:line="133" w:lineRule="exact"/>
        <w:rPr>
          <w:sz w:val="20"/>
          <w:szCs w:val="20"/>
          <w:color w:val="auto"/>
        </w:rPr>
      </w:pPr>
    </w:p>
    <w:p>
      <w:pPr>
        <w:ind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4.6 </w:t>
      </w:r>
      <w:r>
        <w:rPr>
          <w:rFonts w:ascii="Times New Roman" w:cs="Times New Roman" w:eastAsia="Times New Roman" w:hAnsi="Times New Roman"/>
          <w:sz w:val="14"/>
          <w:szCs w:val="14"/>
          <w:color w:val="auto"/>
        </w:rPr>
        <w:t>The execution and delivery by Borrower of this Amendment and the performance by Borrower of its obligations under the Loan Agreement, as amended by this Amendment,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33" w:lineRule="exact"/>
        <w:rPr>
          <w:sz w:val="20"/>
          <w:szCs w:val="20"/>
          <w:color w:val="auto"/>
        </w:rPr>
      </w:pPr>
    </w:p>
    <w:p>
      <w:pPr>
        <w:ind w:right="60" w:firstLine="115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4.7 </w:t>
      </w:r>
      <w:r>
        <w:rPr>
          <w:rFonts w:ascii="Times New Roman" w:cs="Times New Roman" w:eastAsia="Times New Roman" w:hAnsi="Times New Roman"/>
          <w:sz w:val="14"/>
          <w:szCs w:val="14"/>
          <w:color w:val="auto"/>
        </w:rPr>
        <w:t>This Amendment has been duly executed and delivered by Borrower and is the binding obligation of Borrower, enforceable against Borrower in accordance with its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such enforceability may be limited by bankruptcy, insolvency, reorganization, liquidation, moratorium or other similar laws of general application relating to or affecting creditors’ rights and by general equitable principles.</w:t>
      </w:r>
    </w:p>
    <w:p>
      <w:pPr>
        <w:spacing w:after="0" w:line="133" w:lineRule="exact"/>
        <w:rPr>
          <w:sz w:val="20"/>
          <w:szCs w:val="20"/>
          <w:color w:val="auto"/>
        </w:rPr>
      </w:pPr>
    </w:p>
    <w:p>
      <w:pPr>
        <w:ind w:right="180" w:firstLine="515"/>
        <w:spacing w:after="0" w:line="262" w:lineRule="auto"/>
        <w:tabs>
          <w:tab w:leader="none" w:pos="651"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Post-Closing Conditions</w:t>
      </w:r>
      <w:r>
        <w:rPr>
          <w:rFonts w:ascii="Times New Roman" w:cs="Times New Roman" w:eastAsia="Times New Roman" w:hAnsi="Times New Roman"/>
          <w:sz w:val="14"/>
          <w:szCs w:val="14"/>
          <w:color w:val="auto"/>
        </w:rPr>
        <w:t>. Borrower shall deliver to Bank within thirty (30) days after the Fourth Amendment Effective Date, (a) evidence satisfactory to Bank that the insurance policies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endorsements required by Section 5.5 of the Loan Agreement are in full force and effect, together with appropriate evidence showing lender loss payable, additional insured, and notice of cancellation endorsements in favor of Bank, and (b) (i) a long-form good standing certificate of Borrower certified by the Secretary of State of the State of Delaware and (ii) a good standing/foreign qualification certificate of Borrower certified by the Secretary of State of the Commonwealth of Massachusetts, in each case dated within 30 days of the Fourth Amendment Effective Date.</w:t>
      </w:r>
    </w:p>
    <w:p>
      <w:pPr>
        <w:spacing w:after="0" w:line="138" w:lineRule="exact"/>
        <w:rPr>
          <w:rFonts w:ascii="Times New Roman" w:cs="Times New Roman" w:eastAsia="Times New Roman" w:hAnsi="Times New Roman"/>
          <w:sz w:val="14"/>
          <w:szCs w:val="14"/>
          <w:b w:val="1"/>
          <w:bCs w:val="1"/>
          <w:color w:val="auto"/>
        </w:rPr>
      </w:pPr>
    </w:p>
    <w:p>
      <w:pPr>
        <w:ind w:right="80" w:firstLine="515"/>
        <w:spacing w:after="0" w:line="262" w:lineRule="auto"/>
        <w:tabs>
          <w:tab w:leader="none" w:pos="651"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Ratification of Perfection Certificate</w:t>
      </w:r>
      <w:r>
        <w:rPr>
          <w:rFonts w:ascii="Times New Roman" w:cs="Times New Roman" w:eastAsia="Times New Roman" w:hAnsi="Times New Roman"/>
          <w:sz w:val="14"/>
          <w:szCs w:val="14"/>
          <w:color w:val="auto"/>
        </w:rPr>
        <w:t>. Borrower hereby ratifies, confirms and reaffirms, all and singular, the terms and disclosures contained in a certain Perfection Certificate dated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April 12, 2022 between Borrower and Bank, as updated pursuant to </w:t>
      </w:r>
      <w:r>
        <w:rPr>
          <w:rFonts w:ascii="Times New Roman" w:cs="Times New Roman" w:eastAsia="Times New Roman" w:hAnsi="Times New Roman"/>
          <w:sz w:val="14"/>
          <w:szCs w:val="14"/>
          <w:b w:val="1"/>
          <w:bCs w:val="1"/>
          <w:u w:val="single" w:color="auto"/>
          <w:color w:val="auto"/>
        </w:rPr>
        <w:t>Schedule 3</w:t>
      </w:r>
      <w:r>
        <w:rPr>
          <w:rFonts w:ascii="Times New Roman" w:cs="Times New Roman" w:eastAsia="Times New Roman" w:hAnsi="Times New Roman"/>
          <w:sz w:val="14"/>
          <w:szCs w:val="14"/>
          <w:color w:val="auto"/>
        </w:rPr>
        <w:t xml:space="preserve"> of the Second Amendment, </w:t>
      </w:r>
      <w:r>
        <w:rPr>
          <w:rFonts w:ascii="Times New Roman" w:cs="Times New Roman" w:eastAsia="Times New Roman" w:hAnsi="Times New Roman"/>
          <w:sz w:val="14"/>
          <w:szCs w:val="14"/>
          <w:b w:val="1"/>
          <w:bCs w:val="1"/>
          <w:u w:val="single" w:color="auto"/>
          <w:color w:val="auto"/>
        </w:rPr>
        <w:t>Schedule I</w:t>
      </w:r>
      <w:r>
        <w:rPr>
          <w:rFonts w:ascii="Times New Roman" w:cs="Times New Roman" w:eastAsia="Times New Roman" w:hAnsi="Times New Roman"/>
          <w:sz w:val="14"/>
          <w:szCs w:val="14"/>
          <w:color w:val="auto"/>
        </w:rPr>
        <w:t xml:space="preserve"> of the Third Amendment, and </w:t>
      </w:r>
      <w:r>
        <w:rPr>
          <w:rFonts w:ascii="Times New Roman" w:cs="Times New Roman" w:eastAsia="Times New Roman" w:hAnsi="Times New Roman"/>
          <w:sz w:val="14"/>
          <w:szCs w:val="14"/>
          <w:b w:val="1"/>
          <w:bCs w:val="1"/>
          <w:u w:val="single" w:color="auto"/>
          <w:color w:val="auto"/>
        </w:rPr>
        <w:t>Schedule 2</w:t>
      </w:r>
      <w:r>
        <w:rPr>
          <w:rFonts w:ascii="Times New Roman" w:cs="Times New Roman" w:eastAsia="Times New Roman" w:hAnsi="Times New Roman"/>
          <w:sz w:val="14"/>
          <w:szCs w:val="14"/>
          <w:color w:val="auto"/>
        </w:rPr>
        <w:t xml:space="preserve"> of the Consent Agreement, and acknowledges, confirms and agrees the disclosures and information Borrower provided to Bank in said Perfection Certificate have not changed, as of the date hereof, except as set forth on </w:t>
      </w:r>
      <w:r>
        <w:rPr>
          <w:rFonts w:ascii="Times New Roman" w:cs="Times New Roman" w:eastAsia="Times New Roman" w:hAnsi="Times New Roman"/>
          <w:sz w:val="14"/>
          <w:szCs w:val="14"/>
          <w:b w:val="1"/>
          <w:bCs w:val="1"/>
          <w:u w:val="single" w:color="auto"/>
          <w:color w:val="auto"/>
        </w:rPr>
        <w:t>Schedule 3</w:t>
      </w:r>
      <w:r>
        <w:rPr>
          <w:rFonts w:ascii="Times New Roman" w:cs="Times New Roman" w:eastAsia="Times New Roman" w:hAnsi="Times New Roman"/>
          <w:sz w:val="14"/>
          <w:szCs w:val="14"/>
          <w:color w:val="auto"/>
        </w:rPr>
        <w:t xml:space="preserve"> hereof.</w:t>
      </w:r>
    </w:p>
    <w:p>
      <w:pPr>
        <w:spacing w:after="0" w:line="138" w:lineRule="exact"/>
        <w:rPr>
          <w:rFonts w:ascii="Times New Roman" w:cs="Times New Roman" w:eastAsia="Times New Roman" w:hAnsi="Times New Roman"/>
          <w:sz w:val="14"/>
          <w:szCs w:val="14"/>
          <w:b w:val="1"/>
          <w:bCs w:val="1"/>
          <w:color w:val="auto"/>
        </w:rPr>
      </w:pPr>
    </w:p>
    <w:p>
      <w:pPr>
        <w:ind w:firstLine="519"/>
        <w:spacing w:after="0" w:line="259" w:lineRule="auto"/>
        <w:tabs>
          <w:tab w:leader="none" w:pos="655"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Fees and Expenses</w:t>
      </w:r>
      <w:r>
        <w:rPr>
          <w:rFonts w:ascii="Times New Roman" w:cs="Times New Roman" w:eastAsia="Times New Roman" w:hAnsi="Times New Roman"/>
          <w:sz w:val="14"/>
          <w:szCs w:val="14"/>
          <w:color w:val="auto"/>
        </w:rPr>
        <w:t>. In addition to the other fees due to Bank under the Loan Documents, in consideration of Bank’s agreements hereunder, Borrower shall pay to Bank a fully earned, non-refundable amendment fee in the amount of $75,000.00 (the “</w:t>
      </w:r>
      <w:r>
        <w:rPr>
          <w:rFonts w:ascii="Times New Roman" w:cs="Times New Roman" w:eastAsia="Times New Roman" w:hAnsi="Times New Roman"/>
          <w:sz w:val="14"/>
          <w:szCs w:val="14"/>
          <w:b w:val="1"/>
          <w:bCs w:val="1"/>
          <w:color w:val="auto"/>
        </w:rPr>
        <w:t>Fourth Amendment Fee</w:t>
      </w:r>
      <w:r>
        <w:rPr>
          <w:rFonts w:ascii="Times New Roman" w:cs="Times New Roman" w:eastAsia="Times New Roman" w:hAnsi="Times New Roman"/>
          <w:sz w:val="14"/>
          <w:szCs w:val="14"/>
          <w:color w:val="auto"/>
        </w:rPr>
        <w:t>”), payment of which shall be deferred until the earliest to occur of (i) at Bank’s option, an Event of Default, (ii) the Term Loan Maturity Date, (iii) the termination of the Loan Agreement, and (iv) the repayment of the Obligations in full. The Fourth Amendment Fee shall constitute a portion of the Obligations and be secured by the Collateral. Borrower shall also reimburse Bank for all unreimbursed Bank Expenses, including without limitation, all reasonable and documented legal fees and expenses incurred in connection with this Amendment.</w:t>
      </w:r>
    </w:p>
    <w:p>
      <w:pPr>
        <w:spacing w:after="0" w:line="140" w:lineRule="exact"/>
        <w:rPr>
          <w:rFonts w:ascii="Times New Roman" w:cs="Times New Roman" w:eastAsia="Times New Roman" w:hAnsi="Times New Roman"/>
          <w:sz w:val="14"/>
          <w:szCs w:val="14"/>
          <w:b w:val="1"/>
          <w:bCs w:val="1"/>
          <w:color w:val="auto"/>
        </w:rPr>
      </w:pPr>
    </w:p>
    <w:p>
      <w:pPr>
        <w:ind w:left="660" w:hanging="145"/>
        <w:spacing w:after="0"/>
        <w:tabs>
          <w:tab w:leader="none" w:pos="660"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w:t>
      </w:r>
      <w:r>
        <w:rPr>
          <w:rFonts w:ascii="Times New Roman" w:cs="Times New Roman" w:eastAsia="Times New Roman" w:hAnsi="Times New Roman"/>
          <w:sz w:val="14"/>
          <w:szCs w:val="14"/>
          <w:color w:val="auto"/>
        </w:rPr>
        <w:t>. This Amendment shall be governed and construed in accordance with the laws of the Commonwealth of Massachusetts, without giving effect to conflicts of laws</w:t>
      </w:r>
    </w:p>
    <w:p>
      <w:pPr>
        <w:spacing w:after="0" w:line="23"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principles.</w:t>
      </w:r>
    </w:p>
    <w:p>
      <w:pPr>
        <w:spacing w:after="0" w:line="158" w:lineRule="exact"/>
        <w:rPr>
          <w:rFonts w:ascii="Times New Roman" w:cs="Times New Roman" w:eastAsia="Times New Roman" w:hAnsi="Times New Roman"/>
          <w:sz w:val="14"/>
          <w:szCs w:val="14"/>
          <w:b w:val="1"/>
          <w:bCs w:val="1"/>
          <w:color w:val="auto"/>
        </w:rPr>
      </w:pPr>
    </w:p>
    <w:p>
      <w:pPr>
        <w:ind w:right="360" w:firstLine="515"/>
        <w:spacing w:after="0" w:line="268" w:lineRule="auto"/>
        <w:tabs>
          <w:tab w:leader="none" w:pos="651"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Integration</w:t>
      </w:r>
      <w:r>
        <w:rPr>
          <w:rFonts w:ascii="Times New Roman" w:cs="Times New Roman" w:eastAsia="Times New Roman" w:hAnsi="Times New Roman"/>
          <w:sz w:val="14"/>
          <w:szCs w:val="14"/>
          <w:color w:val="auto"/>
        </w:rPr>
        <w:t>. This Amendment and the Loan Documents represent the entire agreement about this subject matter and supersede prior negotiations or agreements. All prior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understandings, representations, warranties, and negotiations between the parties about the subject matter of this Amendment and the Loan Documents merge into this Amendment and the Loan Documents.</w:t>
      </w:r>
    </w:p>
    <w:p>
      <w:pPr>
        <w:spacing w:after="0" w:line="133" w:lineRule="exact"/>
        <w:rPr>
          <w:rFonts w:ascii="Times New Roman" w:cs="Times New Roman" w:eastAsia="Times New Roman" w:hAnsi="Times New Roman"/>
          <w:sz w:val="14"/>
          <w:szCs w:val="14"/>
          <w:b w:val="1"/>
          <w:bCs w:val="1"/>
          <w:color w:val="auto"/>
        </w:rPr>
      </w:pPr>
    </w:p>
    <w:p>
      <w:pPr>
        <w:ind w:right="100" w:firstLine="515"/>
        <w:spacing w:after="0" w:line="268" w:lineRule="auto"/>
        <w:tabs>
          <w:tab w:leader="none" w:pos="721"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Counterparts</w:t>
      </w:r>
      <w:r>
        <w:rPr>
          <w:rFonts w:ascii="Times New Roman" w:cs="Times New Roman" w:eastAsia="Times New Roman" w:hAnsi="Times New Roman"/>
          <w:sz w:val="14"/>
          <w:szCs w:val="14"/>
          <w:color w:val="auto"/>
        </w:rPr>
        <w:t>. This Amendment may be executed in any number of counterparts and all of such counterparts taken together shall be deemed to constitute one and the same instrument.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party hereto may execute this Amendment by electronic means and recognizes and accepts the use of electronic signatures and records by any other party hereto in connection with the execution and storage hereof.</w:t>
      </w:r>
    </w:p>
    <w:p>
      <w:pPr>
        <w:spacing w:after="0" w:line="133" w:lineRule="exact"/>
        <w:rPr>
          <w:rFonts w:ascii="Times New Roman" w:cs="Times New Roman" w:eastAsia="Times New Roman" w:hAnsi="Times New Roman"/>
          <w:sz w:val="14"/>
          <w:szCs w:val="14"/>
          <w:b w:val="1"/>
          <w:bCs w:val="1"/>
          <w:color w:val="auto"/>
        </w:rPr>
      </w:pPr>
    </w:p>
    <w:p>
      <w:pPr>
        <w:ind w:left="720" w:hanging="205"/>
        <w:spacing w:after="0"/>
        <w:tabs>
          <w:tab w:leader="none" w:pos="720"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Effectiveness</w:t>
      </w:r>
      <w:r>
        <w:rPr>
          <w:rFonts w:ascii="Times New Roman" w:cs="Times New Roman" w:eastAsia="Times New Roman" w:hAnsi="Times New Roman"/>
          <w:sz w:val="14"/>
          <w:szCs w:val="14"/>
          <w:color w:val="auto"/>
        </w:rPr>
        <w:t>. This Amendment shall be deemed effective as of the due execution and delivery to Bank of this Amendment by each party hereto.</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85" w:right="339" w:bottom="1440" w:gutter="0" w:footer="0" w:header="0"/>
        </w:sectPr>
      </w:pPr>
    </w:p>
    <w:bookmarkStart w:id="516" w:name="page517"/>
    <w:bookmarkEnd w:id="516"/>
    <w:p>
      <w:pPr>
        <w:ind w:right="120" w:firstLine="511"/>
        <w:spacing w:after="0" w:line="286"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4"/>
          <w:szCs w:val="14"/>
          <w:color w:val="auto"/>
        </w:rPr>
        <w:t>, the parties hereto have caused this Amendment to be duly executed and delivered as a sealed instrument under the laws of the Commonwealth of Massachusetts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date first written above.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5400" w:type="dxa"/>
            <w:vAlign w:val="bottom"/>
          </w:tcPr>
          <w:p>
            <w:pPr>
              <w:spacing w:after="0"/>
              <w:rPr>
                <w:sz w:val="16"/>
                <w:szCs w:val="16"/>
                <w:color w:val="auto"/>
              </w:rPr>
            </w:pPr>
          </w:p>
        </w:tc>
        <w:tc>
          <w:tcPr>
            <w:tcW w:w="5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BORROWER</w:t>
            </w:r>
          </w:p>
        </w:tc>
      </w:tr>
      <w:tr>
        <w:trPr>
          <w:trHeight w:val="336"/>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FIRST-CITIZENS BANK &amp; TRUST COMPANY</w:t>
            </w:r>
          </w:p>
        </w:tc>
        <w:tc>
          <w:tcPr>
            <w:tcW w:w="5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PARABILIS MEDICINES, INC.</w:t>
            </w:r>
          </w:p>
        </w:tc>
      </w:tr>
      <w:tr>
        <w:trPr>
          <w:trHeight w:val="33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/s/ Jameson Whiteley</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 Mathai Mammen</w:t>
            </w:r>
          </w:p>
        </w:tc>
      </w:tr>
      <w:tr>
        <w:trPr>
          <w:trHeight w:val="144"/>
        </w:trPr>
        <w:tc>
          <w:tcPr>
            <w:tcW w:w="6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54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Jameson Whiteley</w:t>
            </w:r>
          </w:p>
        </w:tc>
        <w:tc>
          <w:tcPr>
            <w:tcW w:w="8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00" w:type="dxa"/>
            <w:vAlign w:val="bottom"/>
          </w:tcPr>
          <w:p>
            <w:pPr>
              <w:spacing w:after="0"/>
              <w:rPr>
                <w:sz w:val="12"/>
                <w:szCs w:val="12"/>
                <w:color w:val="auto"/>
              </w:rPr>
            </w:pPr>
          </w:p>
        </w:tc>
        <w:tc>
          <w:tcPr>
            <w:tcW w:w="42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Mathai Mammen</w:t>
            </w:r>
          </w:p>
        </w:tc>
      </w:tr>
      <w:tr>
        <w:trPr>
          <w:trHeight w:val="18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Title:</w:t>
            </w: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CEO, President and Chairman</w:t>
            </w:r>
          </w:p>
        </w:tc>
      </w:tr>
      <w:tr>
        <w:trPr>
          <w:trHeight w:val="768"/>
        </w:trPr>
        <w:tc>
          <w:tcPr>
            <w:tcW w:w="6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517" w:name="page518"/>
    <w:bookmarkEnd w:id="517"/>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LSA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3180" cy="6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258318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1.1.1(a) – 2022 Term Loan – Availability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1.1.1(b) – 2022 Term Loan –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1.2(a) – Interest Payments – 2022 Term Loan Advance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1.2(b)(i) – Interest Rate – 2022 Term Loan Advance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1.2(e) – Interest Computation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12.2 – “2024 Interest Only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Extension Event #1”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12.2 – “2024 Interest Only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Extension Event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12.2 – “2022 Repayment Schedule”</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Times New Roman" w:cs="Times New Roman" w:eastAsia="Times New Roman" w:hAnsi="Times New Roman"/>
          <w:sz w:val="14"/>
          <w:szCs w:val="14"/>
          <w:b w:val="1"/>
          <w:bCs w:val="1"/>
          <w:u w:val="single" w:color="auto"/>
          <w:color w:val="auto"/>
        </w:rPr>
        <w:t>Schedule 1</w:t>
      </w:r>
    </w:p>
    <w:p>
      <w:pPr>
        <w:spacing w:after="0" w:line="24"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4"/>
          <w:szCs w:val="14"/>
          <w:b w:val="1"/>
          <w:bCs w:val="1"/>
          <w:u w:val="single" w:color="auto"/>
          <w:color w:val="auto"/>
        </w:rPr>
        <w:t>SCHEDULE I</w:t>
      </w:r>
    </w:p>
    <w:p>
      <w:pPr>
        <w:spacing w:after="0" w:line="7"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4"/>
          <w:szCs w:val="14"/>
          <w:b w:val="1"/>
          <w:bCs w:val="1"/>
          <w:u w:val="single" w:color="auto"/>
          <w:color w:val="auto"/>
        </w:rPr>
        <w:t>LSA PROVISIONS</w:t>
      </w:r>
    </w:p>
    <w:p>
      <w:pPr>
        <w:spacing w:after="0" w:line="17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1"/>
          <w:szCs w:val="11"/>
          <w:b w:val="1"/>
          <w:bCs w:val="1"/>
          <w:color w:val="auto"/>
        </w:rPr>
        <w:t>LSA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5080</wp:posOffset>
            </wp:positionV>
            <wp:extent cx="4505960" cy="6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After repayment, the 2022 Term Loan Advance (or any portion thereof) may not be reborrowed.</w:t>
      </w:r>
    </w:p>
    <w:p>
      <w:pPr>
        <w:spacing w:after="0" w:line="65" w:lineRule="exact"/>
        <w:rPr>
          <w:sz w:val="20"/>
          <w:szCs w:val="20"/>
          <w:color w:val="auto"/>
        </w:rPr>
      </w:pPr>
    </w:p>
    <w:p>
      <w:pPr>
        <w:ind w:left="40" w:right="20"/>
        <w:spacing w:after="0" w:line="267" w:lineRule="auto"/>
        <w:rPr>
          <w:sz w:val="20"/>
          <w:szCs w:val="20"/>
          <w:color w:val="auto"/>
        </w:rPr>
      </w:pPr>
      <w:r>
        <w:rPr>
          <w:rFonts w:ascii="Times New Roman" w:cs="Times New Roman" w:eastAsia="Times New Roman" w:hAnsi="Times New Roman"/>
          <w:sz w:val="14"/>
          <w:szCs w:val="14"/>
          <w:color w:val="auto"/>
        </w:rPr>
        <w:t>Commencing on the 2022 Term Loan Amortization Date and continuing on each Payment Date thereafter, Borrower shall repay the 2022 Term Loan Advance in (i) consecutive equal monthly installment(s) of principal based on the applicable 2022 Repayment Schedule, plus (ii) monthly payments of accrued but unpaid interest at the rate set forth in Section 1.2(b)(i).</w:t>
      </w:r>
    </w:p>
    <w:p>
      <w:pPr>
        <w:spacing w:after="0" w:line="62" w:lineRule="exact"/>
        <w:rPr>
          <w:sz w:val="20"/>
          <w:szCs w:val="20"/>
          <w:color w:val="auto"/>
        </w:rPr>
      </w:pPr>
    </w:p>
    <w:p>
      <w:pPr>
        <w:jc w:val="both"/>
        <w:ind w:left="40" w:right="140"/>
        <w:spacing w:after="0" w:line="267" w:lineRule="auto"/>
        <w:rPr>
          <w:sz w:val="20"/>
          <w:szCs w:val="20"/>
          <w:color w:val="auto"/>
        </w:rPr>
      </w:pPr>
      <w:r>
        <w:rPr>
          <w:rFonts w:ascii="Times New Roman" w:cs="Times New Roman" w:eastAsia="Times New Roman" w:hAnsi="Times New Roman"/>
          <w:sz w:val="14"/>
          <w:szCs w:val="14"/>
          <w:color w:val="auto"/>
        </w:rPr>
        <w:t>Notwithstanding the foregoing, if the 2024 Interest Only Extension Event #1 does not occur on or prior to March 31, 2025, then Borrower shall make a payment to Bank on April 1, 2025 (in addition to and not a substitution for the regular monthly payment of principal plus accrued but unpaid interest due on such date) in an amount equal to $3,125,000.00.</w:t>
      </w:r>
    </w:p>
    <w:p>
      <w:pPr>
        <w:spacing w:after="0" w:line="41" w:lineRule="exact"/>
        <w:rPr>
          <w:sz w:val="20"/>
          <w:szCs w:val="20"/>
          <w:color w:val="auto"/>
        </w:rPr>
      </w:pPr>
    </w:p>
    <w:p>
      <w:pPr>
        <w:ind w:left="40" w:right="140"/>
        <w:spacing w:after="0" w:line="267" w:lineRule="auto"/>
        <w:rPr>
          <w:sz w:val="20"/>
          <w:szCs w:val="20"/>
          <w:color w:val="auto"/>
        </w:rPr>
      </w:pPr>
      <w:r>
        <w:rPr>
          <w:rFonts w:ascii="Times New Roman" w:cs="Times New Roman" w:eastAsia="Times New Roman" w:hAnsi="Times New Roman"/>
          <w:sz w:val="14"/>
          <w:szCs w:val="14"/>
          <w:color w:val="auto"/>
        </w:rPr>
        <w:t>Interest on the outstanding principal amount of the 2022 Term Loan Advance is payable in arrears (A) monthly on each Payment Date commencing on the first Payment Date following the Funding Date of the 2022 Term Loan Advance, (B) on the date of any prepayment and (C) on the 2022 Term Loan Maturity Date.</w:t>
      </w:r>
    </w:p>
    <w:p>
      <w:pPr>
        <w:spacing w:after="0" w:line="41" w:lineRule="exact"/>
        <w:rPr>
          <w:sz w:val="20"/>
          <w:szCs w:val="20"/>
          <w:color w:val="auto"/>
        </w:rPr>
      </w:pPr>
    </w:p>
    <w:p>
      <w:pPr>
        <w:ind w:left="40" w:right="80"/>
        <w:spacing w:after="0" w:line="267" w:lineRule="auto"/>
        <w:rPr>
          <w:sz w:val="20"/>
          <w:szCs w:val="20"/>
          <w:color w:val="auto"/>
        </w:rPr>
      </w:pPr>
      <w:r>
        <w:rPr>
          <w:rFonts w:ascii="Times New Roman" w:cs="Times New Roman" w:eastAsia="Times New Roman" w:hAnsi="Times New Roman"/>
          <w:sz w:val="14"/>
          <w:szCs w:val="14"/>
          <w:color w:val="auto"/>
        </w:rPr>
        <w:t>The outstanding principal amount of the 2022 Term Loan Advance shall accrue interest at a floating rate per annum equal to the greater of (1) 6.75% and (2) the Prime Rate plus the Prime Rate Margin (provided that the interest rate under Section 1.2(b)(i) shall never exceed (6.75%)), which interest shall be payable in accordance with Section 1.2(a).</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shall be computed on the basis of the actual number of days elapsed and a 360-day year.</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“2024 Interest Only Extension Event #1” occurs when Borrower has delivered evidence to Bank, on or prior to March 31, 2025, satisfactory to Bank in its commercially reasonable discretion, that Borrower has received, after the Fourth Amendment Effective Date but on or before March 31, 2025, unrestricted and unencumbered (other than Bank’s Lien under this Agreement) net cash proceeds from its Series E financing in an aggregate amount of at least $67,000,000.00.</w:t>
      </w:r>
    </w:p>
    <w:p>
      <w:pPr>
        <w:spacing w:after="0" w:line="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“2024 Interest Only Extension Event #2” occurs when (i) the 2024 Interest Only Extension Event #1 has occurred and (ii) Borrower has delivered evidence to Bank, on or prior to October 31, 2025, satisfactory to Bank in its commercially reasonable discretion, that Borrower has received, after the Fourth Amendment Effective Date but on or before October 31, 2025, unrestricted and unencumbered (other than Bank’s Lien under this Agreement) net cash proceeds in an aggregate amount of at least $150,000,000.00 from (A) the issuance and sale by Borrower of its equity securities to investors reasonably satisfactory to Bank (exclusive of any proceeds received in connection with 2024 Interest Only Extension Event #1) and/or (B) upfront cash payments from outbound license agreements or partnership agreements, in each case, in a form and substance reasonably acceptable to Bank in all respects.</w:t>
      </w:r>
    </w:p>
    <w:p>
      <w:pPr>
        <w:spacing w:after="0" w:line="4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2022 Repayment Schedule</w:t>
      </w:r>
      <w:r>
        <w:rPr>
          <w:rFonts w:ascii="Times New Roman" w:cs="Times New Roman" w:eastAsia="Times New Roman" w:hAnsi="Times New Roman"/>
          <w:sz w:val="14"/>
          <w:szCs w:val="14"/>
          <w:color w:val="auto"/>
        </w:rPr>
        <w:t>” means the period of time equal to 19 consecutive calendar months, which period of time shall be reduced to 12 consecutive calendar months upon the occurrence of 2024 Interest Only Extension Event #1, which shall be further reduced to one (1) payment of all outstanding principal and accrued and unpaid interest, and all other outstanding Obligations, upon the occurrence of 2024 Interest Only Extension Event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506095</wp:posOffset>
            </wp:positionV>
            <wp:extent cx="7188200"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2">
            <w:col w:w="3420" w:space="720"/>
            <w:col w:w="7100"/>
          </w:cols>
          <w:pgMar w:left="300" w:top="817" w:right="359" w:bottom="1440" w:gutter="0" w:footer="0" w:header="0"/>
        </w:sectPr>
      </w:pPr>
    </w:p>
    <w:bookmarkStart w:id="518" w:name="page519"/>
    <w:bookmarkEnd w:id="518"/>
    <w:tbl>
      <w:tblPr>
        <w:tblLayout w:type="fixed"/>
        <w:tblInd w:w="0" w:type="dxa"/>
        <w:tblCellMar>
          <w:top w:w="0" w:type="dxa"/>
          <w:left w:w="0" w:type="dxa"/>
          <w:bottom w:w="0" w:type="dxa"/>
          <w:right w:w="0" w:type="dxa"/>
        </w:tblCellMar>
      </w:tblPr>
      <w:tr>
        <w:trPr>
          <w:trHeight w:val="185"/>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Availability Amount”</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2022 Term Loan Availability Amount</w:t>
            </w:r>
            <w:r>
              <w:rPr>
                <w:rFonts w:ascii="Times New Roman" w:cs="Times New Roman" w:eastAsia="Times New Roman" w:hAnsi="Times New Roman"/>
                <w:sz w:val="14"/>
                <w:szCs w:val="14"/>
                <w:color w:val="auto"/>
              </w:rPr>
              <w:t>” is an original principal amount equal to $15,000,000.00.</w:t>
            </w:r>
          </w:p>
        </w:tc>
      </w:tr>
      <w:tr>
        <w:trPr>
          <w:trHeight w:val="227"/>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Amortization Date”</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2022 Term Loan Amortization Date</w:t>
            </w:r>
            <w:r>
              <w:rPr>
                <w:rFonts w:ascii="Times New Roman" w:cs="Times New Roman" w:eastAsia="Times New Roman" w:hAnsi="Times New Roman"/>
                <w:sz w:val="14"/>
                <w:szCs w:val="14"/>
                <w:color w:val="auto"/>
              </w:rPr>
              <w:t>” is, for the 2022 Term Loan Advance, April 1, 2025, which shall be extended to</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November 1, 2025 upon the occurrence of 2024 Interest Only Extension Event #1, which shall be further extended to the 2022</w:t>
            </w:r>
          </w:p>
        </w:tc>
      </w:tr>
      <w:tr>
        <w:trPr>
          <w:trHeight w:val="183"/>
        </w:trPr>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Term Loan Maturity Date upon the occurrence of 2024 Interest Only Extension Event #2.</w:t>
            </w:r>
          </w:p>
        </w:tc>
      </w:tr>
      <w:tr>
        <w:trPr>
          <w:trHeight w:val="24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“2022 Term Loan Maturity Date”</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2022 Term Loan Maturity Date</w:t>
            </w:r>
            <w:r>
              <w:rPr>
                <w:rFonts w:ascii="Times New Roman" w:cs="Times New Roman" w:eastAsia="Times New Roman" w:hAnsi="Times New Roman"/>
                <w:sz w:val="14"/>
                <w:szCs w:val="14"/>
                <w:color w:val="auto"/>
              </w:rPr>
              <w:t>” is October 1, 2026.</w:t>
            </w:r>
          </w:p>
        </w:tc>
      </w:tr>
      <w:tr>
        <w:trPr>
          <w:trHeight w:val="24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“Borrower”</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PARABILIS MEDICINES, INC.</w:t>
            </w:r>
            <w:r>
              <w:rPr>
                <w:rFonts w:ascii="Times New Roman" w:cs="Times New Roman" w:eastAsia="Times New Roman" w:hAnsi="Times New Roman"/>
                <w:sz w:val="14"/>
                <w:szCs w:val="14"/>
                <w:color w:val="auto"/>
              </w:rPr>
              <w:t>, a Delaware corporation.</w:t>
            </w:r>
          </w:p>
        </w:tc>
      </w:tr>
      <w:tr>
        <w:trPr>
          <w:trHeight w:val="24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“Effective Date”</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is September 21, 2021.</w:t>
            </w:r>
          </w:p>
        </w:tc>
      </w:tr>
      <w:tr>
        <w:trPr>
          <w:trHeight w:val="24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“Payment Date”</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Payment Date</w:t>
            </w:r>
            <w:r>
              <w:rPr>
                <w:rFonts w:ascii="Times New Roman" w:cs="Times New Roman" w:eastAsia="Times New Roman" w:hAnsi="Times New Roman"/>
                <w:sz w:val="14"/>
                <w:szCs w:val="14"/>
                <w:color w:val="auto"/>
              </w:rPr>
              <w:t>” is the first (1st) calendar day of each month.</w:t>
            </w:r>
          </w:p>
        </w:tc>
      </w:tr>
      <w:tr>
        <w:trPr>
          <w:trHeight w:val="227"/>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“Prime Rate”</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Prime Rate</w:t>
            </w:r>
            <w:r>
              <w:rPr>
                <w:rFonts w:ascii="Times New Roman" w:cs="Times New Roman" w:eastAsia="Times New Roman" w:hAnsi="Times New Roman"/>
                <w:sz w:val="14"/>
                <w:szCs w:val="14"/>
                <w:color w:val="auto"/>
              </w:rPr>
              <w:t>” is the rate of interest per annum from time to time published in the money rates section of The Wall Street</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Journal or any successor publication thereto as the “prime rate” then in effect; provided that if such rate of interest, as set forth</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from time to time in the money rates section of The Wall Street Journal, becomes unavailable for any reason as determined by</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Bank, the “Prime Rate” shall mean the rate of interest per annum announced by Bank as its prime rate in effect at its principal</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office in the State of California (such Bank announced Prime Rate not being intended to be the lowest rate of interest charged</w:t>
            </w:r>
          </w:p>
        </w:tc>
      </w:tr>
      <w:tr>
        <w:trPr>
          <w:trHeight w:val="168"/>
        </w:trPr>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by Bank in connection with extensions of credit to debtors); provided that, in the event such rate of interest is less than zero</w:t>
            </w:r>
          </w:p>
        </w:tc>
      </w:tr>
      <w:tr>
        <w:trPr>
          <w:trHeight w:val="183"/>
        </w:trPr>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percent (0.0%) per annum, such rate shall be deemed to be zero percent (0.0%) per annum for purposes of this Agreement.</w:t>
            </w:r>
          </w:p>
        </w:tc>
      </w:tr>
      <w:tr>
        <w:trPr>
          <w:trHeight w:val="242"/>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12.2</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“Prime Rate Margin”</w:t>
            </w:r>
          </w:p>
        </w:tc>
        <w:tc>
          <w:tcPr>
            <w:tcW w:w="7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Prime Rate Margin</w:t>
            </w:r>
            <w:r>
              <w:rPr>
                <w:rFonts w:ascii="Times New Roman" w:cs="Times New Roman" w:eastAsia="Times New Roman" w:hAnsi="Times New Roman"/>
                <w:sz w:val="14"/>
                <w:szCs w:val="14"/>
                <w:color w:val="auto"/>
              </w:rPr>
              <w:t>” is one-half of one percent (0.50%).</w:t>
            </w:r>
          </w:p>
        </w:tc>
      </w:tr>
      <w:tr>
        <w:trPr>
          <w:trHeight w:val="1084"/>
        </w:trPr>
        <w:tc>
          <w:tcPr>
            <w:tcW w:w="2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519" w:name="page520"/>
    <w:bookmarkEnd w:id="519"/>
    <w:p>
      <w:pPr>
        <w:jc w:val="right"/>
        <w:spacing w:after="0"/>
        <w:rPr>
          <w:sz w:val="20"/>
          <w:szCs w:val="20"/>
          <w:color w:val="auto"/>
        </w:rPr>
      </w:pPr>
      <w:r>
        <w:rPr>
          <w:rFonts w:ascii="Times New Roman" w:cs="Times New Roman" w:eastAsia="Times New Roman" w:hAnsi="Times New Roman"/>
          <w:sz w:val="14"/>
          <w:szCs w:val="14"/>
          <w:b w:val="1"/>
          <w:bCs w:val="1"/>
          <w:color w:val="auto"/>
        </w:rPr>
        <w:t>Exhibit 10.11</w:t>
      </w:r>
    </w:p>
    <w:p>
      <w:pPr>
        <w:spacing w:after="0" w:line="3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LEASE</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OF PREMISES AT CAMBRIDGE DISCOVERY PARK</w:t>
      </w:r>
    </w:p>
    <w:p>
      <w:pPr>
        <w:spacing w:after="0" w:line="18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CAMBRIDGE, MASSACHUSETTS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FROM</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400 DISCOVERY PARK, LLC</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FOG PHARMACEUTICALS, INC.</w:t>
      </w:r>
    </w:p>
    <w:p>
      <w:pPr>
        <w:spacing w:after="0" w:line="17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APRIL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3093085</wp:posOffset>
            </wp:positionV>
            <wp:extent cx="7188200"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194945</wp:posOffset>
            </wp:positionV>
            <wp:extent cx="4251960" cy="21291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4251960" cy="2129155"/>
                    </a:xfrm>
                    <a:prstGeom prst="rect">
                      <a:avLst/>
                    </a:prstGeom>
                    <a:noFill/>
                  </pic:spPr>
                </pic:pic>
              </a:graphicData>
            </a:graphic>
          </wp:anchor>
        </w:drawing>
      </w:r>
    </w:p>
    <w:p>
      <w:pPr>
        <w:sectPr>
          <w:pgSz w:w="11900" w:h="16838" w:orient="portrait"/>
          <w:cols w:equalWidth="0" w:num="1">
            <w:col w:w="10100"/>
          </w:cols>
          <w:pgMar w:left="1440" w:top="628" w:right="359" w:bottom="1440" w:gutter="0" w:footer="0" w:header="0"/>
        </w:sectPr>
      </w:pPr>
    </w:p>
    <w:bookmarkStart w:id="520" w:name="page521"/>
    <w:bookmarkEnd w:id="520"/>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6400" w:type="dxa"/>
            <w:vAlign w:val="bottom"/>
            <w:gridSpan w:val="3"/>
          </w:tcPr>
          <w:p>
            <w:pPr>
              <w:jc w:val="right"/>
              <w:ind w:right="4837"/>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0" w:type="dxa"/>
            <w:vAlign w:val="bottom"/>
          </w:tcPr>
          <w:p>
            <w:pPr>
              <w:spacing w:after="0"/>
              <w:rPr>
                <w:sz w:val="1"/>
                <w:szCs w:val="1"/>
                <w:color w:val="auto"/>
              </w:rPr>
            </w:pPr>
          </w:p>
        </w:tc>
      </w:tr>
      <w:tr>
        <w:trPr>
          <w:trHeight w:val="316"/>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SUMMARY OF BASIC TERMS</w:t>
            </w:r>
          </w:p>
        </w:tc>
        <w:tc>
          <w:tcPr>
            <w:tcW w:w="15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iv</w:t>
            </w:r>
          </w:p>
        </w:tc>
        <w:tc>
          <w:tcPr>
            <w:tcW w:w="0" w:type="dxa"/>
            <w:vAlign w:val="bottom"/>
          </w:tcPr>
          <w:p>
            <w:pPr>
              <w:spacing w:after="0"/>
              <w:rPr>
                <w:sz w:val="1"/>
                <w:szCs w:val="1"/>
                <w:color w:val="auto"/>
              </w:rPr>
            </w:pPr>
          </w:p>
        </w:tc>
      </w:tr>
      <w:tr>
        <w:trPr>
          <w:trHeight w:val="320"/>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I</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336"/>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II LEASE OF PREMISES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2.1 Lease Of The Premises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2.2 Common Rights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2.3 Parking</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2.4 Lease Term</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2.5 Security Deposit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2.6 Measurement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2.7 Right of First Offer</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6"/>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Section 2.8 Lease Amendment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III CONDITION OF PREMISES; SIGNS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3.1 Base Building Work; Tenant’s Work; Rooftop Equipment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3.2 Allowance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3.3 Signs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3.4 Rooftop Equipment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3.5 Use of Union Labor</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6"/>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3.6 LEED Certification</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IV BASE RENT; ADDITIONAL RENT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4.1 Base Rent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4.2 Certain Additional Rent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4.3 Taxes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4.4 Insurance Costs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4.5 Operating Costs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4.6 Tenant’s Utility Costs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6"/>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4.7 Tenant’s Audit Rights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V USE OF PREMISES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5.1 Permitted Use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5.2 Restrictions on Use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5.3 Hazardous Materials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6"/>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5.4 Tenant’s Operation of A Vivarium</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VI LANDLORD’S SERVICES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6.1 Landlord’s Services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6.2 Extraordinary Use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6.3 Interruption; Delay</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6"/>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6.4 Additional Services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VII</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322"/>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 Rent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7.2 Utilities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7.3 No Waste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7.4 Maintenance; Repairs; and Yield-Up; Decommissioning</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7.5 Alterations by Tenant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7.6 Trade Fixtures and Equipment</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7.7 Compliance with Laws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7.8 Contents at Tenant’s Risk</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7.9 Exoneration, Indemnification, Hold Harmless and Insurance</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7.10 Landlord’s Access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7.11 No Liens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7.12 Compliance with Rules and Regulations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779"/>
        </w:trPr>
        <w:tc>
          <w:tcPr>
            <w:tcW w:w="4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135"/>
        </w:trPr>
        <w:tc>
          <w:tcPr>
            <w:tcW w:w="105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Section 7.13 Further Construction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2"/>
        </w:trPr>
        <w:tc>
          <w:tcPr>
            <w:tcW w:w="1054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VIII SUBLETTING AND ASSIGNMENT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20"/>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8.1 Subletting and Assignment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IX RIGHTS OF MORTGAGEES AND GROUND LESSORS; ESTOPPEL CERTIFICATES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22"/>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9.1 Subordination to Mortgages and Ground Leases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9.2 Lease Superior at Mortgagee’s or Ground Lessor’s Election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9.3 Notice to Mortgagee and Ground Lessor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9.4 Limitations on Obligations of Mortgagees, Ground Lessors and Successors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9.5 Estoppel Certificate By Tenant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6"/>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9.6 Amendment of Declaration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X CASUALTY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22"/>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10.1 Damage From Casualty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10.2 Abatement of Rent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6"/>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10.3 Landlord’s Right to Terminate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XI EMINENT DOMAIN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22"/>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11.1 Eminent Domain; Right to Terminate and Abatement in Rent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11.2 Restoration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6"/>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11.3 ,3 Landlord to Control Eminent Domain Action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XII DEFAULT AND REMEDIES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22"/>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12.1 Event of Default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12.2 Landlord’s Remedies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12.3 Reimbursement of Landlord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12.4 Landlord’s Right to Perform Tenant’s Covenants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12.5 Cumulative Remedies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12.6 Expenses of Enforcement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12.7 Landlord’s Default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12.8 Limitation of Landlord’s Liability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6"/>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12.9 Late Payment and Administrative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XIII MISCELLANEOUS PROVISIONS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22"/>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 Brokers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13.2 Quiet Enjoyment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13.3 Tenant’s Request for Landlord’s Action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13.4 Notices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13.5 Waiver of Subrogation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13.6 Entire Agreement; Execution; Time of the Essence and Headings and Table of Contents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13.7 Partial Invalidity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13.8 No Waiver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13.9 Holdover</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13.10 When Lease Becomes Binding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13.11 Recordation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13.12 Financial Statements; Certain Representations and Warranties of Tenant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13.13 Confidentiality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6"/>
        </w:trPr>
        <w:tc>
          <w:tcPr>
            <w:tcW w:w="105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13.14 Summary of Basic Terms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5"/>
        </w:trPr>
        <w:tc>
          <w:tcPr>
            <w:tcW w:w="10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XIV BUILDING 100 LEASE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0" w:type="dxa"/>
            <w:vAlign w:val="bottom"/>
          </w:tcPr>
          <w:p>
            <w:pPr>
              <w:spacing w:after="0"/>
              <w:rPr>
                <w:sz w:val="1"/>
                <w:szCs w:val="1"/>
                <w:color w:val="auto"/>
              </w:rPr>
            </w:pPr>
          </w:p>
        </w:tc>
      </w:tr>
      <w:tr>
        <w:trPr>
          <w:trHeight w:val="779"/>
        </w:trPr>
        <w:tc>
          <w:tcPr>
            <w:tcW w:w="10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4"/>
          <w:szCs w:val="14"/>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 – 1</w:t>
            </w: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Property Description (Project)</w:t>
            </w:r>
          </w:p>
        </w:tc>
      </w:t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 – 2</w:t>
            </w: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w w:val="99"/>
              </w:rPr>
              <w:t>Property Description (Parcel 400 and Parcel 5</w:t>
            </w:r>
          </w:p>
        </w:tc>
      </w:tr>
      <w:tr>
        <w:trPr>
          <w:trHeight w:val="20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B-1</w:t>
            </w: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Survey Showing Parcel Boundaries</w:t>
            </w:r>
          </w:p>
        </w:tc>
      </w:tr>
      <w:tr>
        <w:trPr>
          <w:trHeight w:val="20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B-2</w:t>
            </w: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Site Plan Showing Footprint of the Building</w:t>
            </w:r>
          </w:p>
        </w:tc>
      </w:tr>
    </w:tbl>
    <w:p>
      <w:pPr>
        <w:spacing w:after="0" w:line="17" w:lineRule="exact"/>
        <w:rPr>
          <w:sz w:val="20"/>
          <w:szCs w:val="20"/>
          <w:color w:val="auto"/>
        </w:rPr>
      </w:pPr>
    </w:p>
    <w:p>
      <w:pPr>
        <w:ind w:left="800" w:hanging="796"/>
        <w:spacing w:after="0"/>
        <w:tabs>
          <w:tab w:leader="none" w:pos="80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Premises Floor Plan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D-1</w:t>
            </w:r>
          </w:p>
        </w:tc>
        <w:tc>
          <w:tcPr>
            <w:tcW w:w="2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List of Base Building Plans</w:t>
            </w:r>
          </w:p>
        </w:tc>
      </w:tr>
      <w:tr>
        <w:trPr>
          <w:trHeight w:val="20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D-2</w:t>
            </w:r>
          </w:p>
        </w:tc>
        <w:tc>
          <w:tcPr>
            <w:tcW w:w="244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General Description of Tenant’s Work</w:t>
            </w:r>
          </w:p>
        </w:tc>
      </w:tr>
    </w:tbl>
    <w:p>
      <w:pPr>
        <w:spacing w:after="0" w:line="17" w:lineRule="exact"/>
        <w:rPr>
          <w:sz w:val="20"/>
          <w:szCs w:val="20"/>
          <w:color w:val="auto"/>
        </w:rPr>
      </w:pPr>
    </w:p>
    <w:p>
      <w:pPr>
        <w:ind w:left="800" w:hanging="796"/>
        <w:spacing w:after="0"/>
        <w:tabs>
          <w:tab w:leader="none" w:pos="80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and Regulations</w:t>
      </w:r>
    </w:p>
    <w:p>
      <w:pPr>
        <w:spacing w:after="0" w:line="39" w:lineRule="exact"/>
        <w:rPr>
          <w:sz w:val="20"/>
          <w:szCs w:val="20"/>
          <w:color w:val="auto"/>
        </w:rPr>
      </w:pPr>
    </w:p>
    <w:p>
      <w:pPr>
        <w:ind w:left="800" w:hanging="796"/>
        <w:spacing w:after="0"/>
        <w:tabs>
          <w:tab w:leader="none" w:pos="80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Letter of Credit</w:t>
      </w:r>
    </w:p>
    <w:p>
      <w:pPr>
        <w:spacing w:after="0" w:line="39" w:lineRule="exact"/>
        <w:rPr>
          <w:sz w:val="20"/>
          <w:szCs w:val="20"/>
          <w:color w:val="auto"/>
        </w:rPr>
      </w:pPr>
    </w:p>
    <w:p>
      <w:pPr>
        <w:ind w:left="800" w:hanging="796"/>
        <w:spacing w:after="0"/>
        <w:tabs>
          <w:tab w:leader="none" w:pos="80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Secretary’s Certificate</w:t>
      </w:r>
    </w:p>
    <w:p>
      <w:pPr>
        <w:spacing w:after="0" w:line="39" w:lineRule="exact"/>
        <w:rPr>
          <w:sz w:val="20"/>
          <w:szCs w:val="20"/>
          <w:color w:val="auto"/>
        </w:rPr>
      </w:pPr>
    </w:p>
    <w:p>
      <w:pPr>
        <w:ind w:left="800" w:hanging="796"/>
        <w:spacing w:after="0"/>
        <w:tabs>
          <w:tab w:leader="none" w:pos="80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Insurance</w:t>
      </w:r>
    </w:p>
    <w:p>
      <w:pPr>
        <w:spacing w:after="0" w:line="39" w:lineRule="exact"/>
        <w:rPr>
          <w:sz w:val="20"/>
          <w:szCs w:val="20"/>
          <w:color w:val="auto"/>
        </w:rPr>
      </w:pPr>
    </w:p>
    <w:p>
      <w:pPr>
        <w:ind w:left="800" w:hanging="796"/>
        <w:spacing w:after="0"/>
        <w:tabs>
          <w:tab w:leader="none" w:pos="80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Funds Transfer (EFT) Form</w:t>
      </w:r>
    </w:p>
    <w:p>
      <w:pPr>
        <w:spacing w:after="0" w:line="39" w:lineRule="exact"/>
        <w:rPr>
          <w:sz w:val="20"/>
          <w:szCs w:val="20"/>
          <w:color w:val="auto"/>
        </w:rPr>
      </w:pPr>
    </w:p>
    <w:p>
      <w:pPr>
        <w:ind w:left="800" w:hanging="796"/>
        <w:spacing w:after="0"/>
        <w:tabs>
          <w:tab w:leader="none" w:pos="80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Intentionally Omitted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K-1</w:t>
            </w: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Prohibited Hazardous Materials</w:t>
            </w:r>
          </w:p>
        </w:tc>
      </w:tr>
      <w:tr>
        <w:trPr>
          <w:trHeight w:val="20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K-2</w:t>
            </w:r>
          </w:p>
        </w:tc>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Hazardous Materials Requiring Prior Notice to Landlord</w:t>
            </w:r>
          </w:p>
        </w:tc>
      </w:tr>
    </w:tbl>
    <w:p>
      <w:pPr>
        <w:spacing w:after="0" w:line="17" w:lineRule="exact"/>
        <w:rPr>
          <w:sz w:val="20"/>
          <w:szCs w:val="20"/>
          <w:color w:val="auto"/>
        </w:rPr>
      </w:pPr>
    </w:p>
    <w:p>
      <w:pPr>
        <w:ind w:left="800" w:hanging="796"/>
        <w:spacing w:after="0"/>
        <w:tabs>
          <w:tab w:leader="none" w:pos="80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Mechanical Penthouse Mezzanine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675640</wp:posOffset>
            </wp:positionV>
            <wp:extent cx="7188200"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976" w:right="1440" w:bottom="1440" w:gutter="0" w:footer="0" w:header="0"/>
        </w:sectPr>
      </w:pPr>
    </w:p>
    <w:bookmarkStart w:id="523" w:name="page524"/>
    <w:bookmarkEnd w:id="52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 OF BASIC TERMS</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LEASE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PREMISES AT CAMBRIDGE DISCOVERY PARK,</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CAMBRIDGE, MASSACHUSETTS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FOG PHARMACEUTICALS, INC.</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DATED AS OF April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62800"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7162800" cy="6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6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The following is a summary of certain basic terms of this Lease which is intended for the convenience and reference of the parties. Capitalized terms used, but not defined, in this Summary of Basic Terms, have their defined meanings in this Lease. In addition, some of the following items or terms are incorporated into this Lease by reference to the item or term or to this “Summary of Basic Terms”.</w:t>
      </w:r>
    </w:p>
    <w:p>
      <w:pPr>
        <w:spacing w:after="0" w:line="136" w:lineRule="exact"/>
        <w:rPr>
          <w:sz w:val="20"/>
          <w:szCs w:val="20"/>
          <w:color w:val="auto"/>
        </w:rPr>
      </w:pPr>
    </w:p>
    <w:p>
      <w:pPr>
        <w:ind w:left="280" w:hanging="276"/>
        <w:spacing w:after="0"/>
        <w:tabs>
          <w:tab w:leader="none" w:pos="28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400 Discovery Park, LLC, a Delaware limited liability company.</w:t>
      </w:r>
    </w:p>
    <w:p>
      <w:pPr>
        <w:spacing w:after="0" w:line="175"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 Fog Pharmaceuticals, Inc., a Delaware corporation.</w:t>
      </w:r>
    </w:p>
    <w:p>
      <w:pPr>
        <w:spacing w:after="0" w:line="181" w:lineRule="exact"/>
        <w:rPr>
          <w:sz w:val="20"/>
          <w:szCs w:val="20"/>
          <w:color w:val="auto"/>
        </w:rPr>
      </w:pPr>
    </w:p>
    <w:p>
      <w:pPr>
        <w:ind w:left="520" w:right="60" w:hanging="510"/>
        <w:spacing w:after="0" w:line="238" w:lineRule="auto"/>
        <w:rPr>
          <w:sz w:val="20"/>
          <w:szCs w:val="20"/>
          <w:color w:val="auto"/>
        </w:rPr>
      </w:pPr>
      <w:r>
        <w:rPr>
          <w:rFonts w:ascii="Times New Roman" w:cs="Times New Roman" w:eastAsia="Times New Roman" w:hAnsi="Times New Roman"/>
          <w:sz w:val="14"/>
          <w:szCs w:val="14"/>
          <w:color w:val="auto"/>
        </w:rPr>
        <w:t xml:space="preserve">3A. </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The leasable space on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through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floors of Tower 400, consisting of an agreed upon 114,490 square feet, as depicted on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subject to measurement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below. The Building and the Other Buildings which are currently part of the Project are depicted on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xml:space="preserve">. In addition, pursuant to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below, Tenant may use portions of the roof of Tower 400 for the installation, use, maintenance, repair and replacement of Rooftop Equipment (as defined below).</w:t>
      </w:r>
    </w:p>
    <w:p>
      <w:pPr>
        <w:spacing w:after="0" w:line="154" w:lineRule="exact"/>
        <w:rPr>
          <w:sz w:val="20"/>
          <w:szCs w:val="20"/>
          <w:color w:val="auto"/>
        </w:rPr>
      </w:pPr>
    </w:p>
    <w:p>
      <w:pPr>
        <w:ind w:left="520" w:hanging="510"/>
        <w:spacing w:after="0" w:line="261" w:lineRule="auto"/>
        <w:rPr>
          <w:sz w:val="20"/>
          <w:szCs w:val="20"/>
          <w:color w:val="auto"/>
        </w:rPr>
      </w:pPr>
      <w:r>
        <w:rPr>
          <w:rFonts w:ascii="Times New Roman" w:cs="Times New Roman" w:eastAsia="Times New Roman" w:hAnsi="Times New Roman"/>
          <w:sz w:val="14"/>
          <w:szCs w:val="14"/>
          <w:color w:val="auto"/>
        </w:rPr>
        <w:t xml:space="preserve">3B. </w:t>
      </w:r>
      <w:r>
        <w:rPr>
          <w:rFonts w:ascii="Times New Roman" w:cs="Times New Roman" w:eastAsia="Times New Roman" w:hAnsi="Times New Roman"/>
          <w:sz w:val="14"/>
          <w:szCs w:val="14"/>
          <w:u w:val="single" w:color="auto"/>
          <w:color w:val="auto"/>
        </w:rPr>
        <w:t>Building</w:t>
      </w:r>
      <w:r>
        <w:rPr>
          <w:rFonts w:ascii="Times New Roman" w:cs="Times New Roman" w:eastAsia="Times New Roman" w:hAnsi="Times New Roman"/>
          <w:sz w:val="14"/>
          <w:szCs w:val="14"/>
          <w:color w:val="auto"/>
        </w:rPr>
        <w:t>: The six-floor building to be constructed by Landlord as part of the Project, consisting of (i) two separate towers to be located on Parcel 400 (“</w:t>
      </w:r>
      <w:r>
        <w:rPr>
          <w:rFonts w:ascii="Times New Roman" w:cs="Times New Roman" w:eastAsia="Times New Roman" w:hAnsi="Times New Roman"/>
          <w:sz w:val="14"/>
          <w:szCs w:val="14"/>
          <w:u w:val="single" w:color="auto"/>
          <w:color w:val="auto"/>
        </w:rPr>
        <w:t>Tower 400</w:t>
      </w:r>
      <w:r>
        <w:rPr>
          <w:rFonts w:ascii="Times New Roman" w:cs="Times New Roman" w:eastAsia="Times New Roman" w:hAnsi="Times New Roman"/>
          <w:sz w:val="14"/>
          <w:szCs w:val="14"/>
          <w:color w:val="auto"/>
        </w:rPr>
        <w:t>”) and Parcel 500 (“</w:t>
      </w:r>
      <w:r>
        <w:rPr>
          <w:rFonts w:ascii="Times New Roman" w:cs="Times New Roman" w:eastAsia="Times New Roman" w:hAnsi="Times New Roman"/>
          <w:sz w:val="14"/>
          <w:szCs w:val="14"/>
          <w:u w:val="single" w:color="auto"/>
          <w:color w:val="auto"/>
        </w:rPr>
        <w:t>Tower 500</w:t>
      </w:r>
      <w:r>
        <w:rPr>
          <w:rFonts w:ascii="Times New Roman" w:cs="Times New Roman" w:eastAsia="Times New Roman" w:hAnsi="Times New Roman"/>
          <w:sz w:val="14"/>
          <w:szCs w:val="14"/>
          <w:color w:val="auto"/>
        </w:rPr>
        <w:t>”) and (ii) a connecting area (the “</w:t>
      </w:r>
      <w:r>
        <w:rPr>
          <w:rFonts w:ascii="Times New Roman" w:cs="Times New Roman" w:eastAsia="Times New Roman" w:hAnsi="Times New Roman"/>
          <w:sz w:val="14"/>
          <w:szCs w:val="14"/>
          <w:u w:val="single" w:color="auto"/>
          <w:color w:val="auto"/>
        </w:rPr>
        <w:t>Connecting Area</w:t>
      </w:r>
      <w:r>
        <w:rPr>
          <w:rFonts w:ascii="Times New Roman" w:cs="Times New Roman" w:eastAsia="Times New Roman" w:hAnsi="Times New Roman"/>
          <w:sz w:val="14"/>
          <w:szCs w:val="14"/>
          <w:color w:val="auto"/>
        </w:rPr>
        <w:t xml:space="preserve">”) over the Discovery Way 2 “Connection Parcel” which connects Tower 400 and Tower 500, which parcels are shown on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 xml:space="preserve"> and which building is shown on </w:t>
      </w:r>
      <w:r>
        <w:rPr>
          <w:rFonts w:ascii="Times New Roman" w:cs="Times New Roman" w:eastAsia="Times New Roman" w:hAnsi="Times New Roman"/>
          <w:sz w:val="14"/>
          <w:szCs w:val="14"/>
          <w:u w:val="single" w:color="auto"/>
          <w:color w:val="auto"/>
        </w:rPr>
        <w:t>Exhibit B-2 (collectively, the “Building”)</w:t>
      </w:r>
      <w:r>
        <w:rPr>
          <w:rFonts w:ascii="Times New Roman" w:cs="Times New Roman" w:eastAsia="Times New Roman" w:hAnsi="Times New Roman"/>
          <w:sz w:val="14"/>
          <w:szCs w:val="14"/>
          <w:color w:val="auto"/>
        </w:rPr>
        <w:t xml:space="preserve">. The Building shall be deemed to include Tower 400, Tower 500, the Connecting Area, all of which are depicted on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and any other improvements existing on or above Parcel 400, Parcel 500 or the Discovery Way 2 “Connection Parcel” from time to time.</w:t>
      </w:r>
    </w:p>
    <w:p>
      <w:pPr>
        <w:spacing w:after="0" w:line="141" w:lineRule="exact"/>
        <w:rPr>
          <w:sz w:val="20"/>
          <w:szCs w:val="20"/>
          <w:color w:val="auto"/>
        </w:rPr>
      </w:pPr>
    </w:p>
    <w:p>
      <w:pPr>
        <w:ind w:left="520" w:hanging="510"/>
        <w:spacing w:after="0" w:line="252" w:lineRule="auto"/>
        <w:rPr>
          <w:sz w:val="20"/>
          <w:szCs w:val="20"/>
          <w:color w:val="auto"/>
        </w:rPr>
      </w:pPr>
      <w:r>
        <w:rPr>
          <w:rFonts w:ascii="Times New Roman" w:cs="Times New Roman" w:eastAsia="Times New Roman" w:hAnsi="Times New Roman"/>
          <w:sz w:val="14"/>
          <w:szCs w:val="14"/>
          <w:color w:val="auto"/>
        </w:rPr>
        <w:t xml:space="preserve">3C. </w:t>
      </w:r>
      <w:r>
        <w:rPr>
          <w:rFonts w:ascii="Times New Roman" w:cs="Times New Roman" w:eastAsia="Times New Roman" w:hAnsi="Times New Roman"/>
          <w:sz w:val="14"/>
          <w:szCs w:val="14"/>
          <w:u w:val="single" w:color="auto"/>
          <w:color w:val="auto"/>
        </w:rPr>
        <w:t>Project</w:t>
      </w:r>
      <w:r>
        <w:rPr>
          <w:rFonts w:ascii="Times New Roman" w:cs="Times New Roman" w:eastAsia="Times New Roman" w:hAnsi="Times New Roman"/>
          <w:sz w:val="14"/>
          <w:szCs w:val="14"/>
          <w:color w:val="auto"/>
        </w:rPr>
        <w:t xml:space="preserve">: The land described in </w:t>
      </w:r>
      <w:r>
        <w:rPr>
          <w:rFonts w:ascii="Times New Roman" w:cs="Times New Roman" w:eastAsia="Times New Roman" w:hAnsi="Times New Roman"/>
          <w:sz w:val="14"/>
          <w:szCs w:val="14"/>
          <w:u w:val="single" w:color="auto"/>
          <w:color w:val="auto"/>
        </w:rPr>
        <w:t>Exhibit A-1</w:t>
      </w:r>
      <w:r>
        <w:rPr>
          <w:rFonts w:ascii="Times New Roman" w:cs="Times New Roman" w:eastAsia="Times New Roman" w:hAnsi="Times New Roman"/>
          <w:sz w:val="14"/>
          <w:szCs w:val="14"/>
          <w:color w:val="auto"/>
        </w:rPr>
        <w:t xml:space="preserve"> and depicted on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Land</w:t>
      </w:r>
      <w:r>
        <w:rPr>
          <w:rFonts w:ascii="Times New Roman" w:cs="Times New Roman" w:eastAsia="Times New Roman" w:hAnsi="Times New Roman"/>
          <w:sz w:val="14"/>
          <w:szCs w:val="14"/>
          <w:color w:val="auto"/>
        </w:rPr>
        <w:t>”), together with the Building, the Other Buildings and any other improvements now or hereafter thereon, now commonly known as Cambridge Discovery Park, Cambridge, Massachusetts, together with other areas used from time to time for parking for the Buildings. The Land is subject to an Amended and Restated Declaration of Easements, Covenants, Conditions and Restrictions for Cambridge Discovery Park, dated December 21, 2009, and filed with the Middlesex County Registry District of the Land Court (the “</w:t>
      </w:r>
      <w:r>
        <w:rPr>
          <w:rFonts w:ascii="Times New Roman" w:cs="Times New Roman" w:eastAsia="Times New Roman" w:hAnsi="Times New Roman"/>
          <w:sz w:val="14"/>
          <w:szCs w:val="14"/>
          <w:u w:val="single" w:color="auto"/>
          <w:color w:val="auto"/>
        </w:rPr>
        <w:t>Land Court</w:t>
      </w:r>
      <w:r>
        <w:rPr>
          <w:rFonts w:ascii="Times New Roman" w:cs="Times New Roman" w:eastAsia="Times New Roman" w:hAnsi="Times New Roman"/>
          <w:sz w:val="14"/>
          <w:szCs w:val="14"/>
          <w:color w:val="auto"/>
        </w:rPr>
        <w:t>”) as Document No. 1522053, and recorded with the Middlesex County Registry of Deeds (the “</w:t>
      </w:r>
      <w:r>
        <w:rPr>
          <w:rFonts w:ascii="Times New Roman" w:cs="Times New Roman" w:eastAsia="Times New Roman" w:hAnsi="Times New Roman"/>
          <w:sz w:val="14"/>
          <w:szCs w:val="14"/>
          <w:u w:val="single" w:color="auto"/>
          <w:color w:val="auto"/>
        </w:rPr>
        <w:t>Registry</w:t>
      </w:r>
      <w:r>
        <w:rPr>
          <w:rFonts w:ascii="Times New Roman" w:cs="Times New Roman" w:eastAsia="Times New Roman" w:hAnsi="Times New Roman"/>
          <w:sz w:val="14"/>
          <w:szCs w:val="14"/>
          <w:color w:val="auto"/>
        </w:rPr>
        <w:t>”) in Book 54081, Page 298; as further amended by First Amendment of Amended and Restated Declaration of Easements, Covenants, Conditions and Restrictions for Cambridge Discovery Park, recorded with the Registry on June 9, 2010, in Book 54804, Page 106 and filed with the Land Court as Document No. 1534150, and as further amended by Second Amendment of Amended and Restated Declaration of Easements, Covenants, Conditions and Restrictions for Cambridge Discovery Park, dated December 29, 2011, and recorded with the Registry in Book 58222, Page 10, and filed with the Land Court as Document No. 1587003; as affected by Second Amendment of Amended and Restated Declaration of Easements, Covenants and Restrictions for Cambridge Discovery Park dated December 29, 2011, recorded with the Registry in Book 58222, Page 15 and filed with the Land Court as Document No. 1587003, as further affected by Third Amendment of Amended and Restated Declaration of Easements, Covenants and Restrictions for Cambridge Discovery Park dated September 30, 2014, recorded with the Registry in Book 64326, Page 507 and filed with the Land Court as Document No.1682362; as affected by a Clarification of Amended and Restated Declaration of Easements, Covenants, Conditions and Restrictions dated March 17, 2015, filed with the Land Court as Document No. 1694302 and recorded with the Registry in Book 65074, Page 69, as further affected by a Fourth Amendment of Amended and Restated Declaration of Easements, Covenants, Conditions and Restrictions for Cambridge Discovery Park, dated March 17, 2015, filed with the Land Court as Document No. 1694303 and recorded with the Registry in Book 65074, Page 89, as further affected by a Supplemental Declaration of Covenants, Conditions and Restrictions, filed with the Land Court as Document No. 1700551 and recorded with the Registry in Book 65074, Page 130, as further affected by Fifth Amendment to Amended and Restated Declaration of Easements, Covenants, Conditions and Restrictions for Cambridge Discovery Park, dated December 21, 2018, and recorded with the Registry in Book 72052, Page 324 (as the same has been and may be hereafter amended from time to time, the “</w:t>
      </w:r>
      <w:r>
        <w:rPr>
          <w:rFonts w:ascii="Times New Roman" w:cs="Times New Roman" w:eastAsia="Times New Roman" w:hAnsi="Times New Roman"/>
          <w:sz w:val="14"/>
          <w:szCs w:val="14"/>
          <w:u w:val="single" w:color="auto"/>
          <w:color w:val="auto"/>
        </w:rPr>
        <w:t>Declaration</w:t>
      </w:r>
      <w:r>
        <w:rPr>
          <w:rFonts w:ascii="Times New Roman" w:cs="Times New Roman" w:eastAsia="Times New Roman" w:hAnsi="Times New Roman"/>
          <w:sz w:val="14"/>
          <w:szCs w:val="14"/>
          <w:color w:val="auto"/>
        </w:rPr>
        <w:t>”). The Project may be expanded and/or contracted in accordance with the terms and provisions of the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481330</wp:posOffset>
            </wp:positionV>
            <wp:extent cx="7188200"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796" w:right="33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4"/>
          <w:szCs w:val="14"/>
          <w:color w:val="auto"/>
        </w:rPr>
        <w:t xml:space="preserve">3D. </w:t>
      </w:r>
      <w:r>
        <w:rPr>
          <w:rFonts w:ascii="Times New Roman" w:cs="Times New Roman" w:eastAsia="Times New Roman" w:hAnsi="Times New Roman"/>
          <w:sz w:val="14"/>
          <w:szCs w:val="14"/>
          <w:u w:val="single" w:color="auto"/>
          <w:color w:val="auto"/>
        </w:rPr>
        <w:t>Leasable Square Footage of the Premises</w:t>
      </w:r>
      <w:r>
        <w:rPr>
          <w:rFonts w:ascii="Times New Roman" w:cs="Times New Roman" w:eastAsia="Times New Roman" w:hAnsi="Times New Roman"/>
          <w:sz w:val="14"/>
          <w:szCs w:val="14"/>
          <w:color w:val="auto"/>
        </w:rPr>
        <w:t xml:space="preserve">: 114,490 square feet, subject to remeasurement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3E.  </w:t>
      </w:r>
      <w:r>
        <w:rPr>
          <w:rFonts w:ascii="Times New Roman" w:cs="Times New Roman" w:eastAsia="Times New Roman" w:hAnsi="Times New Roman"/>
          <w:sz w:val="14"/>
          <w:szCs w:val="14"/>
          <w:u w:val="single" w:color="auto"/>
          <w:color w:val="auto"/>
        </w:rPr>
        <w:t>Leasable Square Footage of the Building</w:t>
      </w:r>
      <w:r>
        <w:rPr>
          <w:rFonts w:ascii="Times New Roman" w:cs="Times New Roman" w:eastAsia="Times New Roman" w:hAnsi="Times New Roman"/>
          <w:sz w:val="14"/>
          <w:szCs w:val="14"/>
          <w:color w:val="auto"/>
        </w:rPr>
        <w:t>: An agreed upon 283,247 square feet.</w:t>
      </w:r>
    </w:p>
    <w:p>
      <w:pPr>
        <w:spacing w:after="0" w:line="175" w:lineRule="exact"/>
        <w:rPr>
          <w:sz w:val="20"/>
          <w:szCs w:val="20"/>
          <w:color w:val="auto"/>
        </w:rPr>
      </w:pPr>
    </w:p>
    <w:p>
      <w:pPr>
        <w:ind w:left="520" w:right="180" w:hanging="510"/>
        <w:spacing w:after="0" w:line="283" w:lineRule="auto"/>
        <w:rPr>
          <w:sz w:val="20"/>
          <w:szCs w:val="20"/>
          <w:color w:val="auto"/>
        </w:rPr>
      </w:pPr>
      <w:r>
        <w:rPr>
          <w:rFonts w:ascii="Times New Roman" w:cs="Times New Roman" w:eastAsia="Times New Roman" w:hAnsi="Times New Roman"/>
          <w:sz w:val="14"/>
          <w:szCs w:val="14"/>
          <w:color w:val="auto"/>
        </w:rPr>
        <w:t xml:space="preserve">3F. </w:t>
      </w:r>
      <w:r>
        <w:rPr>
          <w:rFonts w:ascii="Times New Roman" w:cs="Times New Roman" w:eastAsia="Times New Roman" w:hAnsi="Times New Roman"/>
          <w:sz w:val="14"/>
          <w:szCs w:val="14"/>
          <w:u w:val="single" w:color="auto"/>
          <w:color w:val="auto"/>
        </w:rPr>
        <w:t>Leasable Square Footage of the Project</w:t>
      </w:r>
      <w:r>
        <w:rPr>
          <w:rFonts w:ascii="Times New Roman" w:cs="Times New Roman" w:eastAsia="Times New Roman" w:hAnsi="Times New Roman"/>
          <w:sz w:val="14"/>
          <w:szCs w:val="14"/>
          <w:color w:val="auto"/>
        </w:rPr>
        <w:t>: An agreed upon 696,150 square feet, consisting of (i) an agreed upon 283,247 square feet in the Building, and (ii) an agreed upon 412,903 square feet in the Other Buildings. The Leasable Square Footage of the Project may change from time to time as additional Other Buildings are constructed.</w:t>
      </w:r>
    </w:p>
    <w:p>
      <w:pPr>
        <w:spacing w:after="0" w:line="125" w:lineRule="exact"/>
        <w:rPr>
          <w:sz w:val="20"/>
          <w:szCs w:val="20"/>
          <w:color w:val="auto"/>
        </w:rPr>
      </w:pPr>
    </w:p>
    <w:p>
      <w:pPr>
        <w:ind w:left="520" w:right="140" w:hanging="510"/>
        <w:spacing w:after="0" w:line="254" w:lineRule="auto"/>
        <w:rPr>
          <w:sz w:val="20"/>
          <w:szCs w:val="20"/>
          <w:color w:val="auto"/>
        </w:rPr>
      </w:pPr>
      <w:r>
        <w:rPr>
          <w:rFonts w:ascii="Times New Roman" w:cs="Times New Roman" w:eastAsia="Times New Roman" w:hAnsi="Times New Roman"/>
          <w:sz w:val="14"/>
          <w:szCs w:val="14"/>
          <w:color w:val="auto"/>
        </w:rPr>
        <w:t xml:space="preserve">4A. </w:t>
      </w:r>
      <w:r>
        <w:rPr>
          <w:rFonts w:ascii="Times New Roman" w:cs="Times New Roman" w:eastAsia="Times New Roman" w:hAnsi="Times New Roman"/>
          <w:sz w:val="14"/>
          <w:szCs w:val="14"/>
          <w:u w:val="single" w:color="auto"/>
          <w:color w:val="auto"/>
        </w:rPr>
        <w:t>Allowance</w:t>
      </w:r>
      <w:r>
        <w:rPr>
          <w:rFonts w:ascii="Times New Roman" w:cs="Times New Roman" w:eastAsia="Times New Roman" w:hAnsi="Times New Roman"/>
          <w:sz w:val="14"/>
          <w:szCs w:val="14"/>
          <w:color w:val="auto"/>
        </w:rPr>
        <w:t>: Landlord shall provide Tenant an allowance for the payment of costs of alterations and improvements to the Premises (the “</w:t>
      </w:r>
      <w:r>
        <w:rPr>
          <w:rFonts w:ascii="Times New Roman" w:cs="Times New Roman" w:eastAsia="Times New Roman" w:hAnsi="Times New Roman"/>
          <w:sz w:val="14"/>
          <w:szCs w:val="14"/>
          <w:u w:val="single" w:color="auto"/>
          <w:color w:val="auto"/>
        </w:rPr>
        <w:t>Allowance</w:t>
      </w:r>
      <w:r>
        <w:rPr>
          <w:rFonts w:ascii="Times New Roman" w:cs="Times New Roman" w:eastAsia="Times New Roman" w:hAnsi="Times New Roman"/>
          <w:sz w:val="14"/>
          <w:szCs w:val="14"/>
          <w:color w:val="auto"/>
        </w:rPr>
        <w:t xml:space="preserve">”) equal to $185 per square foot multiplied by the Leasable Square Footage of the Premises (estimated to be $21,180,650.00), subject to adjustment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in addition, at the written request of Tenant at any time prior to the Commencement Date, Tenant may increase the Allowance in an amount up to $25 per square foot multiplied by the Leasable Square Footage of the Premises (the “</w:t>
      </w:r>
      <w:r>
        <w:rPr>
          <w:rFonts w:ascii="Times New Roman" w:cs="Times New Roman" w:eastAsia="Times New Roman" w:hAnsi="Times New Roman"/>
          <w:sz w:val="14"/>
          <w:szCs w:val="14"/>
          <w:u w:val="single" w:color="auto"/>
          <w:color w:val="auto"/>
        </w:rPr>
        <w:t>Excess Allowance</w:t>
      </w:r>
      <w:r>
        <w:rPr>
          <w:rFonts w:ascii="Times New Roman" w:cs="Times New Roman" w:eastAsia="Times New Roman" w:hAnsi="Times New Roman"/>
          <w:sz w:val="14"/>
          <w:szCs w:val="14"/>
          <w:color w:val="auto"/>
        </w:rPr>
        <w:t xml:space="preserve">”), subject to adjustment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provided, however, that the aggregate amount of any such Excess Allowance requested shall be repaid by Tenant to Landlord by increasing the monthly installments of Base Rent (such additional monthly installments being the “</w:t>
      </w:r>
      <w:r>
        <w:rPr>
          <w:rFonts w:ascii="Times New Roman" w:cs="Times New Roman" w:eastAsia="Times New Roman" w:hAnsi="Times New Roman"/>
          <w:sz w:val="14"/>
          <w:szCs w:val="14"/>
          <w:u w:val="single" w:color="auto"/>
          <w:color w:val="auto"/>
        </w:rPr>
        <w:t>Excess Allowance Base Rent</w:t>
      </w:r>
      <w:r>
        <w:rPr>
          <w:rFonts w:ascii="Times New Roman" w:cs="Times New Roman" w:eastAsia="Times New Roman" w:hAnsi="Times New Roman"/>
          <w:sz w:val="14"/>
          <w:szCs w:val="14"/>
          <w:color w:val="auto"/>
        </w:rPr>
        <w:t>”) by an amount that would fully amortize the Excess Allowance, with interest at the rate of eight and one-half percent (8.5%) per annum (including capitalized interest on the Excess Allowance from disbursement until commencement of amortization), in equal consecutive monthly installments of principal and interest over the Initial Term, commencing on the Commencement Date and irrespective of the portion of Excess Allowance that has then-been disbursed to Tenant. Notwithstanding the foregoing, at the expiration of Tenant’s right to disbursements of the Allowance, (i) Landlord shall calculate the amount of the Excess Allowance that has actually been disbursed to Tenant, and (ii) if the amount of the disbursed Excess Allowance is less than the amount requested by Tenant and being used to calculate the Excess Allowance Base Rent, Landlord shall adjust the Excess Allowance Base Rent over the remainder of the Initial Term such that the amount of the Excess Allowance that has actually been disbursed to Tenant is so fully amortized over the Initial Term pursuant to the provisions above in this paragraph.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4B. </w:t>
      </w:r>
      <w:r>
        <w:rPr>
          <w:rFonts w:ascii="Times New Roman" w:cs="Times New Roman" w:eastAsia="Times New Roman" w:hAnsi="Times New Roman"/>
          <w:sz w:val="14"/>
          <w:szCs w:val="14"/>
          <w:u w:val="single" w:color="auto"/>
          <w:color w:val="auto"/>
        </w:rPr>
        <w:t>Base Building Work</w:t>
      </w:r>
      <w:r>
        <w:rPr>
          <w:rFonts w:ascii="Times New Roman" w:cs="Times New Roman" w:eastAsia="Times New Roman" w:hAnsi="Times New Roman"/>
          <w:sz w:val="14"/>
          <w:szCs w:val="14"/>
          <w:color w:val="auto"/>
        </w:rPr>
        <w:t xml:space="preserve">: Landlord shall cause the work described on the Base Building Plans (as defined below) to be performed as provided in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(such work, the “</w:t>
      </w:r>
      <w:r>
        <w:rPr>
          <w:rFonts w:ascii="Times New Roman" w:cs="Times New Roman" w:eastAsia="Times New Roman" w:hAnsi="Times New Roman"/>
          <w:sz w:val="14"/>
          <w:szCs w:val="14"/>
          <w:u w:val="single" w:color="auto"/>
          <w:color w:val="auto"/>
        </w:rPr>
        <w:t>Base Building Work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5A. </w:t>
      </w:r>
      <w:r>
        <w:rPr>
          <w:rFonts w:ascii="Times New Roman" w:cs="Times New Roman" w:eastAsia="Times New Roman" w:hAnsi="Times New Roman"/>
          <w:sz w:val="14"/>
          <w:szCs w:val="14"/>
          <w:u w:val="single" w:color="auto"/>
          <w:color w:val="auto"/>
        </w:rPr>
        <w:t>Target Delivery Date</w:t>
      </w:r>
      <w:r>
        <w:rPr>
          <w:rFonts w:ascii="Times New Roman" w:cs="Times New Roman" w:eastAsia="Times New Roman" w:hAnsi="Times New Roman"/>
          <w:sz w:val="14"/>
          <w:szCs w:val="14"/>
          <w:color w:val="auto"/>
        </w:rPr>
        <w:t>: June 1, 2019, subject to extension for Excusable Delay as provided in this Lease.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5B. </w:t>
      </w:r>
      <w:r>
        <w:rPr>
          <w:rFonts w:ascii="Times New Roman" w:cs="Times New Roman" w:eastAsia="Times New Roman" w:hAnsi="Times New Roman"/>
          <w:sz w:val="14"/>
          <w:szCs w:val="14"/>
          <w:u w:val="single" w:color="auto"/>
          <w:color w:val="auto"/>
        </w:rPr>
        <w:t>Target Substantial Completion Date</w:t>
      </w:r>
      <w:r>
        <w:rPr>
          <w:rFonts w:ascii="Times New Roman" w:cs="Times New Roman" w:eastAsia="Times New Roman" w:hAnsi="Times New Roman"/>
          <w:sz w:val="14"/>
          <w:szCs w:val="14"/>
          <w:color w:val="auto"/>
        </w:rPr>
        <w:t>: December 31, 2019, subject to extension for Excusable Delay as provided in this Lease.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5C. </w:t>
      </w:r>
      <w:r>
        <w:rPr>
          <w:rFonts w:ascii="Times New Roman" w:cs="Times New Roman" w:eastAsia="Times New Roman" w:hAnsi="Times New Roman"/>
          <w:sz w:val="14"/>
          <w:szCs w:val="14"/>
          <w:u w:val="single" w:color="auto"/>
          <w:color w:val="auto"/>
        </w:rPr>
        <w:t>Delivery Date</w:t>
      </w:r>
      <w:r>
        <w:rPr>
          <w:rFonts w:ascii="Times New Roman" w:cs="Times New Roman" w:eastAsia="Times New Roman" w:hAnsi="Times New Roman"/>
          <w:sz w:val="14"/>
          <w:szCs w:val="14"/>
          <w:color w:val="auto"/>
        </w:rPr>
        <w:t>: The date on which Partial Completion occurs.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5D. </w:t>
      </w:r>
      <w:r>
        <w:rPr>
          <w:rFonts w:ascii="Times New Roman" w:cs="Times New Roman" w:eastAsia="Times New Roman" w:hAnsi="Times New Roman"/>
          <w:sz w:val="14"/>
          <w:szCs w:val="14"/>
          <w:u w:val="single" w:color="auto"/>
          <w:color w:val="auto"/>
        </w:rPr>
        <w:t>Substantial Completion Date</w:t>
      </w:r>
      <w:r>
        <w:rPr>
          <w:rFonts w:ascii="Times New Roman" w:cs="Times New Roman" w:eastAsia="Times New Roman" w:hAnsi="Times New Roman"/>
          <w:sz w:val="14"/>
          <w:szCs w:val="14"/>
          <w:color w:val="auto"/>
        </w:rPr>
        <w:t>: The date on which Landlord achieves Substantial Completion of the Base Building Work and tenders delivery of the Premises to Tenant.</w:t>
      </w:r>
    </w:p>
    <w:p>
      <w:pPr>
        <w:spacing w:after="0" w:line="175" w:lineRule="exact"/>
        <w:rPr>
          <w:sz w:val="20"/>
          <w:szCs w:val="20"/>
          <w:color w:val="auto"/>
        </w:rPr>
      </w:pPr>
    </w:p>
    <w:p>
      <w:pPr>
        <w:ind w:left="520" w:right="80" w:hanging="510"/>
        <w:spacing w:after="0" w:line="257" w:lineRule="auto"/>
        <w:rPr>
          <w:sz w:val="20"/>
          <w:szCs w:val="20"/>
          <w:color w:val="auto"/>
        </w:rPr>
      </w:pPr>
      <w:r>
        <w:rPr>
          <w:rFonts w:ascii="Times New Roman" w:cs="Times New Roman" w:eastAsia="Times New Roman" w:hAnsi="Times New Roman"/>
          <w:sz w:val="14"/>
          <w:szCs w:val="14"/>
          <w:color w:val="auto"/>
        </w:rPr>
        <w:t xml:space="preserve">5E. </w:t>
      </w: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The earlier to occur of (i) the date that is six (6) months after the Substantial Completion Date, and (ii) the date on which Tenant commences the conduct of its business in the Premises; provided, however, that in the event that the parties are unable to obtain a certificate of occupancy, temporary certificate of occupancy or a final building department sign off for Phase 1 on or before the date that is six (6) months after the Substantial Completion Date (such date to be extended for any Excusable Delay) solely due to the Landlord’s failure to achieve Substantial Completion of the Base Building Work or due to one or more defects in the Base Building Work, the Commencement Date shall be delayed until the earlier of (1) the date on which Landlord has achieved Substantial Completion of the Base Building Work and cured such defects so that a certificate of occupancy, temporary certificate of occupancy or a final building department sign off for Phase 1 can be issued or (2) the date on which Tenant commences the conduct of its business in the Premises.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5F.  </w:t>
      </w:r>
      <w:r>
        <w:rPr>
          <w:rFonts w:ascii="Times New Roman" w:cs="Times New Roman" w:eastAsia="Times New Roman" w:hAnsi="Times New Roman"/>
          <w:sz w:val="14"/>
          <w:szCs w:val="14"/>
          <w:u w:val="single" w:color="auto"/>
          <w:color w:val="auto"/>
        </w:rPr>
        <w:t>Lease Term</w:t>
      </w:r>
      <w:r>
        <w:rPr>
          <w:rFonts w:ascii="Times New Roman" w:cs="Times New Roman" w:eastAsia="Times New Roman" w:hAnsi="Times New Roman"/>
          <w:sz w:val="14"/>
          <w:szCs w:val="14"/>
          <w:color w:val="auto"/>
        </w:rPr>
        <w:t>: From the Commencement Date through the eleventh (11</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Lease Year, subject to extension as provided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5G. </w:t>
      </w:r>
      <w:r>
        <w:rPr>
          <w:rFonts w:ascii="Times New Roman" w:cs="Times New Roman" w:eastAsia="Times New Roman" w:hAnsi="Times New Roman"/>
          <w:sz w:val="14"/>
          <w:szCs w:val="14"/>
          <w:u w:val="single" w:color="auto"/>
          <w:color w:val="auto"/>
        </w:rPr>
        <w:t>Extension</w:t>
      </w:r>
      <w:r>
        <w:rPr>
          <w:rFonts w:ascii="Times New Roman" w:cs="Times New Roman" w:eastAsia="Times New Roman" w:hAnsi="Times New Roman"/>
          <w:sz w:val="14"/>
          <w:szCs w:val="14"/>
          <w:color w:val="auto"/>
        </w:rPr>
        <w:t xml:space="preserve">: Tenant shall have the right to extend the Lease Term for two (2) consecutive terms of five (5) years each in accordance with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right="280" w:hanging="516"/>
        <w:spacing w:after="0" w:line="283" w:lineRule="auto"/>
        <w:tabs>
          <w:tab w:leader="none" w:pos="289"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Permitted Use</w:t>
      </w:r>
      <w:r>
        <w:rPr>
          <w:rFonts w:ascii="Times New Roman" w:cs="Times New Roman" w:eastAsia="Times New Roman" w:hAnsi="Times New Roman"/>
          <w:sz w:val="14"/>
          <w:szCs w:val="14"/>
          <w:color w:val="auto"/>
        </w:rPr>
        <w:t xml:space="preserve">: Subject to applicable Legal Requirements, the Premises may be used for general office, research and development, pharmaceutical manufacturing and laboratory purposes only (including a vivarium pursuant to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and uses ancillary thereto and for no other purpose.</w:t>
      </w:r>
    </w:p>
    <w:p>
      <w:pPr>
        <w:spacing w:after="0" w:line="124"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 Deposit</w:t>
      </w:r>
      <w:r>
        <w:rPr>
          <w:rFonts w:ascii="Times New Roman" w:cs="Times New Roman" w:eastAsia="Times New Roman" w:hAnsi="Times New Roman"/>
          <w:sz w:val="14"/>
          <w:szCs w:val="14"/>
          <w:color w:val="auto"/>
        </w:rPr>
        <w:t>: $2,855,094.38 in the form of cash or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495300</wp:posOffset>
            </wp:positionV>
            <wp:extent cx="7188200"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25" w:name="page526"/>
    <w:bookmarkEnd w:id="525"/>
    <w:p>
      <w:pPr>
        <w:ind w:left="280" w:hanging="276"/>
        <w:spacing w:after="0"/>
        <w:tabs>
          <w:tab w:leader="none" w:pos="280"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Tenant’s Parking Allocation</w:t>
      </w:r>
      <w:r>
        <w:rPr>
          <w:rFonts w:ascii="Times New Roman" w:cs="Times New Roman" w:eastAsia="Times New Roman" w:hAnsi="Times New Roman"/>
          <w:sz w:val="14"/>
          <w:szCs w:val="14"/>
          <w:color w:val="auto"/>
        </w:rPr>
        <w:t xml:space="preserve">: Tenant’s Parking Share of parking spaces in the Parking Garage B, subject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Rent</w:t>
      </w:r>
      <w:r>
        <w:rPr>
          <w:rFonts w:ascii="Times New Roman" w:cs="Times New Roman" w:eastAsia="Times New Roman" w:hAnsi="Times New Roman"/>
          <w:sz w:val="14"/>
          <w:szCs w:val="14"/>
          <w:color w:val="auto"/>
        </w:rPr>
        <w:t xml:space="preserve">: Subject to adjustment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Base Rent shall be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48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Annual Rate</w:t>
            </w:r>
          </w:p>
        </w:tc>
        <w:tc>
          <w:tcPr>
            <w:tcW w:w="280" w:type="dxa"/>
            <w:vAlign w:val="bottom"/>
          </w:tcPr>
          <w:p>
            <w:pPr>
              <w:spacing w:after="0"/>
              <w:rPr>
                <w:sz w:val="11"/>
                <w:szCs w:val="11"/>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Monthly Rate</w:t>
            </w:r>
          </w:p>
        </w:tc>
        <w:tc>
          <w:tcPr>
            <w:tcW w:w="240" w:type="dxa"/>
            <w:vAlign w:val="bottom"/>
          </w:tcPr>
          <w:p>
            <w:pPr>
              <w:spacing w:after="0"/>
              <w:rPr>
                <w:sz w:val="11"/>
                <w:szCs w:val="1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PSF Rate</w:t>
            </w:r>
          </w:p>
        </w:tc>
      </w:tr>
      <w:tr>
        <w:trPr>
          <w:trHeight w:val="144"/>
        </w:trPr>
        <w:tc>
          <w:tcPr>
            <w:tcW w:w="40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Lease Year 1*</w:t>
            </w:r>
          </w:p>
        </w:tc>
        <w:tc>
          <w:tcPr>
            <w:tcW w:w="3480" w:type="dxa"/>
            <w:vAlign w:val="bottom"/>
            <w:tcBorders>
              <w:top w:val="single" w:sz="8" w:color="auto"/>
            </w:tcBorders>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7,613,585.00</w:t>
            </w:r>
          </w:p>
        </w:tc>
        <w:tc>
          <w:tcPr>
            <w:tcW w:w="280" w:type="dxa"/>
            <w:vAlign w:val="bottom"/>
            <w:tcBorders>
              <w:top w:val="single" w:sz="8" w:color="auto"/>
            </w:tcBorders>
          </w:tcPr>
          <w:p>
            <w:pPr>
              <w:jc w:val="right"/>
              <w:ind w:right="5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634,465.42</w:t>
            </w:r>
          </w:p>
        </w:tc>
        <w:tc>
          <w:tcPr>
            <w:tcW w:w="240" w:type="dxa"/>
            <w:vAlign w:val="bottom"/>
            <w:tcBorders>
              <w:top w:val="single" w:sz="8" w:color="auto"/>
            </w:tcBorders>
          </w:tcPr>
          <w:p>
            <w:pPr>
              <w:jc w:val="right"/>
              <w:ind w:right="5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66.50</w:t>
            </w:r>
          </w:p>
        </w:tc>
        <w:tc>
          <w:tcPr>
            <w:tcW w:w="20" w:type="dxa"/>
            <w:vAlign w:val="bottom"/>
          </w:tcPr>
          <w:p>
            <w:pPr>
              <w:spacing w:after="0"/>
              <w:rPr>
                <w:sz w:val="12"/>
                <w:szCs w:val="12"/>
                <w:color w:val="auto"/>
              </w:rPr>
            </w:pP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2</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7,803,924.63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650,327.05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68.16</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3</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7,999,022.74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666,585.23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69.87</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4</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8,198,998.31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683,249.86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71.61</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5</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8,403,973.27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700,331.11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73.40</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6</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8,614,072.60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717,839.38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75.24</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7</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8,829,424.41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735,785.37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77.12</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8</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9,050,160.02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754,180.00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79.05</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9</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9,276,414.02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773,034.50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81.02</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10</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9,508,324.38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792,360.37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83.05</w:t>
            </w:r>
          </w:p>
        </w:tc>
      </w:tr>
      <w:tr>
        <w:trPr>
          <w:trHeight w:val="183"/>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Lease Year 11</w:t>
            </w:r>
          </w:p>
        </w:tc>
        <w:tc>
          <w:tcPr>
            <w:tcW w:w="34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9,746,032.48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812,169.37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85.13</w:t>
            </w:r>
          </w:p>
        </w:tc>
      </w:tr>
    </w:tbl>
    <w:p>
      <w:pPr>
        <w:spacing w:after="0" w:line="59" w:lineRule="exact"/>
        <w:rPr>
          <w:sz w:val="20"/>
          <w:szCs w:val="20"/>
          <w:color w:val="auto"/>
        </w:rPr>
      </w:pPr>
    </w:p>
    <w:p>
      <w:pPr>
        <w:ind w:left="520" w:right="100"/>
        <w:spacing w:after="0" w:line="241" w:lineRule="auto"/>
        <w:rPr>
          <w:sz w:val="20"/>
          <w:szCs w:val="20"/>
          <w:color w:val="auto"/>
        </w:rPr>
      </w:pPr>
      <w:r>
        <w:rPr>
          <w:rFonts w:ascii="Times New Roman" w:cs="Times New Roman" w:eastAsia="Times New Roman" w:hAnsi="Times New Roman"/>
          <w:sz w:val="14"/>
          <w:szCs w:val="14"/>
          <w:color w:val="auto"/>
        </w:rPr>
        <w:t xml:space="preserve">*Notwithstanding the Annual Rate and Monthly Rate for Lease Year 1 stated above, so long as an Event of Default does not then exist, Base Rent during Lease Year 1 shall be abated as follows: during (I) Months 1 through 6 of Lease Year 1, Base Rent shall be paid at the Annual Rate of $2,540,300.00 and a Monthly Rate of $211,691.67, and (ii) Months 7 through 12 of Lease Year 1, Base Rent shall be paid at the Annual Rate of $5,080,600.00 and a Monthly Rate of $423,383.33. The total amount of the Base Rent payable during Lease Year 1 shall be adjusted In the event that the Leasable Square Footage of the Premises is adjusted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with such adjustment to be made by increasing or decreasing each payment of Base Rent due during Months 7-12 of Lease Year 1 by a proportionate share of such increase (with the excess, if any, adjusted in the second payment of Base Rent due after the amount of such adjustment is determined). Month 1 shall commence on the Commencement Date; provided, however, that if the Commencement Date is not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day of a calendar month, Month 1 shall commence on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day of the calendar month commencing after the calendar month in which the Commencement Date occurs, and during such partial calendar month in which the Commencement Date occurs, Tenant shall pay Base Rent at the Annual Rate and Monthly Rate stated above for Lease Year 1 (i.e., $7,613,585.00 and $634,465.42, respectively, but subject to adjustment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prorated for the number of days during the Lease Term that occur during such partial month.</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Tenant’s obligation to pay Base Rent shall be subject to the Building 100 Rent Credit (as defined in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 xml:space="preserve"> below).</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The Base Rent during the Extension Terms will be determined in accordance with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right="80" w:hanging="510"/>
        <w:spacing w:after="0" w:line="283" w:lineRule="auto"/>
        <w:tabs>
          <w:tab w:leader="none" w:pos="500" w:val="left"/>
        </w:tabs>
        <w:rPr>
          <w:sz w:val="20"/>
          <w:szCs w:val="20"/>
          <w:color w:val="auto"/>
        </w:rPr>
      </w:pPr>
      <w:r>
        <w:rPr>
          <w:rFonts w:ascii="Times New Roman" w:cs="Times New Roman" w:eastAsia="Times New Roman" w:hAnsi="Times New Roman"/>
          <w:sz w:val="14"/>
          <w:szCs w:val="14"/>
          <w:color w:val="auto"/>
        </w:rPr>
        <w:t>10A.</w:t>
      </w:r>
      <w:r>
        <w:rPr>
          <w:sz w:val="20"/>
          <w:szCs w:val="20"/>
          <w:color w:val="auto"/>
        </w:rPr>
        <w:tab/>
      </w:r>
      <w:r>
        <w:rPr>
          <w:rFonts w:ascii="Times New Roman" w:cs="Times New Roman" w:eastAsia="Times New Roman" w:hAnsi="Times New Roman"/>
          <w:sz w:val="14"/>
          <w:szCs w:val="14"/>
          <w:u w:val="single" w:color="auto"/>
          <w:color w:val="auto"/>
        </w:rPr>
        <w:t>Additional Rent</w:t>
      </w:r>
      <w:r>
        <w:rPr>
          <w:rFonts w:ascii="Times New Roman" w:cs="Times New Roman" w:eastAsia="Times New Roman" w:hAnsi="Times New Roman"/>
          <w:sz w:val="14"/>
          <w:szCs w:val="14"/>
          <w:color w:val="auto"/>
        </w:rPr>
        <w:t>: (a) Tenant’s Project Share of (i) Project Taxes, (ii) Project insurance Costs and (iii) Project Operating Costs, (b) Tenant’s Building Share of (i) Building Taxes, (ii) Building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Insurance Costs and (iii) Building Operating Costs, (c) Tenant’s Utility Costs, and/or (d) Other Additional Rent.</w:t>
      </w:r>
    </w:p>
    <w:p>
      <w:pPr>
        <w:spacing w:after="0" w:line="125" w:lineRule="exact"/>
        <w:rPr>
          <w:sz w:val="20"/>
          <w:szCs w:val="20"/>
          <w:color w:val="auto"/>
        </w:rPr>
      </w:pPr>
    </w:p>
    <w:p>
      <w:pPr>
        <w:ind w:left="520" w:right="180" w:hanging="510"/>
        <w:spacing w:after="0" w:line="283" w:lineRule="auto"/>
        <w:tabs>
          <w:tab w:leader="none" w:pos="500" w:val="left"/>
        </w:tabs>
        <w:rPr>
          <w:sz w:val="20"/>
          <w:szCs w:val="20"/>
          <w:color w:val="auto"/>
        </w:rPr>
      </w:pPr>
      <w:r>
        <w:rPr>
          <w:rFonts w:ascii="Times New Roman" w:cs="Times New Roman" w:eastAsia="Times New Roman" w:hAnsi="Times New Roman"/>
          <w:sz w:val="14"/>
          <w:szCs w:val="14"/>
          <w:color w:val="auto"/>
        </w:rPr>
        <w:t>10B.</w:t>
      </w:r>
      <w:r>
        <w:rPr>
          <w:sz w:val="20"/>
          <w:szCs w:val="20"/>
          <w:color w:val="auto"/>
        </w:rPr>
        <w:tab/>
      </w:r>
      <w:r>
        <w:rPr>
          <w:rFonts w:ascii="Times New Roman" w:cs="Times New Roman" w:eastAsia="Times New Roman" w:hAnsi="Times New Roman"/>
          <w:sz w:val="14"/>
          <w:szCs w:val="14"/>
          <w:u w:val="single" w:color="auto"/>
          <w:color w:val="auto"/>
        </w:rPr>
        <w:t>Tenant’s Utility Costs</w:t>
      </w:r>
      <w:r>
        <w:rPr>
          <w:rFonts w:ascii="Times New Roman" w:cs="Times New Roman" w:eastAsia="Times New Roman" w:hAnsi="Times New Roman"/>
          <w:sz w:val="14"/>
          <w:szCs w:val="14"/>
          <w:color w:val="auto"/>
        </w:rPr>
        <w:t>: Tenant shall be responsible for the payment of the costs of all utility services provided to the Premises and/or the HVAC equipment and systems exclusively serving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Premises (“</w:t>
      </w:r>
      <w:r>
        <w:rPr>
          <w:rFonts w:ascii="Times New Roman" w:cs="Times New Roman" w:eastAsia="Times New Roman" w:hAnsi="Times New Roman"/>
          <w:sz w:val="14"/>
          <w:szCs w:val="14"/>
          <w:u w:val="single" w:color="auto"/>
          <w:color w:val="auto"/>
        </w:rPr>
        <w:t>Tenant’s Utility Costs</w:t>
      </w:r>
      <w:r>
        <w:rPr>
          <w:rFonts w:ascii="Times New Roman" w:cs="Times New Roman" w:eastAsia="Times New Roman" w:hAnsi="Times New Roman"/>
          <w:sz w:val="14"/>
          <w:szCs w:val="14"/>
          <w:color w:val="auto"/>
        </w:rPr>
        <w:t xml:space="preserve">”), as provided in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20" w:right="140" w:hanging="510"/>
        <w:spacing w:after="0" w:line="267" w:lineRule="auto"/>
        <w:tabs>
          <w:tab w:leader="none" w:pos="500" w:val="left"/>
        </w:tabs>
        <w:rPr>
          <w:sz w:val="20"/>
          <w:szCs w:val="20"/>
          <w:color w:val="auto"/>
        </w:rPr>
      </w:pPr>
      <w:r>
        <w:rPr>
          <w:rFonts w:ascii="Times New Roman" w:cs="Times New Roman" w:eastAsia="Times New Roman" w:hAnsi="Times New Roman"/>
          <w:sz w:val="14"/>
          <w:szCs w:val="14"/>
          <w:color w:val="auto"/>
        </w:rPr>
        <w:t>10C.</w:t>
      </w:r>
      <w:r>
        <w:rPr>
          <w:sz w:val="20"/>
          <w:szCs w:val="20"/>
          <w:color w:val="auto"/>
        </w:rPr>
        <w:tab/>
      </w:r>
      <w:r>
        <w:rPr>
          <w:rFonts w:ascii="Times New Roman" w:cs="Times New Roman" w:eastAsia="Times New Roman" w:hAnsi="Times New Roman"/>
          <w:sz w:val="14"/>
          <w:szCs w:val="14"/>
          <w:u w:val="single" w:color="auto"/>
          <w:color w:val="auto"/>
        </w:rPr>
        <w:t>Other Additional Rent</w:t>
      </w:r>
      <w:r>
        <w:rPr>
          <w:rFonts w:ascii="Times New Roman" w:cs="Times New Roman" w:eastAsia="Times New Roman" w:hAnsi="Times New Roman"/>
          <w:sz w:val="14"/>
          <w:szCs w:val="14"/>
          <w:color w:val="auto"/>
        </w:rPr>
        <w:t>: Includes all fees, charges (including parking charges), expenses, fines, assessments, interest or other sums payable by Tenant pursuant to this Lease other than (a)</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Tenant’s Project Share of (i) Project Taxes, (ii) Project Insurance Costs and (iii) Project Operating Costs, (b) Tenant’s Building Share of (i) Building Taxes, (ii) Building Insurance Costs and (iii) Building Operating Costs and (c) Tenant’s Utility Costs due under this Lease.</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10D.</w:t>
      </w:r>
      <w:r>
        <w:rPr>
          <w:sz w:val="20"/>
          <w:szCs w:val="20"/>
          <w:color w:val="auto"/>
        </w:rPr>
        <w:tab/>
      </w:r>
      <w:r>
        <w:rPr>
          <w:rFonts w:ascii="Times New Roman" w:cs="Times New Roman" w:eastAsia="Times New Roman" w:hAnsi="Times New Roman"/>
          <w:sz w:val="14"/>
          <w:szCs w:val="14"/>
          <w:u w:val="single" w:color="auto"/>
          <w:color w:val="auto"/>
        </w:rPr>
        <w:t>First Payment</w:t>
      </w:r>
      <w:r>
        <w:rPr>
          <w:rFonts w:ascii="Times New Roman" w:cs="Times New Roman" w:eastAsia="Times New Roman" w:hAnsi="Times New Roman"/>
          <w:sz w:val="14"/>
          <w:szCs w:val="14"/>
          <w:color w:val="auto"/>
        </w:rPr>
        <w:t>: First month’s Base Rent in the amount of $211,691.67, plus the Security Deposit in the amount of $2,855,094.38, shall be paid upon execution of this Lease.</w:t>
      </w:r>
    </w:p>
    <w:p>
      <w:pPr>
        <w:spacing w:after="0" w:line="175" w:lineRule="exact"/>
        <w:rPr>
          <w:sz w:val="20"/>
          <w:szCs w:val="20"/>
          <w:color w:val="auto"/>
        </w:rPr>
      </w:pPr>
    </w:p>
    <w:p>
      <w:pPr>
        <w:ind w:left="280" w:hanging="276"/>
        <w:spacing w:after="0"/>
        <w:tabs>
          <w:tab w:leader="none" w:pos="28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Utilities</w:t>
      </w:r>
      <w:r>
        <w:rPr>
          <w:rFonts w:ascii="Times New Roman" w:cs="Times New Roman" w:eastAsia="Times New Roman" w:hAnsi="Times New Roman"/>
          <w:sz w:val="14"/>
          <w:szCs w:val="14"/>
          <w:color w:val="auto"/>
        </w:rPr>
        <w:t>: Unless separately metered or submetered to the Premises, utilities shall be supplied by Landlord as part of the Operating Costs.</w:t>
      </w:r>
    </w:p>
    <w:p>
      <w:pPr>
        <w:spacing w:after="0" w:line="175" w:lineRule="exact"/>
        <w:rPr>
          <w:rFonts w:ascii="Times New Roman" w:cs="Times New Roman" w:eastAsia="Times New Roman" w:hAnsi="Times New Roman"/>
          <w:sz w:val="14"/>
          <w:szCs w:val="14"/>
          <w:color w:val="auto"/>
        </w:rPr>
      </w:pPr>
    </w:p>
    <w:p>
      <w:pPr>
        <w:ind w:left="520" w:right="260" w:hanging="516"/>
        <w:spacing w:after="0" w:line="300" w:lineRule="auto"/>
        <w:tabs>
          <w:tab w:leader="none" w:pos="289"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Jones Lang LaSalle New England, LLC, having an office at 1 Post Office Square, Boston, MA 02109 (“</w:t>
      </w:r>
      <w:r>
        <w:rPr>
          <w:rFonts w:ascii="Times New Roman" w:cs="Times New Roman" w:eastAsia="Times New Roman" w:hAnsi="Times New Roman"/>
          <w:sz w:val="14"/>
          <w:szCs w:val="14"/>
          <w:u w:val="single" w:color="auto"/>
          <w:color w:val="auto"/>
        </w:rPr>
        <w:t>Landlord’s Broker</w:t>
      </w:r>
      <w:r>
        <w:rPr>
          <w:rFonts w:ascii="Times New Roman" w:cs="Times New Roman" w:eastAsia="Times New Roman" w:hAnsi="Times New Roman"/>
          <w:sz w:val="14"/>
          <w:szCs w:val="14"/>
          <w:color w:val="auto"/>
        </w:rPr>
        <w:t>”), and Colliers International New England LLC, having an office at 160 Federal Street, 11</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Boston, MA 02110, Attn: Evan Gallagher, Senior Vice President, (“</w:t>
      </w:r>
      <w:r>
        <w:rPr>
          <w:rFonts w:ascii="Times New Roman" w:cs="Times New Roman" w:eastAsia="Times New Roman" w:hAnsi="Times New Roman"/>
          <w:sz w:val="14"/>
          <w:szCs w:val="14"/>
          <w:u w:val="single" w:color="auto"/>
          <w:color w:val="auto"/>
        </w:rPr>
        <w:t>Tenant’s Broker</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419100</wp:posOffset>
            </wp:positionV>
            <wp:extent cx="7188200"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26" w:name="page527"/>
    <w:bookmarkEnd w:id="526"/>
    <w:p>
      <w:pPr>
        <w:spacing w:after="0"/>
        <w:tabs>
          <w:tab w:leader="none" w:pos="540" w:val="left"/>
        </w:tabs>
        <w:rPr>
          <w:sz w:val="20"/>
          <w:szCs w:val="20"/>
          <w:color w:val="auto"/>
        </w:rPr>
      </w:pPr>
      <w:r>
        <w:rPr>
          <w:rFonts w:ascii="Times New Roman" w:cs="Times New Roman" w:eastAsia="Times New Roman" w:hAnsi="Times New Roman"/>
          <w:sz w:val="14"/>
          <w:szCs w:val="14"/>
          <w:color w:val="auto"/>
        </w:rPr>
        <w:t>13A.</w:t>
      </w:r>
      <w:r>
        <w:rPr>
          <w:sz w:val="20"/>
          <w:szCs w:val="20"/>
          <w:color w:val="auto"/>
        </w:rPr>
        <w:tab/>
      </w:r>
      <w:r>
        <w:rPr>
          <w:rFonts w:ascii="Times New Roman" w:cs="Times New Roman" w:eastAsia="Times New Roman" w:hAnsi="Times New Roman"/>
          <w:sz w:val="14"/>
          <w:szCs w:val="14"/>
          <w:u w:val="single" w:color="auto"/>
          <w:color w:val="auto"/>
        </w:rPr>
        <w:t>Tenant’s Address For Notices, Telephone Number, E-Mail and Taxpayer Identification No.: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Before the Commencement Date: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100 Acorn Park Drive</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Attn: John J. Doherty</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(617) 201-3103; E-Mail: jdoherty@fogpharma.com</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Tenant T J.D.# 47-4505725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the Commencement Date: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30 Acorn Park Drive</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Attn: John J. Doherty</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(617) 201-3103; E-Mail: jdoherty@fogpharma.com</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Tenant T.I.D.# 47-4505725</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12670 High Bluff Drive</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San Diego, CA 92130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Attention: Stephanie L. Fontanes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(858) 523-5449; Email: stephanie.fontanes@lw.com</w:t>
      </w:r>
    </w:p>
    <w:p>
      <w:pPr>
        <w:spacing w:after="0" w:line="1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13B.</w:t>
      </w:r>
      <w:r>
        <w:rPr>
          <w:sz w:val="20"/>
          <w:szCs w:val="20"/>
          <w:color w:val="auto"/>
        </w:rPr>
        <w:tab/>
      </w:r>
      <w:r>
        <w:rPr>
          <w:rFonts w:ascii="Times New Roman" w:cs="Times New Roman" w:eastAsia="Times New Roman" w:hAnsi="Times New Roman"/>
          <w:sz w:val="14"/>
          <w:szCs w:val="14"/>
          <w:u w:val="single" w:color="auto"/>
          <w:color w:val="auto"/>
        </w:rPr>
        <w:t>Landlord’s Address for Notices</w:t>
      </w:r>
      <w:r>
        <w:rPr>
          <w:rFonts w:ascii="Times New Roman" w:cs="Times New Roman" w:eastAsia="Times New Roman" w:hAnsi="Times New Roman"/>
          <w:sz w:val="14"/>
          <w:szCs w:val="14"/>
          <w:color w:val="auto"/>
        </w:rPr>
        <w:t xml:space="preserve"> :</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 The Bulfinch Companies, Inc.</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116 Huntington Avenue, Suite 600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Boston, MA 02116</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Attention: Robert A Schlager</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(781) 707-4000; E-Mail: ras@bulfinch.com</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 The Bulfinch Companies, Inc.</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116 Huntington Avenue, Suite 600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Boston, MA 02116</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Attention: Mark R. DiOrio, Esq.</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(781) 707-4000; E-Mail: mrd@bulfinch.com</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And:</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Vorys, Sater, Seymour and Pease LLP</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301 East Fourth Street, Suite 3500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Cincinnati, OH 45202</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Attention: Charles C. Bissinger, Esq.</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Telephone: (513) 723-4084; E-Mail: ccbissinger@vorys.com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699770</wp:posOffset>
            </wp:positionV>
            <wp:extent cx="7188200" cy="387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966" w:right="1440" w:bottom="1440" w:gutter="0" w:footer="0" w:header="0"/>
        </w:sectPr>
      </w:pPr>
    </w:p>
    <w:bookmarkStart w:id="527" w:name="page528"/>
    <w:bookmarkEnd w:id="527"/>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LEASE</w:t>
      </w:r>
    </w:p>
    <w:p>
      <w:pPr>
        <w:spacing w:after="0" w:line="183" w:lineRule="exact"/>
        <w:rPr>
          <w:sz w:val="20"/>
          <w:szCs w:val="20"/>
          <w:color w:val="auto"/>
        </w:rPr>
      </w:pPr>
    </w:p>
    <w:p>
      <w:pPr>
        <w:ind w:right="200" w:firstLine="511"/>
        <w:spacing w:after="0" w:line="232" w:lineRule="auto"/>
        <w:rPr>
          <w:sz w:val="20"/>
          <w:szCs w:val="20"/>
          <w:color w:val="auto"/>
        </w:rPr>
      </w:pPr>
      <w:r>
        <w:rPr>
          <w:rFonts w:ascii="Times New Roman" w:cs="Times New Roman" w:eastAsia="Times New Roman" w:hAnsi="Times New Roman"/>
          <w:sz w:val="14"/>
          <w:szCs w:val="14"/>
          <w:color w:val="auto"/>
        </w:rPr>
        <w:t>THIS LEASE (this “Lease”), made as of the 22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xml:space="preserve"> day of April, 2019 between 400 Discovery Park, LLC, a Delaware limited liability company, and Fog Pharmaceuticals, Inc., a Delaware corporation, is as follows.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u w:val="single" w:color="auto"/>
          <w:color w:val="auto"/>
        </w:rPr>
        <w:t>W I T N E S E T H</w:t>
      </w:r>
      <w:r>
        <w:rPr>
          <w:rFonts w:ascii="Times New Roman" w:cs="Times New Roman" w:eastAsia="Times New Roman" w:hAnsi="Times New Roman"/>
          <w:sz w:val="14"/>
          <w:szCs w:val="14"/>
          <w:b w:val="1"/>
          <w:bCs w:val="1"/>
          <w:color w:val="auto"/>
        </w:rPr>
        <w:t>:</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u w:val="single" w:color="auto"/>
          <w:color w:val="auto"/>
        </w:rPr>
        <w:t>ARTICLE I</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u w:val="single" w:color="auto"/>
          <w:color w:val="auto"/>
        </w:rPr>
        <w:t>CERTAIN DEFINITIONS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to the words and terms defined elsewhere in this Lease, the following words and terms shall have in this Lease the meanings set forth in this Article (whether or not underscored):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Rent</w:t>
      </w:r>
      <w:r>
        <w:rPr>
          <w:rFonts w:ascii="Times New Roman" w:cs="Times New Roman" w:eastAsia="Times New Roman" w:hAnsi="Times New Roman"/>
          <w:sz w:val="14"/>
          <w:szCs w:val="14"/>
          <w:color w:val="auto"/>
        </w:rPr>
        <w:t>” has the meaning set forth in Item 10A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Allowance</w:t>
      </w:r>
      <w:r>
        <w:rPr>
          <w:rFonts w:ascii="Times New Roman" w:cs="Times New Roman" w:eastAsia="Times New Roman" w:hAnsi="Times New Roman"/>
          <w:sz w:val="14"/>
          <w:szCs w:val="14"/>
          <w:color w:val="auto"/>
        </w:rPr>
        <w:t>” has the meaning set forth in Item 4A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Amenity Building</w:t>
      </w:r>
      <w:r>
        <w:rPr>
          <w:rFonts w:ascii="Times New Roman" w:cs="Times New Roman" w:eastAsia="Times New Roman" w:hAnsi="Times New Roman"/>
          <w:sz w:val="14"/>
          <w:szCs w:val="14"/>
          <w:color w:val="auto"/>
        </w:rPr>
        <w:t>” means any building constructed in the Project, all or substantially all of which is used to provide amenities for the Project.</w:t>
      </w:r>
    </w:p>
    <w:p>
      <w:pPr>
        <w:spacing w:after="0" w:line="175" w:lineRule="exact"/>
        <w:rPr>
          <w:sz w:val="20"/>
          <w:szCs w:val="20"/>
          <w:color w:val="auto"/>
        </w:rPr>
      </w:pPr>
    </w:p>
    <w:p>
      <w:pPr>
        <w:jc w:val="both"/>
        <w:ind w:right="2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Laws</w:t>
      </w:r>
      <w:r>
        <w:rPr>
          <w:rFonts w:ascii="Times New Roman" w:cs="Times New Roman" w:eastAsia="Times New Roman" w:hAnsi="Times New Roman"/>
          <w:sz w:val="14"/>
          <w:szCs w:val="14"/>
          <w:color w:val="auto"/>
        </w:rPr>
        <w:t xml:space="preserve">” means any existing or future bankruptcy, insolvency, reorganization, dissolution, liquidation or arrangement or readjustment of debt law or any similar existing or future law of any applicable jurisdiction, or any laws amendatory thereof or supplemental thereto, including, without limitation, the United States Bankruptcy Code of 1978, as amended (11 U.S.C. Section 101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as any or all of the foregoing may be amended or supplemented from time to time.</w:t>
      </w:r>
    </w:p>
    <w:p>
      <w:pPr>
        <w:spacing w:after="0" w:line="136" w:lineRule="exact"/>
        <w:rPr>
          <w:sz w:val="20"/>
          <w:szCs w:val="20"/>
          <w:color w:val="auto"/>
        </w:rPr>
      </w:pPr>
    </w:p>
    <w:p>
      <w:pPr>
        <w:jc w:val="both"/>
        <w:ind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Building Plans</w:t>
      </w:r>
      <w:r>
        <w:rPr>
          <w:rFonts w:ascii="Times New Roman" w:cs="Times New Roman" w:eastAsia="Times New Roman" w:hAnsi="Times New Roman"/>
          <w:sz w:val="14"/>
          <w:szCs w:val="14"/>
          <w:color w:val="auto"/>
        </w:rPr>
        <w:t xml:space="preserve">” means the plans and specifications for the Base Building Work prepared by Landlord’s Architect and listed on </w:t>
      </w:r>
      <w:r>
        <w:rPr>
          <w:rFonts w:ascii="Times New Roman" w:cs="Times New Roman" w:eastAsia="Times New Roman" w:hAnsi="Times New Roman"/>
          <w:sz w:val="14"/>
          <w:szCs w:val="14"/>
          <w:u w:val="single" w:color="auto"/>
          <w:color w:val="auto"/>
        </w:rPr>
        <w:t>Exhibit D-1</w:t>
      </w:r>
      <w:r>
        <w:rPr>
          <w:rFonts w:ascii="Times New Roman" w:cs="Times New Roman" w:eastAsia="Times New Roman" w:hAnsi="Times New Roman"/>
          <w:sz w:val="14"/>
          <w:szCs w:val="14"/>
          <w:color w:val="auto"/>
        </w:rPr>
        <w:t>, as the same may be modified from time to time pursuant to the terms of this Lease.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Building Work</w:t>
      </w:r>
      <w:r>
        <w:rPr>
          <w:rFonts w:ascii="Times New Roman" w:cs="Times New Roman" w:eastAsia="Times New Roman" w:hAnsi="Times New Roman"/>
          <w:sz w:val="14"/>
          <w:szCs w:val="14"/>
          <w:color w:val="auto"/>
        </w:rPr>
        <w:t>” has the meaning set forth in Item 4B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Rent</w:t>
      </w:r>
      <w:r>
        <w:rPr>
          <w:rFonts w:ascii="Times New Roman" w:cs="Times New Roman" w:eastAsia="Times New Roman" w:hAnsi="Times New Roman"/>
          <w:sz w:val="14"/>
          <w:szCs w:val="14"/>
          <w:color w:val="auto"/>
        </w:rPr>
        <w:t>” has the meaning set forth in Item 9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Broker</w:t>
      </w:r>
      <w:r>
        <w:rPr>
          <w:rFonts w:ascii="Times New Roman" w:cs="Times New Roman" w:eastAsia="Times New Roman" w:hAnsi="Times New Roman"/>
          <w:sz w:val="14"/>
          <w:szCs w:val="14"/>
          <w:color w:val="auto"/>
        </w:rPr>
        <w:t>” has the meaning set forth in Item 12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w:t>
      </w:r>
      <w:r>
        <w:rPr>
          <w:rFonts w:ascii="Times New Roman" w:cs="Times New Roman" w:eastAsia="Times New Roman" w:hAnsi="Times New Roman"/>
          <w:sz w:val="14"/>
          <w:szCs w:val="14"/>
          <w:color w:val="auto"/>
        </w:rPr>
        <w:t>” has the meaning set forth in Item 3B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Insurance Costs</w:t>
      </w:r>
      <w:r>
        <w:rPr>
          <w:rFonts w:ascii="Times New Roman" w:cs="Times New Roman" w:eastAsia="Times New Roman" w:hAnsi="Times New Roman"/>
          <w:sz w:val="14"/>
          <w:szCs w:val="14"/>
          <w:color w:val="auto"/>
        </w:rPr>
        <w:t>” means those Insurance Costs which directly relate to, or are primarily for the benefit of, the Building, as reasonably determined by Landlord.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Operating Costs</w:t>
      </w:r>
      <w:r>
        <w:rPr>
          <w:rFonts w:ascii="Times New Roman" w:cs="Times New Roman" w:eastAsia="Times New Roman" w:hAnsi="Times New Roman"/>
          <w:sz w:val="14"/>
          <w:szCs w:val="14"/>
          <w:color w:val="auto"/>
        </w:rPr>
        <w:t>” means those Operating Costs which directly relate to, or are primarily for the benefit of, the Building, as reasonably determined by Landlord.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Taxes</w:t>
      </w:r>
      <w:r>
        <w:rPr>
          <w:rFonts w:ascii="Times New Roman" w:cs="Times New Roman" w:eastAsia="Times New Roman" w:hAnsi="Times New Roman"/>
          <w:sz w:val="14"/>
          <w:szCs w:val="14"/>
          <w:color w:val="auto"/>
        </w:rPr>
        <w:t>” means those Taxes attributable to the value of the Building, as reasonably determined by Landlord if the Building is not then separately taxed.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100</w:t>
      </w:r>
      <w:r>
        <w:rPr>
          <w:rFonts w:ascii="Times New Roman" w:cs="Times New Roman" w:eastAsia="Times New Roman" w:hAnsi="Times New Roman"/>
          <w:sz w:val="14"/>
          <w:szCs w:val="14"/>
          <w:color w:val="auto"/>
        </w:rPr>
        <w:t xml:space="preserve">” means the building identified as such on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200</w:t>
      </w:r>
      <w:r>
        <w:rPr>
          <w:rFonts w:ascii="Times New Roman" w:cs="Times New Roman" w:eastAsia="Times New Roman" w:hAnsi="Times New Roman"/>
          <w:sz w:val="14"/>
          <w:szCs w:val="14"/>
          <w:color w:val="auto"/>
        </w:rPr>
        <w:t xml:space="preserve">” means the building identified as such on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 600</w:t>
      </w:r>
      <w:r>
        <w:rPr>
          <w:rFonts w:ascii="Times New Roman" w:cs="Times New Roman" w:eastAsia="Times New Roman" w:hAnsi="Times New Roman"/>
          <w:sz w:val="14"/>
          <w:szCs w:val="14"/>
          <w:color w:val="auto"/>
        </w:rPr>
        <w:t xml:space="preserve">” means the building identified as such on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Buildings</w:t>
      </w:r>
      <w:r>
        <w:rPr>
          <w:rFonts w:ascii="Times New Roman" w:cs="Times New Roman" w:eastAsia="Times New Roman" w:hAnsi="Times New Roman"/>
          <w:sz w:val="14"/>
          <w:szCs w:val="14"/>
          <w:color w:val="auto"/>
        </w:rPr>
        <w:t>” means, collectively, the Building and the Other Buildings.</w:t>
      </w:r>
    </w:p>
    <w:p>
      <w:pPr>
        <w:spacing w:after="0" w:line="175" w:lineRule="exact"/>
        <w:rPr>
          <w:sz w:val="20"/>
          <w:szCs w:val="20"/>
          <w:color w:val="auto"/>
        </w:rPr>
      </w:pPr>
    </w:p>
    <w:p>
      <w:pPr>
        <w:ind w:right="1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Dav</w:t>
      </w:r>
      <w:r>
        <w:rPr>
          <w:rFonts w:ascii="Times New Roman" w:cs="Times New Roman" w:eastAsia="Times New Roman" w:hAnsi="Times New Roman"/>
          <w:sz w:val="14"/>
          <w:szCs w:val="14"/>
          <w:color w:val="auto"/>
        </w:rPr>
        <w:t>” means Monday through Friday, except holidays. The term “holiday” means (a) the federal day of celebration of the following holidays: New Year’s Day, President’s Day, Memorial Day, July 4th, Labor Day, Thanksgiving, Christmas and (b) the Friday after Thanksgiving.</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has the meaning set forth in Item 5E of the Summary of Basic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40"/>
          </w:cols>
          <w:pgMar w:left="300" w:top="795" w:right="459" w:bottom="1440" w:gutter="0" w:footer="0" w:header="0"/>
        </w:sectPr>
      </w:pPr>
    </w:p>
    <w:bookmarkStart w:id="528" w:name="page529"/>
    <w:bookmarkEnd w:id="528"/>
    <w:p>
      <w:pPr>
        <w:ind w:right="100" w:firstLine="51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Areas</w:t>
      </w:r>
      <w:r>
        <w:rPr>
          <w:rFonts w:ascii="Times New Roman" w:cs="Times New Roman" w:eastAsia="Times New Roman" w:hAnsi="Times New Roman"/>
          <w:sz w:val="14"/>
          <w:szCs w:val="14"/>
          <w:color w:val="auto"/>
        </w:rPr>
        <w:t>” means all areas of the Project, as designated by Landlord from time to time, located inside or outside of the Buildings, which are not intended for the use of a single tenant and which are intended (a) for the non-exclusive common use of Landlord, Tenant and other tenants of portions of the Project and their respective Invitees and/or (b) to serve the Project, including but not limited to the Common Areas, as defined in the Declaration. Common Areas include, without limitation, common lobbies of multi-tenant Buildings, common restroom facilities of multi-tenant Buildings, elevators and stairwells of multi-tenant Buildings, the Food Service Area, if any, sidewalks, the Parking Areas, access drives, landscaped areas, utility rooms, storage rooms and utility lines and systems and the Common Facilities.</w:t>
      </w:r>
    </w:p>
    <w:p>
      <w:pPr>
        <w:spacing w:after="0" w:line="144"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Facilities</w:t>
      </w:r>
      <w:r>
        <w:rPr>
          <w:rFonts w:ascii="Times New Roman" w:cs="Times New Roman" w:eastAsia="Times New Roman" w:hAnsi="Times New Roman"/>
          <w:sz w:val="14"/>
          <w:szCs w:val="14"/>
          <w:color w:val="auto"/>
        </w:rPr>
        <w:t>” means those facilities, if any, located on the Project which Landlord designates from time to time as “common facilities,” including, but not limited to, building systems, pipes, ducts, wires, conduits, meters, HVAC equipment and systems, electrical systems and equipment, plumbing lines and facilities, and mechanical rooms.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Connecting Area</w:t>
      </w:r>
      <w:r>
        <w:rPr>
          <w:rFonts w:ascii="Times New Roman" w:cs="Times New Roman" w:eastAsia="Times New Roman" w:hAnsi="Times New Roman"/>
          <w:sz w:val="14"/>
          <w:szCs w:val="14"/>
          <w:color w:val="auto"/>
        </w:rPr>
        <w:t>” has the meaning set forth in Item 3B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Declaration</w:t>
      </w:r>
      <w:r>
        <w:rPr>
          <w:rFonts w:ascii="Times New Roman" w:cs="Times New Roman" w:eastAsia="Times New Roman" w:hAnsi="Times New Roman"/>
          <w:sz w:val="14"/>
          <w:szCs w:val="14"/>
          <w:color w:val="auto"/>
        </w:rPr>
        <w:t>” has the meaning set forth in Item 3C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Delivery Date</w:t>
      </w:r>
      <w:r>
        <w:rPr>
          <w:rFonts w:ascii="Times New Roman" w:cs="Times New Roman" w:eastAsia="Times New Roman" w:hAnsi="Times New Roman"/>
          <w:sz w:val="14"/>
          <w:szCs w:val="14"/>
          <w:color w:val="auto"/>
        </w:rPr>
        <w:t>” has the meaning set forth in Item 5C of the Summary of Basic Terms.</w:t>
      </w:r>
    </w:p>
    <w:p>
      <w:pPr>
        <w:spacing w:after="0" w:line="175"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w:t>
      </w:r>
      <w:r>
        <w:rPr>
          <w:rFonts w:ascii="Times New Roman" w:cs="Times New Roman" w:eastAsia="Times New Roman" w:hAnsi="Times New Roman"/>
          <w:sz w:val="14"/>
          <w:szCs w:val="14"/>
          <w:color w:val="auto"/>
        </w:rPr>
        <w:t>” means the Comprehensive Environmental Response, Compensation, and Liability Act (“</w:t>
      </w:r>
      <w:r>
        <w:rPr>
          <w:rFonts w:ascii="Times New Roman" w:cs="Times New Roman" w:eastAsia="Times New Roman" w:hAnsi="Times New Roman"/>
          <w:sz w:val="14"/>
          <w:szCs w:val="14"/>
          <w:u w:val="single" w:color="auto"/>
          <w:color w:val="auto"/>
        </w:rPr>
        <w:t>CERCLA</w:t>
      </w:r>
      <w:r>
        <w:rPr>
          <w:rFonts w:ascii="Times New Roman" w:cs="Times New Roman" w:eastAsia="Times New Roman" w:hAnsi="Times New Roman"/>
          <w:sz w:val="14"/>
          <w:szCs w:val="14"/>
          <w:color w:val="auto"/>
        </w:rPr>
        <w:t xml:space="preserve">”). 42 U.S.C. §9601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xml:space="preserve"> the Resource Conservation and Recovery Act, 42 U.S.C. §6901 et </w:t>
      </w:r>
      <w:r>
        <w:rPr>
          <w:rFonts w:ascii="Times New Roman" w:cs="Times New Roman" w:eastAsia="Times New Roman" w:hAnsi="Times New Roman"/>
          <w:sz w:val="14"/>
          <w:szCs w:val="14"/>
          <w:u w:val="single" w:color="auto"/>
          <w:color w:val="auto"/>
        </w:rPr>
        <w:t>seq.</w:t>
      </w:r>
      <w:r>
        <w:rPr>
          <w:rFonts w:ascii="Times New Roman" w:cs="Times New Roman" w:eastAsia="Times New Roman" w:hAnsi="Times New Roman"/>
          <w:sz w:val="14"/>
          <w:szCs w:val="14"/>
          <w:color w:val="auto"/>
        </w:rPr>
        <w:t xml:space="preserve">, the Hazardous Materials Transportation Act, 49 U.S.C. §1802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xml:space="preserve">, the Toxic Substances Control Act, 15 U.S.C. §2601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xml:space="preserve">, the Federal Water Pollution Control Act, 33 U.S.C. §1251 et </w:t>
      </w:r>
      <w:r>
        <w:rPr>
          <w:rFonts w:ascii="Times New Roman" w:cs="Times New Roman" w:eastAsia="Times New Roman" w:hAnsi="Times New Roman"/>
          <w:sz w:val="14"/>
          <w:szCs w:val="14"/>
          <w:u w:val="single" w:color="auto"/>
          <w:color w:val="auto"/>
        </w:rPr>
        <w:t>seq.</w:t>
      </w:r>
      <w:r>
        <w:rPr>
          <w:rFonts w:ascii="Times New Roman" w:cs="Times New Roman" w:eastAsia="Times New Roman" w:hAnsi="Times New Roman"/>
          <w:sz w:val="14"/>
          <w:szCs w:val="14"/>
          <w:color w:val="auto"/>
        </w:rPr>
        <w:t xml:space="preserve">, the Clean Water Act, 33 U.S.C. §1321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xml:space="preserve">, the Clean Air Act, 42 U.S.C. §7401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 the Massachusetts Oil and Hazardous Material Release Prevention and Response Act, Chapter 21E of the Massachusetts General Laws, all regulations promulgated thereunder, and any other federal, state, county, municipal, local or other statute, law, ordinance or regulation (including any state or local board of health rules, regulation, or code), or any common law (including common law that may impose strict liability or liability based on negligence), which may relate to or deal with human health, the environment, natural resources, or Hazardous Materials, all as may be from time to time amended or modified.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Estimated Tenant’s Work Cost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any of the events listed in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Excess Allowance</w:t>
      </w:r>
      <w:r>
        <w:rPr>
          <w:rFonts w:ascii="Times New Roman" w:cs="Times New Roman" w:eastAsia="Times New Roman" w:hAnsi="Times New Roman"/>
          <w:sz w:val="14"/>
          <w:szCs w:val="14"/>
          <w:color w:val="auto"/>
        </w:rPr>
        <w:t>” has the meaning set forth in Item 4A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Excess Allowance Base Rent</w:t>
      </w:r>
      <w:r>
        <w:rPr>
          <w:rFonts w:ascii="Times New Roman" w:cs="Times New Roman" w:eastAsia="Times New Roman" w:hAnsi="Times New Roman"/>
          <w:sz w:val="14"/>
          <w:szCs w:val="14"/>
          <w:color w:val="auto"/>
        </w:rPr>
        <w:t>” has the meaning set forth in Item 4A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Excess Costs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Excusable Delay</w:t>
      </w:r>
      <w:r>
        <w:rPr>
          <w:rFonts w:ascii="Times New Roman" w:cs="Times New Roman" w:eastAsia="Times New Roman" w:hAnsi="Times New Roman"/>
          <w:sz w:val="14"/>
          <w:szCs w:val="14"/>
          <w:color w:val="auto"/>
        </w:rPr>
        <w:t>” means any delay in the performance of the Base Building Work to the extent caused by (a) Tenant’s failure to perform, or delay in the performance of, any obligation which Tenant is required to perform under this Lease, (b) any act of Tenant, or Tenant’s agents, employees or contractors, including without limitation, any Tenant’s Work that delays the completion of the Base Building Work, (c) any failure to act by Tenant, or Tenant’s agents, employees or contractors, where Tenant has a duty to act pursuant to this Lease, pursuant to any other agreement with Landlord and/or under applicable Legal Requirements, (d) any other delays caused by Tenant, including without limitation, delays due to requests by Tenant for changes to the Base Building Work or change orders requested by Tenant, or (e) Force Majeure. For the avoidance of doubt, for purposes of clause (c) above, John Moriarity &amp; Associates, when acting in its capacity as Landlord’s Contractor, shall not be treated as Tenant’s agent, employee or contractor.</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Extension Terms</w:t>
      </w:r>
      <w:r>
        <w:rPr>
          <w:rFonts w:ascii="Times New Roman" w:cs="Times New Roman" w:eastAsia="Times New Roman" w:hAnsi="Times New Roman"/>
          <w:sz w:val="14"/>
          <w:szCs w:val="14"/>
          <w:color w:val="auto"/>
        </w:rPr>
        <w:t>” mean the First Extension Term and the Second Extension Term, collectively and individually as the context may require.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Extension Term</w:t>
      </w:r>
      <w:r>
        <w:rPr>
          <w:rFonts w:ascii="Times New Roman" w:cs="Times New Roman" w:eastAsia="Times New Roman" w:hAnsi="Times New Roman"/>
          <w:sz w:val="14"/>
          <w:szCs w:val="14"/>
          <w:color w:val="auto"/>
        </w:rPr>
        <w:t>” means the period of five (5) years beginning at the end of the Initial Term.</w:t>
      </w:r>
    </w:p>
    <w:p>
      <w:pPr>
        <w:spacing w:after="0" w:line="175"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Floor Area</w:t>
      </w:r>
      <w:r>
        <w:rPr>
          <w:rFonts w:ascii="Times New Roman" w:cs="Times New Roman" w:eastAsia="Times New Roman" w:hAnsi="Times New Roman"/>
          <w:sz w:val="14"/>
          <w:szCs w:val="14"/>
          <w:color w:val="auto"/>
        </w:rPr>
        <w:t xml:space="preserve">” means, as of the date of determination, the rentable square feet of floor area of the Building, Other Buildings, Common Areas or Premises, as applicable, measured by Landlord’s Architect in accordance with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20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Food Service Area</w:t>
      </w:r>
      <w:r>
        <w:rPr>
          <w:rFonts w:ascii="Times New Roman" w:cs="Times New Roman" w:eastAsia="Times New Roman" w:hAnsi="Times New Roman"/>
          <w:sz w:val="14"/>
          <w:szCs w:val="14"/>
          <w:color w:val="auto"/>
        </w:rPr>
        <w:t>” means any space in any of the Buildings designated by Landlord and/or Other Landlords from time to time as a food service area for the non-exclusive common use of Tenant and other tenants of portions of the Project and their respective Invitees, rather than for the exclusive use of a single tenant or for the exclusive use of tenants of a single Building.</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29" w:name="page530"/>
    <w:bookmarkEnd w:id="529"/>
    <w:p>
      <w:pPr>
        <w:ind w:right="16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Food Service Costs</w:t>
      </w:r>
      <w:r>
        <w:rPr>
          <w:rFonts w:ascii="Times New Roman" w:cs="Times New Roman" w:eastAsia="Times New Roman" w:hAnsi="Times New Roman"/>
          <w:sz w:val="14"/>
          <w:szCs w:val="14"/>
          <w:color w:val="auto"/>
        </w:rPr>
        <w:t>” means the total costs to Landlord and/or Other Landlords (net of any revenue realized by Landlord from food service operations) of providing food service in the Food Service Area, if any, including but not limited to any subsidy paid to a food service operator, all costs of operating, maintaining and repairing the Food Service Area, all costs of utility services provided to the Food Service Area, and any such costs allocated to Landlord and/or Other Landlords pursuant to the Declaration.</w:t>
      </w:r>
    </w:p>
    <w:p>
      <w:pPr>
        <w:spacing w:after="0" w:line="136"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means any (i) strike, lockout or other labor trouble or industrial disturbance (whether or not on the part of the employees of either party hereto), (ii) governmental preemption of priorities or other controls in connection with a national or other public emergency, civil disturbance, riot, war, sabotage, blockade, embargo, inability to secure customary materials, supplies or labor through ordinary sources by reason of regulation or order of any government or regulatory body, (iii) shortages of fuel, materials, supplies or labor, (iv) lightning, earthquake, fire, storm, tornado, flood, washout explosion, inclement weather or any other similar industry-wide, Project-wide or Building-wide cause beyond the reasonable control of Landlord, or (v) any other cause, whether similar or dissimilar to the above, beyond either party’s reasonable control.</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Forrester</w:t>
      </w:r>
      <w:r>
        <w:rPr>
          <w:rFonts w:ascii="Times New Roman" w:cs="Times New Roman" w:eastAsia="Times New Roman" w:hAnsi="Times New Roman"/>
          <w:sz w:val="14"/>
          <w:szCs w:val="14"/>
          <w:color w:val="auto"/>
        </w:rPr>
        <w:t>” means Forrester Research, Inc., a Delaware corporation.</w:t>
      </w:r>
    </w:p>
    <w:p>
      <w:pPr>
        <w:spacing w:after="0" w:line="175" w:lineRule="exact"/>
        <w:rPr>
          <w:sz w:val="20"/>
          <w:szCs w:val="20"/>
          <w:color w:val="auto"/>
        </w:rPr>
      </w:pPr>
    </w:p>
    <w:p>
      <w:pPr>
        <w:ind w:right="26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Forrester Agreement</w:t>
      </w:r>
      <w:r>
        <w:rPr>
          <w:rFonts w:ascii="Times New Roman" w:cs="Times New Roman" w:eastAsia="Times New Roman" w:hAnsi="Times New Roman"/>
          <w:sz w:val="14"/>
          <w:szCs w:val="14"/>
          <w:color w:val="auto"/>
        </w:rPr>
        <w:t>” means that certain Agreement Regarding Project Rights dated September 29, 2009, entered into between Forrester and BHX, LLC, a Massachusetts limited liability company, as Trustee of Acorn Park I Realty Trust, a Massachusetts nominee trust.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consistently applied.</w:t>
      </w:r>
    </w:p>
    <w:p>
      <w:pPr>
        <w:spacing w:after="0" w:line="175" w:lineRule="exact"/>
        <w:rPr>
          <w:sz w:val="20"/>
          <w:szCs w:val="20"/>
          <w:color w:val="auto"/>
        </w:rPr>
      </w:pPr>
    </w:p>
    <w:p>
      <w:pPr>
        <w:ind w:right="80" w:firstLine="51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xml:space="preserve"> means, at any time, (a) any “hazardous substance” as defined in §101(14) of CERCLA (42 U.S.C. §9601 (14)) or regulations promulgated thereunder; (b) any “solid waste,” “hazardous waste,” or “infectious waste,” as such terms are defined in any Environmental Law at such time; (c) asbestos, urea-formaldehyde, polychlorinated biphenyls (“PCBs”), bio-medical materials or waste, nuclear fuel or material, chemical waste, radioactive material, explosives, known carcinogens, petroleum products and by-products and other dangerous, toxic or hazardous pollutants, contaminants, chemicals, materials or substances which may be hazardous to human or animal health or the environment or which are listed or identified in, or regulated by, any Environmental Law; and (d) any additional substances or materials which at such time are classified or considered to be hazardous or toxic under any Environmental Law.</w:t>
      </w:r>
    </w:p>
    <w:p>
      <w:pPr>
        <w:spacing w:after="0" w:line="144" w:lineRule="exact"/>
        <w:rPr>
          <w:sz w:val="20"/>
          <w:szCs w:val="20"/>
          <w:color w:val="auto"/>
        </w:rPr>
      </w:pPr>
    </w:p>
    <w:p>
      <w:pPr>
        <w:ind w:right="10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Infrastructure Improvements Phase</w:t>
      </w:r>
      <w:r>
        <w:rPr>
          <w:rFonts w:ascii="Times New Roman" w:cs="Times New Roman" w:eastAsia="Times New Roman" w:hAnsi="Times New Roman"/>
          <w:sz w:val="14"/>
          <w:szCs w:val="14"/>
          <w:color w:val="auto"/>
        </w:rPr>
        <w:t>” means the portions of the Infrastructure Work included in one or more Work Plans. For clarity, the parties acknowledge and agree that the Infrastructure Improvements Phase may be undertaken simultaneously with any other Phase in accordance with the applicable Infrastructure Work Plans.</w:t>
      </w:r>
    </w:p>
    <w:p>
      <w:pPr>
        <w:spacing w:after="0" w:line="125"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Infrastructure Work</w:t>
      </w:r>
      <w:r>
        <w:rPr>
          <w:rFonts w:ascii="Times New Roman" w:cs="Times New Roman" w:eastAsia="Times New Roman" w:hAnsi="Times New Roman"/>
          <w:sz w:val="14"/>
          <w:szCs w:val="14"/>
          <w:color w:val="auto"/>
        </w:rPr>
        <w:t xml:space="preserve">” means the Tenant’s Work included in the Infrastructure Work Plans consisting of equipping the Premises with HVAC, electrical, plumbing, vacuum system and nitrogen system work for the Premises, including, but not limited to, risers, piping, chases, electric panels, rooftop equipment and other HVAC, mechanical, electrical and plumbing equipment, as further described in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right="22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Infrastructure Work Plans</w:t>
      </w:r>
      <w:r>
        <w:rPr>
          <w:rFonts w:ascii="Times New Roman" w:cs="Times New Roman" w:eastAsia="Times New Roman" w:hAnsi="Times New Roman"/>
          <w:sz w:val="14"/>
          <w:szCs w:val="14"/>
          <w:color w:val="auto"/>
        </w:rPr>
        <w:t>” means the reasonably detailed plans and specifications to be approved in advance in writing by Landlord with respect to the Infrastructure Work prior to the commencement thereof in accordance with the terms hereof; provided that such Infrastructure Work Plans need not be stand-alone plans and specifications and, instead, may be included in Tenant’s Work Plans with respect to one or more other Phases.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Term</w:t>
      </w:r>
      <w:r>
        <w:rPr>
          <w:rFonts w:ascii="Times New Roman" w:cs="Times New Roman" w:eastAsia="Times New Roman" w:hAnsi="Times New Roman"/>
          <w:sz w:val="14"/>
          <w:szCs w:val="14"/>
          <w:color w:val="auto"/>
        </w:rPr>
        <w:t>” means the period beginning at 12:01 a.m. on the Commencement Date and ending at 11:59 p.m. on last day of the eleventh (11</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Lease Year.</w:t>
      </w:r>
    </w:p>
    <w:p>
      <w:pPr>
        <w:spacing w:after="0" w:line="135" w:lineRule="exact"/>
        <w:rPr>
          <w:sz w:val="20"/>
          <w:szCs w:val="20"/>
          <w:color w:val="auto"/>
        </w:rPr>
      </w:pPr>
    </w:p>
    <w:p>
      <w:pPr>
        <w:ind w:right="340" w:firstLine="51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Insurance Costs</w:t>
      </w:r>
      <w:r>
        <w:rPr>
          <w:rFonts w:ascii="Times New Roman" w:cs="Times New Roman" w:eastAsia="Times New Roman" w:hAnsi="Times New Roman"/>
          <w:sz w:val="14"/>
          <w:szCs w:val="14"/>
          <w:color w:val="auto"/>
        </w:rPr>
        <w:t>” means the costs of insuring the entire Project, including without limitation the Buildings and other improvements now or hereafter situated thereon, and all operations conducted in connection therewith, with such policies, coverages and companies and in such limits as may be selected by Landlord and/or Other Landlords (and/or which may be required by their lenders), including, but not limited to, fire insurance with extended or with all-risk coverage, commercial general liability insurance covering personal injury, deaths and property damage with a personal injury endorsement covering false arrest, detention or imprisonment, malicious prosecution, libel and slander, and wrongful entry or eviction, rent loss or business interruption insurance, worker’s compensation insurance, plate glass insurance, contractual liability insurance, boiler insurance, and fidelity bonds.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Invitees</w:t>
      </w:r>
      <w:r>
        <w:rPr>
          <w:rFonts w:ascii="Times New Roman" w:cs="Times New Roman" w:eastAsia="Times New Roman" w:hAnsi="Times New Roman"/>
          <w:sz w:val="14"/>
          <w:szCs w:val="14"/>
          <w:color w:val="auto"/>
        </w:rPr>
        <w:t>” means employees, workers, visitors, guests, customers, suppliers, agents, contractors, representatives, licensees and other invitees.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Land</w:t>
      </w:r>
      <w:r>
        <w:rPr>
          <w:rFonts w:ascii="Times New Roman" w:cs="Times New Roman" w:eastAsia="Times New Roman" w:hAnsi="Times New Roman"/>
          <w:sz w:val="14"/>
          <w:szCs w:val="14"/>
          <w:color w:val="auto"/>
        </w:rPr>
        <w:t xml:space="preserve">” means the land described in </w:t>
      </w:r>
      <w:r>
        <w:rPr>
          <w:rFonts w:ascii="Times New Roman" w:cs="Times New Roman" w:eastAsia="Times New Roman" w:hAnsi="Times New Roman"/>
          <w:sz w:val="14"/>
          <w:szCs w:val="14"/>
          <w:u w:val="single" w:color="auto"/>
          <w:color w:val="auto"/>
        </w:rPr>
        <w:t>Exhibit A-1</w:t>
      </w:r>
      <w:r>
        <w:rPr>
          <w:rFonts w:ascii="Times New Roman" w:cs="Times New Roman" w:eastAsia="Times New Roman" w:hAnsi="Times New Roman"/>
          <w:sz w:val="14"/>
          <w:szCs w:val="14"/>
          <w:color w:val="auto"/>
        </w:rPr>
        <w:t xml:space="preserve"> and depicted on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30" w:name="page531"/>
    <w:bookmarkEnd w:id="530"/>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means 400 Discovery Park, LLC, a Delaware limited liability company, its successors and assigns.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Landlord’s Architect</w:t>
      </w:r>
      <w:r>
        <w:rPr>
          <w:rFonts w:ascii="Times New Roman" w:cs="Times New Roman" w:eastAsia="Times New Roman" w:hAnsi="Times New Roman"/>
          <w:sz w:val="14"/>
          <w:szCs w:val="14"/>
          <w:color w:val="auto"/>
        </w:rPr>
        <w:t>” means Stantec Architecture and Engineering, P.C., or any other architect or architectural firm(s) designated by Landlord.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Landlord’s Contractor</w:t>
      </w:r>
      <w:r>
        <w:rPr>
          <w:rFonts w:ascii="Times New Roman" w:cs="Times New Roman" w:eastAsia="Times New Roman" w:hAnsi="Times New Roman"/>
          <w:sz w:val="14"/>
          <w:szCs w:val="14"/>
          <w:color w:val="auto"/>
        </w:rPr>
        <w:t>” means John Moriarty &amp; Associates or any other general contractor designated by Landlord.</w:t>
      </w:r>
    </w:p>
    <w:p>
      <w:pPr>
        <w:spacing w:after="0" w:line="175"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Leasable Square Footage</w:t>
      </w:r>
      <w:r>
        <w:rPr>
          <w:rFonts w:ascii="Times New Roman" w:cs="Times New Roman" w:eastAsia="Times New Roman" w:hAnsi="Times New Roman"/>
          <w:sz w:val="14"/>
          <w:szCs w:val="14"/>
          <w:color w:val="auto"/>
        </w:rPr>
        <w:t>” means, (a) when used with respect to the Premises, the sum of (i) the agreed upon Floor Area of the Premises, plus (ii) Tenant’s Building Share of the agreed upon Floor Area of the Common Areas of the Building, and (b) when used with respect any of the Buildings, the agreed upon Floor Area of such of the Buildings.</w:t>
      </w:r>
    </w:p>
    <w:p>
      <w:pPr>
        <w:spacing w:after="0" w:line="125" w:lineRule="exact"/>
        <w:rPr>
          <w:sz w:val="20"/>
          <w:szCs w:val="20"/>
          <w:color w:val="auto"/>
        </w:rPr>
      </w:pPr>
    </w:p>
    <w:p>
      <w:pPr>
        <w:ind w:right="12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Lease Term</w:t>
      </w:r>
      <w:r>
        <w:rPr>
          <w:rFonts w:ascii="Times New Roman" w:cs="Times New Roman" w:eastAsia="Times New Roman" w:hAnsi="Times New Roman"/>
          <w:sz w:val="14"/>
          <w:szCs w:val="14"/>
          <w:color w:val="auto"/>
        </w:rPr>
        <w:t xml:space="preserve">” means the Initial Term and, if Tenant timely and properly exercises its rights to extend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the First Extension Term and the Second Extension Term, if applicable.</w:t>
      </w:r>
    </w:p>
    <w:p>
      <w:pPr>
        <w:spacing w:after="0" w:line="125" w:lineRule="exact"/>
        <w:rPr>
          <w:sz w:val="20"/>
          <w:szCs w:val="20"/>
          <w:color w:val="auto"/>
        </w:rPr>
      </w:pPr>
    </w:p>
    <w:p>
      <w:pPr>
        <w:ind w:right="10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Lease Year</w:t>
      </w:r>
      <w:r>
        <w:rPr>
          <w:rFonts w:ascii="Times New Roman" w:cs="Times New Roman" w:eastAsia="Times New Roman" w:hAnsi="Times New Roman"/>
          <w:sz w:val="14"/>
          <w:szCs w:val="14"/>
          <w:color w:val="auto"/>
        </w:rPr>
        <w:t>” means the twelve (12) month period beginning on the Commencement Date and on each anniversary of the Commencement Date throughout the Lease Term; provided, that, if the Commencement Date is not the first day of a calendar month, the first Lease Year shall consist of the partial calendar month beginning with the Commencement Date and the next subsequent twelve (12) months, and each subsequent Lease Year shall commence on the first day of the month after the calendar month in which the Commencement Date occurs.</w:t>
      </w:r>
    </w:p>
    <w:p>
      <w:pPr>
        <w:spacing w:after="0" w:line="136"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Requirements</w:t>
      </w:r>
      <w:r>
        <w:rPr>
          <w:rFonts w:ascii="Times New Roman" w:cs="Times New Roman" w:eastAsia="Times New Roman" w:hAnsi="Times New Roman"/>
          <w:sz w:val="14"/>
          <w:szCs w:val="14"/>
          <w:color w:val="auto"/>
        </w:rPr>
        <w:t>” means all applicable present and future laws, statutes, rules, regulations and requirements of governmental authorities, and other legal requirements of whatever kind or nature that are applicable to the Property, including, without limitation, all zoning laws and building codes, environmental laws and the Americans With Disabilities Act of 1990 (including the Americans With Disabilities Act Accessibility Guidelines for Buildings and Facilities), permits and approvals (including without limitation, the Master Special Permit), and any amendments, modifications or changes to any of the foregoing.</w:t>
      </w:r>
    </w:p>
    <w:p>
      <w:pPr>
        <w:spacing w:after="0" w:line="14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Master Special Permit</w:t>
      </w:r>
      <w:r>
        <w:rPr>
          <w:rFonts w:ascii="Times New Roman" w:cs="Times New Roman" w:eastAsia="Times New Roman" w:hAnsi="Times New Roman"/>
          <w:sz w:val="14"/>
          <w:szCs w:val="14"/>
          <w:color w:val="auto"/>
        </w:rPr>
        <w:t>” means the special permit for the Project, as evidenced of record by the following: (i) Notice of Decision and Special Permit Decision No. PB 198, dated October 19, 2004, filed with the Cambridge City Clerk’s office on November 4, 2004, recorded with the Registry at Book 44214, Page 304, and filed with the Land Court as Document No. 1357501 on December 1, 2004; (ii) Notice of Decision, PB 198 Minor Amendment #1, dated March 1, 2005, filed with the Cambridge City Clerk on April 8, 2005, recorded with the Registry at Book 44968, Page 403, and filed with the Land Court as Document No. 1370387 on April 8, 2005, (iii) Notice of Decision, PB 198 Minor Amendment #2, dated October 20, 2009, filed with the Cambridge City Clerk on December 3, 2009, filed with the Land Court as Document No. 1519909 on December 3, 2009; (iv) Notice of Decision, PB 198 Amendment #3 (Major), dated October 21, 2014, filed with the Cambridge City Clerk on December 1, 2014, recorded with the Registry at Book 65188, Page 42, and filed with the Land Court as Document No. 1696019; (v) Notice of Decision, PB 198 Amendment #4 (Minor), dated October 21, 2014, filed with the Cambridge City Clerk on December 1, 2014, recorded with the Registry at Book 65188, Page 59, and filed with the Land Court as Document No. 1696020; and (vi) Notice of Determination (Revised w/clerical corrections), PB 198 Amendment #5 (Minor), dated May 3, 2016, filed with the Cambridge City Clerk on May 18, 2016, recorded with the Registry at Book 67779, Page 292, and filed with the Land Court as Document No. 1737380.</w:t>
      </w:r>
    </w:p>
    <w:p>
      <w:pPr>
        <w:spacing w:after="0" w:line="149"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Operating Costs</w:t>
      </w:r>
      <w:r>
        <w:rPr>
          <w:rFonts w:ascii="Times New Roman" w:cs="Times New Roman" w:eastAsia="Times New Roman" w:hAnsi="Times New Roman"/>
          <w:sz w:val="14"/>
          <w:szCs w:val="14"/>
          <w:color w:val="auto"/>
        </w:rPr>
        <w:t>” means all costs, expenses and disbursements of every kind and nature (except Taxes and Insurance Costs) which Landlord and/or Other Landlords shall pay or become obligated to pay in connection with operating, managing, maintaining, repairing or replacing the Project or elements thereof, all as determined by Landlord, including such costs, expenses and disbursements as are allocated to Landlord and/or Other Landlords pursuant to the Declaration. Operating Costs shall include, by way of illustration, but not be limited to: all charges payable by Landlord and/or Other Landlords in connection with the maintenance and repair of the Project; all charges payable by Landlord and/or Other Landlords to provide janitorial service to the Project; all charges payable by Landlord and/or Other Landlords in connection with the maintenance, repair and replacement of HVAC equipment and systems; all charges payable by Landlord and/or Other Landlords to provide utility services to the Project, except to the extent excluded pursuant to clauses (f) or (g) below; all costs related to the operation of any shuttle or other transportation service between the Project and public transportation stations; all costs incurred in connection with traffic mitigation and/or compliance with the PTDM Plan for the Project and any other transportation demand management plans and/or applicable Legal Requirements in connection with traffic mitigation and/or transportation demand management; all costs related to any police details at any entrances to the Project; all costs related to removal of trash, debris, and refuse; all costs related to removal of snow and ice; all costs of pest and vermin control; all costs of providing, maintaining, repairing and replacing of paving, curbs, walkways, landscaping, planters, roofs, walls, drainage, utility lines, security systems and other equipment; all costs of painting the exterior and Common Areas of the Building; all costs of repaving, resurfacing, and restriping Parking Areas and drives; all costs of lighting, cleaning, waterproofing, repairing and maintaining Common Areas, Common Facilities and other portions of the Project; all surcharges, costs and expenses that may result from any Environmental Laws or other laws, rules, regulations, guidelines or orders, except to the extent excluded pursuant to clause (k) below; all costs of licenses, permits and inspection fees, except to the extent directly attributable to the space of</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966" w:right="359" w:bottom="1440" w:gutter="0" w:footer="0" w:header="0"/>
        </w:sectPr>
      </w:pPr>
    </w:p>
    <w:bookmarkStart w:id="531" w:name="page532"/>
    <w:bookmarkEnd w:id="531"/>
    <w:p>
      <w:pPr>
        <w:ind w:right="60"/>
        <w:spacing w:after="0" w:line="253" w:lineRule="auto"/>
        <w:rPr>
          <w:sz w:val="20"/>
          <w:szCs w:val="20"/>
          <w:color w:val="auto"/>
        </w:rPr>
      </w:pPr>
      <w:r>
        <w:rPr>
          <w:rFonts w:ascii="Times New Roman" w:cs="Times New Roman" w:eastAsia="Times New Roman" w:hAnsi="Times New Roman"/>
          <w:sz w:val="14"/>
          <w:szCs w:val="14"/>
          <w:color w:val="auto"/>
        </w:rPr>
        <w:t>a particular tenant or arising in connection with new improvements or alterations; all legal, accounting, inspection and consulting fees, except to the extent excluded pursuant to clauses (e) or (m) below; except to the extent excluded below, all costs of capital repairs or replacements (but not improvements) hereafter made to the Building or Common Areas, amortized over their expected useful life based upon and including a market rate of interest; all costs of wages, salaries and benefits of operating personnel engaged in managing and operating the Project, to the extent reasonably allocable to the Project, including welfare, retirement, vacations and other compensation and fringe benefits and payroll taxes; the Food Service Costs; all costs for communications devices and/or services used in managing and operating the Project, to the extent reasonably allocable to the Project; the amount of any insurance deductible paid by Landlord and/or Other Landlords in connection with an insured loss; and management fees equal to (i) four percent (4.0%) of gross rents during Lease Years 1 and 2, and (ii) three percent (3.0%) of gross rents during the portion of the Lease Term occurring after Lease Years 1 and 2 (which management fees may be payable to an affiliate of Landlord). However, notwithstanding the above, the following specific items shall not be included in Operating Costs:</w:t>
      </w:r>
    </w:p>
    <w:p>
      <w:pPr>
        <w:spacing w:after="0" w:line="4" w:lineRule="exact"/>
        <w:rPr>
          <w:sz w:val="20"/>
          <w:szCs w:val="20"/>
          <w:color w:val="auto"/>
        </w:rPr>
      </w:pPr>
    </w:p>
    <w:p>
      <w:pPr>
        <w:ind w:right="40" w:firstLine="4"/>
        <w:spacing w:after="0" w:line="250" w:lineRule="auto"/>
        <w:tabs>
          <w:tab w:leader="none" w:pos="191"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alterations to space in the Buildings leased to others; (b) principal, interest and fees relating to debt service or ground rent payments; (c) any cost or expenditure for which Landlord and/or Other Landlords are reimbursed by insurance proceeds or eminent domain proceeds; (d) costs for which Landlord and/or Other Landlords are reimbursed under warranties provided by contractors who have warranty obligations; (e) leasing commissions, attorneys’ fees and collection costs related to negotiation and enforcement of tenant leases unless the matter involves enforcing compliance with rules and regulations or other standards or requirements for the benefit of all tenants of the Building or Project; (f) the cost of providing gas and electrical service to space leased to tenants; (g) expenses which are billed directly, or reasonably allocable exclusively, to any tenant of the Building or Project; (h) salaries and bonuses of officers and executives of Landlord and/or Other Landlords and administrative employees above the level of property manager or building supervisor and Landlord’s or Other Landlords’ general overhead; (i) the cost of any work or service performed on an extra-cost basis for any tenant of the Building or Project; (j) any cost, other than the management fee provided for above, otherwise included in Operating Costs representing an amount paid to a person or entity affiliated with Landlord and/or Other Landlords which is in excess of the amount which would have been paid on an arms-length basis in the absence of such relationship; (k) any costs necessary to cure any violation of any Legal Requirement existing as of the date of this Lease, including any violation of Environmental Laws; (I) depreciation, other than the amortization of capital repairs or replacements hereafter made as provided above; (m) costs of selling, syndicating, financing, mortgaging or hypothecating any of Landlord’s and/or Other Landlords’ interest in the Project;</w:t>
      </w:r>
    </w:p>
    <w:p>
      <w:pPr>
        <w:spacing w:after="0" w:line="5" w:lineRule="exact"/>
        <w:rPr>
          <w:rFonts w:ascii="Times New Roman" w:cs="Times New Roman" w:eastAsia="Times New Roman" w:hAnsi="Times New Roman"/>
          <w:sz w:val="14"/>
          <w:szCs w:val="14"/>
          <w:color w:val="auto"/>
        </w:rPr>
      </w:pPr>
    </w:p>
    <w:p>
      <w:pPr>
        <w:ind w:right="60" w:firstLine="4"/>
        <w:spacing w:after="0" w:line="252" w:lineRule="auto"/>
        <w:tabs>
          <w:tab w:leader="none" w:pos="198"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income or corporate excise taxes assessed against Landlord and/or Other Landlords; (o) costs of developing and constructing any new building at the Project or any addition to or expansion of any of the Buildings, including Landlord’s costs to complete the Base Building Work; (p) costs of renovating any Building (but not ordinary maintenance, repairs and replacements of elements of the Buildings); (q) costs of capital improvements, except to the extent required by a Legal Requirement becoming effective after the date of this Lease or made to effect future savings in Operating Costs (but, in such event, only to the extent of the savings); (r) costs arising from Landlord’s and/or Other Landlords’ negligence or willful misconduct; (s) costs arising from a breach by Landlord of any Legal Requirement not caused by Tenant or its Invitees; (t) charitable or political contributions and membership fees or other payments to trade organizations; (u) the Allowance; (v) costs (i.e., interest and penalties) incurred due to Landlord’s default of this Lease or any other lease, mortgage, or other agreement, in each case affecting the Building or Project; (w) costs of environmental testing, monitoring, removal or remediation of any Hazardous Materials in the Project that are in existence at the Project prior to the Commencement Date except to the extent caused or exacerbated by Tenant or its Invitees; (x) the costs of acquiring investment-grade art; and (y) any item that, if included in Operating Costs, would involve a double collection for such item by Landlord.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Additional Rent</w:t>
      </w:r>
      <w:r>
        <w:rPr>
          <w:rFonts w:ascii="Times New Roman" w:cs="Times New Roman" w:eastAsia="Times New Roman" w:hAnsi="Times New Roman"/>
          <w:sz w:val="14"/>
          <w:szCs w:val="14"/>
          <w:color w:val="auto"/>
        </w:rPr>
        <w:t>” has the meaning set forth in Item 10C of the Summary of Basic Terms.</w:t>
      </w:r>
    </w:p>
    <w:p>
      <w:pPr>
        <w:spacing w:after="0" w:line="175"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Buildings</w:t>
      </w:r>
      <w:r>
        <w:rPr>
          <w:rFonts w:ascii="Times New Roman" w:cs="Times New Roman" w:eastAsia="Times New Roman" w:hAnsi="Times New Roman"/>
          <w:sz w:val="14"/>
          <w:szCs w:val="14"/>
          <w:color w:val="auto"/>
        </w:rPr>
        <w:t>” means the buildings other than the Building located in the Project from time to time, including Building 100, Building 200, Building 600, Parking Garage A, Parking Garage B, any Amenity Building and any building hereafter developed and constructed in the Project. A building hereafter developed and constructed in the Project will be included in the Other Buildings from and after such time as a certificate of occupancy is issued for such building.</w:t>
      </w:r>
    </w:p>
    <w:p>
      <w:pPr>
        <w:spacing w:after="0" w:line="136" w:lineRule="exact"/>
        <w:rPr>
          <w:sz w:val="20"/>
          <w:szCs w:val="20"/>
          <w:color w:val="auto"/>
        </w:rPr>
      </w:pPr>
    </w:p>
    <w:p>
      <w:pPr>
        <w:ind w:right="8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Landlords</w:t>
      </w:r>
      <w:r>
        <w:rPr>
          <w:rFonts w:ascii="Times New Roman" w:cs="Times New Roman" w:eastAsia="Times New Roman" w:hAnsi="Times New Roman"/>
          <w:sz w:val="14"/>
          <w:szCs w:val="14"/>
          <w:color w:val="auto"/>
        </w:rPr>
        <w:t>” means, collectively, (a) the owner, from time to time, of Building 200, (b) the owner, from time to time, of Parking Garage A, (c) the owner, from time to time, of Building 100, (d) the owner, from time to time, of Building 600, (e) the owner of any Amenity Building, and (f) each “Additional Party” (as defined in the Declaration).</w:t>
      </w:r>
    </w:p>
    <w:p>
      <w:pPr>
        <w:spacing w:after="0" w:line="125" w:lineRule="exact"/>
        <w:rPr>
          <w:sz w:val="20"/>
          <w:szCs w:val="20"/>
          <w:color w:val="auto"/>
        </w:rPr>
      </w:pPr>
    </w:p>
    <w:p>
      <w:pPr>
        <w:ind w:right="40" w:firstLine="546"/>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Parking Areas</w:t>
      </w:r>
      <w:r>
        <w:rPr>
          <w:rFonts w:ascii="Times New Roman" w:cs="Times New Roman" w:eastAsia="Times New Roman" w:hAnsi="Times New Roman"/>
          <w:sz w:val="14"/>
          <w:szCs w:val="14"/>
          <w:color w:val="auto"/>
        </w:rPr>
        <w:t>” means those portions of the Project which may be used for parking as depicted on the Site Plan, as such areas may be changed by Landlord and/or Other Landlords from time to time. The Parking Areas include Parking Garage A and Parking Garage B.</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Parking Garage A</w:t>
      </w:r>
      <w:r>
        <w:rPr>
          <w:rFonts w:ascii="Times New Roman" w:cs="Times New Roman" w:eastAsia="Times New Roman" w:hAnsi="Times New Roman"/>
          <w:sz w:val="14"/>
          <w:szCs w:val="14"/>
          <w:color w:val="auto"/>
        </w:rPr>
        <w:t xml:space="preserve">” means the building identified as such on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Parking Garage B</w:t>
      </w:r>
      <w:r>
        <w:rPr>
          <w:rFonts w:ascii="Times New Roman" w:cs="Times New Roman" w:eastAsia="Times New Roman" w:hAnsi="Times New Roman"/>
          <w:sz w:val="14"/>
          <w:szCs w:val="14"/>
          <w:color w:val="auto"/>
        </w:rPr>
        <w:t>” means the building under construction on “Parcel Garage B” as shown on the Site Plan.</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32" w:name="page533"/>
    <w:bookmarkEnd w:id="532"/>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Parking Garage B Owner</w:t>
      </w:r>
      <w:r>
        <w:rPr>
          <w:rFonts w:ascii="Times New Roman" w:cs="Times New Roman" w:eastAsia="Times New Roman" w:hAnsi="Times New Roman"/>
          <w:sz w:val="14"/>
          <w:szCs w:val="14"/>
          <w:color w:val="auto"/>
        </w:rPr>
        <w:t>” means 400 Discovery Park, LLC, a Delaware limited liability company, its successors and assigns, as the owner of Parking Garage B.</w:t>
      </w:r>
    </w:p>
    <w:p>
      <w:pPr>
        <w:spacing w:after="0" w:line="175"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Partial Completion</w:t>
      </w:r>
      <w:r>
        <w:rPr>
          <w:rFonts w:ascii="Times New Roman" w:cs="Times New Roman" w:eastAsia="Times New Roman" w:hAnsi="Times New Roman"/>
          <w:sz w:val="14"/>
          <w:szCs w:val="14"/>
          <w:color w:val="auto"/>
        </w:rPr>
        <w:t>” means, with respect to the Base Building Work, that the Base Building Work has been completed to the point that, provided that Landlord and Tenant and their respective contractors reasonably cooperate and coordinate with each other, Tenant may thereafter perform the Tenant’s Work substantially continuously without material interference from performance of the Base Building Work.</w:t>
      </w:r>
    </w:p>
    <w:p>
      <w:pPr>
        <w:spacing w:after="0" w:line="136" w:lineRule="exact"/>
        <w:rPr>
          <w:sz w:val="20"/>
          <w:szCs w:val="20"/>
          <w:color w:val="auto"/>
        </w:rPr>
      </w:pPr>
    </w:p>
    <w:p>
      <w:pPr>
        <w:ind w:right="28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Transferee</w:t>
      </w:r>
      <w:r>
        <w:rPr>
          <w:rFonts w:ascii="Times New Roman" w:cs="Times New Roman" w:eastAsia="Times New Roman" w:hAnsi="Times New Roman"/>
          <w:sz w:val="14"/>
          <w:szCs w:val="14"/>
          <w:color w:val="auto"/>
        </w:rPr>
        <w:t>” means (a) an entity controlling, controlled by or under common control with Tenant, (b) an entity which succeeds to Tenant’s business by merger, consolidation or other form of corporate reorganization, or (c) an entity which acquires all or substantially all of Tenant’s assets or stock; provided, however, that an entity may not become a Permitted Transferee through or as a part of a bankruptcy or other similar insolvency proceeding.</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Use</w:t>
      </w:r>
      <w:r>
        <w:rPr>
          <w:rFonts w:ascii="Times New Roman" w:cs="Times New Roman" w:eastAsia="Times New Roman" w:hAnsi="Times New Roman"/>
          <w:sz w:val="14"/>
          <w:szCs w:val="14"/>
          <w:color w:val="auto"/>
        </w:rPr>
        <w:t>” has the meaning set forth in Item 6 of the Summary of Basic Terms.</w:t>
      </w:r>
    </w:p>
    <w:p>
      <w:pPr>
        <w:spacing w:after="0" w:line="175" w:lineRule="exact"/>
        <w:rPr>
          <w:sz w:val="20"/>
          <w:szCs w:val="20"/>
          <w:color w:val="auto"/>
        </w:rPr>
      </w:pPr>
    </w:p>
    <w:p>
      <w:pPr>
        <w:ind w:right="18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partnership, joint venture, trust, limited liability company, business trust, joint stock company, unincorporated association, corporation, institution, or entity, including any governmental authority.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w:t>
      </w:r>
      <w:r>
        <w:rPr>
          <w:rFonts w:ascii="Times New Roman" w:cs="Times New Roman" w:eastAsia="Times New Roman" w:hAnsi="Times New Roman"/>
          <w:sz w:val="14"/>
          <w:szCs w:val="14"/>
          <w:color w:val="auto"/>
        </w:rPr>
        <w:t>” means Phase 1, Phase 2 or Phase 3.</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of the Work</w:t>
      </w:r>
      <w:r>
        <w:rPr>
          <w:rFonts w:ascii="Times New Roman" w:cs="Times New Roman" w:eastAsia="Times New Roman" w:hAnsi="Times New Roman"/>
          <w:sz w:val="14"/>
          <w:szCs w:val="14"/>
          <w:color w:val="auto"/>
        </w:rPr>
        <w:t>” means the Phase 1 Work, the Phase 2 Work, the Phase 3 Work or the Infrastructure Improvements Phase, as applicable.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1</w:t>
      </w:r>
      <w:r>
        <w:rPr>
          <w:rFonts w:ascii="Times New Roman" w:cs="Times New Roman" w:eastAsia="Times New Roman" w:hAnsi="Times New Roman"/>
          <w:sz w:val="14"/>
          <w:szCs w:val="14"/>
          <w:color w:val="auto"/>
        </w:rPr>
        <w:t xml:space="preserve">” means the portion of the Premises that is so described on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1 Leasable Square Footage</w:t>
      </w:r>
      <w:r>
        <w:rPr>
          <w:rFonts w:ascii="Times New Roman" w:cs="Times New Roman" w:eastAsia="Times New Roman" w:hAnsi="Times New Roman"/>
          <w:sz w:val="14"/>
          <w:szCs w:val="14"/>
          <w:color w:val="auto"/>
        </w:rPr>
        <w:t>” means the Leasable Square Footage of Phase 1, which is estimated to be 44,500 Leasable Square Feet.</w:t>
      </w:r>
    </w:p>
    <w:p>
      <w:pPr>
        <w:spacing w:after="0" w:line="175"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1 Tenant’s Work Plans</w:t>
      </w:r>
      <w:r>
        <w:rPr>
          <w:rFonts w:ascii="Times New Roman" w:cs="Times New Roman" w:eastAsia="Times New Roman" w:hAnsi="Times New Roman"/>
          <w:sz w:val="14"/>
          <w:szCs w:val="14"/>
          <w:color w:val="auto"/>
        </w:rPr>
        <w:t>” means the reasonably detailed plans and specifications to be approved in writing by Landlord with respect to the Phase 1 Work prior to the commencement thereof in accordance with the terms hereof.</w:t>
      </w:r>
    </w:p>
    <w:p>
      <w:pPr>
        <w:spacing w:after="0" w:line="125" w:lineRule="exact"/>
        <w:rPr>
          <w:sz w:val="20"/>
          <w:szCs w:val="20"/>
          <w:color w:val="auto"/>
        </w:rPr>
      </w:pPr>
    </w:p>
    <w:p>
      <w:pPr>
        <w:jc w:val="both"/>
        <w:ind w:right="36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1 Work</w:t>
      </w:r>
      <w:r>
        <w:rPr>
          <w:rFonts w:ascii="Times New Roman" w:cs="Times New Roman" w:eastAsia="Times New Roman" w:hAnsi="Times New Roman"/>
          <w:sz w:val="14"/>
          <w:szCs w:val="14"/>
          <w:color w:val="auto"/>
        </w:rPr>
        <w:t xml:space="preserve">” means the portions of the Tenant’s Work included in the Phase 1 Tenant’s Work Plans and consisting of the Tenant’s Work for the substantial completion of Phase 1, as generally described in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 excluding the portion of the Tenant’s Work to be completed in the Infrastructure Improvements Phase (even if included in Phase 1 Tenant Work Plans and/or completed simultaneously with the Phase 1 Work).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2</w:t>
      </w:r>
      <w:r>
        <w:rPr>
          <w:rFonts w:ascii="Times New Roman" w:cs="Times New Roman" w:eastAsia="Times New Roman" w:hAnsi="Times New Roman"/>
          <w:sz w:val="14"/>
          <w:szCs w:val="14"/>
          <w:color w:val="auto"/>
        </w:rPr>
        <w:t xml:space="preserve">” means the portion of the Premises that is so described on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2 Leasable Square Footage</w:t>
      </w:r>
      <w:r>
        <w:rPr>
          <w:rFonts w:ascii="Times New Roman" w:cs="Times New Roman" w:eastAsia="Times New Roman" w:hAnsi="Times New Roman"/>
          <w:sz w:val="14"/>
          <w:szCs w:val="14"/>
          <w:color w:val="auto"/>
        </w:rPr>
        <w:t>” means the Leasable Square Footage of Phase 2, which is estimated to be 49,750 Leasable Square Feet.</w:t>
      </w:r>
    </w:p>
    <w:p>
      <w:pPr>
        <w:spacing w:after="0" w:line="175"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2 Tenant’s Work Plans</w:t>
      </w:r>
      <w:r>
        <w:rPr>
          <w:rFonts w:ascii="Times New Roman" w:cs="Times New Roman" w:eastAsia="Times New Roman" w:hAnsi="Times New Roman"/>
          <w:sz w:val="14"/>
          <w:szCs w:val="14"/>
          <w:color w:val="auto"/>
        </w:rPr>
        <w:t>” means the reasonably detailed plans and specifications to be approved in writing by Landlord with respect to the Phase 2 Work prior to the commencement thereof in accordance with the terms hereof.</w:t>
      </w:r>
    </w:p>
    <w:p>
      <w:pPr>
        <w:spacing w:after="0" w:line="125" w:lineRule="exact"/>
        <w:rPr>
          <w:sz w:val="20"/>
          <w:szCs w:val="20"/>
          <w:color w:val="auto"/>
        </w:rPr>
      </w:pPr>
    </w:p>
    <w:p>
      <w:pPr>
        <w:ind w:right="22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2 Work</w:t>
      </w:r>
      <w:r>
        <w:rPr>
          <w:rFonts w:ascii="Times New Roman" w:cs="Times New Roman" w:eastAsia="Times New Roman" w:hAnsi="Times New Roman"/>
          <w:sz w:val="14"/>
          <w:szCs w:val="14"/>
          <w:color w:val="auto"/>
        </w:rPr>
        <w:t xml:space="preserve">” means the portions of the Tenant’s Work included in the Phase 2 Tenant’s Work Plans and consisting of the Tenant’s Work for the substantial completion of Phase 2, as generally described in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 excluding the portion of the Tenant’s Work to be completed in the Infrastructure Improvements Phase (even if included in Phase 2 Work Plans and/or completed simultaneously with the Phase 2 Work).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3</w:t>
      </w:r>
      <w:r>
        <w:rPr>
          <w:rFonts w:ascii="Times New Roman" w:cs="Times New Roman" w:eastAsia="Times New Roman" w:hAnsi="Times New Roman"/>
          <w:sz w:val="14"/>
          <w:szCs w:val="14"/>
          <w:color w:val="auto"/>
        </w:rPr>
        <w:t xml:space="preserve">” means the portion of the Premises that is so described on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3 Leasable Square Footage</w:t>
      </w:r>
      <w:r>
        <w:rPr>
          <w:rFonts w:ascii="Times New Roman" w:cs="Times New Roman" w:eastAsia="Times New Roman" w:hAnsi="Times New Roman"/>
          <w:sz w:val="14"/>
          <w:szCs w:val="14"/>
          <w:color w:val="auto"/>
        </w:rPr>
        <w:t>” means the Leasable Square Footage of Phase 3, which is estimated to be 19,100 Leasable Square Feet.</w:t>
      </w:r>
    </w:p>
    <w:p>
      <w:pPr>
        <w:spacing w:after="0" w:line="175" w:lineRule="exact"/>
        <w:rPr>
          <w:sz w:val="20"/>
          <w:szCs w:val="20"/>
          <w:color w:val="auto"/>
        </w:rPr>
      </w:pPr>
    </w:p>
    <w:p>
      <w:pPr>
        <w:ind w:right="2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Phase 3 Tenant’s Work Plans</w:t>
      </w:r>
      <w:r>
        <w:rPr>
          <w:rFonts w:ascii="Times New Roman" w:cs="Times New Roman" w:eastAsia="Times New Roman" w:hAnsi="Times New Roman"/>
          <w:sz w:val="14"/>
          <w:szCs w:val="14"/>
          <w:color w:val="auto"/>
        </w:rPr>
        <w:t>” means the reasonably detailed plans and specifications to be approved in writing by Landlord with respect to the Phase 3 Work prior to the commencement thereof in accordance with the terms hereof.</w:t>
      </w:r>
    </w:p>
    <w:p>
      <w:pPr>
        <w:spacing w:after="0" w:line="125" w:lineRule="exact"/>
        <w:rPr>
          <w:sz w:val="20"/>
          <w:szCs w:val="20"/>
          <w:color w:val="auto"/>
        </w:rPr>
      </w:pPr>
    </w:p>
    <w:p>
      <w:pPr>
        <w:ind w:right="2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“Phase 3 Work</w:t>
      </w:r>
      <w:r>
        <w:rPr>
          <w:rFonts w:ascii="Times New Roman" w:cs="Times New Roman" w:eastAsia="Times New Roman" w:hAnsi="Times New Roman"/>
          <w:sz w:val="14"/>
          <w:szCs w:val="14"/>
          <w:color w:val="auto"/>
        </w:rPr>
        <w:t xml:space="preserve">” means the portions of the Tenant’s Work included in the Phase 3 Tenant’s Work Plans and consisting of the Tenant’s Work for the substantial completion of Phase 3, as generally described in </w:t>
      </w:r>
      <w:r>
        <w:rPr>
          <w:rFonts w:ascii="Times New Roman" w:cs="Times New Roman" w:eastAsia="Times New Roman" w:hAnsi="Times New Roman"/>
          <w:sz w:val="14"/>
          <w:szCs w:val="14"/>
          <w:u w:val="single" w:color="auto"/>
          <w:color w:val="auto"/>
        </w:rPr>
        <w:t>Exhibit D-2</w:t>
      </w:r>
      <w:r>
        <w:rPr>
          <w:rFonts w:ascii="Times New Roman" w:cs="Times New Roman" w:eastAsia="Times New Roman" w:hAnsi="Times New Roman"/>
          <w:sz w:val="14"/>
          <w:szCs w:val="14"/>
          <w:color w:val="auto"/>
        </w:rPr>
        <w:t>, excluding the portion of the Tenant’s Work to be completed in the Infrastructure Improvements Phase (even if included in Phase 3 Work Plans and/or completed simultaneously with the Phase 3 Work).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5" w:right="339" w:bottom="1440" w:gutter="0" w:footer="0" w:header="0"/>
        </w:sectPr>
      </w:pPr>
    </w:p>
    <w:bookmarkStart w:id="533" w:name="page534"/>
    <w:bookmarkEnd w:id="533"/>
    <w:p>
      <w:pPr>
        <w:jc w:val="both"/>
        <w:ind w:right="12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Pre-Approved Sublease</w:t>
      </w:r>
      <w:r>
        <w:rPr>
          <w:rFonts w:ascii="Times New Roman" w:cs="Times New Roman" w:eastAsia="Times New Roman" w:hAnsi="Times New Roman"/>
          <w:sz w:val="14"/>
          <w:szCs w:val="14"/>
          <w:color w:val="auto"/>
        </w:rPr>
        <w:t>” means a sublease of any portion of the Premises to the existing subtenant of Tenant in Building 100 (the “</w:t>
      </w:r>
      <w:r>
        <w:rPr>
          <w:rFonts w:ascii="Times New Roman" w:cs="Times New Roman" w:eastAsia="Times New Roman" w:hAnsi="Times New Roman"/>
          <w:sz w:val="14"/>
          <w:szCs w:val="14"/>
          <w:u w:val="single" w:color="auto"/>
          <w:color w:val="auto"/>
        </w:rPr>
        <w:t>Existing Subtenant</w:t>
      </w:r>
      <w:r>
        <w:rPr>
          <w:rFonts w:ascii="Times New Roman" w:cs="Times New Roman" w:eastAsia="Times New Roman" w:hAnsi="Times New Roman"/>
          <w:sz w:val="14"/>
          <w:szCs w:val="14"/>
          <w:color w:val="auto"/>
        </w:rPr>
        <w:t>”) which is in substantially the form of the Sublease dated December 15, 2016 between Tenant and the Existing Subtenant and which is accompanied by a Landlord, Sublessor and Sublessee Agreement in substantially the same form as the Landlord, Sublessor and Sublessee Agreement dated December 15, 2016 between Building 100 Landlord, Tenant and the Existing Subtenant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has the meaning set forth in Item 3A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Project</w:t>
      </w:r>
      <w:r>
        <w:rPr>
          <w:rFonts w:ascii="Times New Roman" w:cs="Times New Roman" w:eastAsia="Times New Roman" w:hAnsi="Times New Roman"/>
          <w:sz w:val="14"/>
          <w:szCs w:val="14"/>
          <w:color w:val="auto"/>
        </w:rPr>
        <w:t>” has the meaning set forth in Item 3C of the Summary of Basic Terms.</w:t>
      </w:r>
    </w:p>
    <w:p>
      <w:pPr>
        <w:spacing w:after="0" w:line="175" w:lineRule="exact"/>
        <w:rPr>
          <w:sz w:val="20"/>
          <w:szCs w:val="20"/>
          <w:color w:val="auto"/>
        </w:rPr>
      </w:pPr>
    </w:p>
    <w:p>
      <w:pPr>
        <w:ind w:right="6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Project Insurance Costs</w:t>
      </w:r>
      <w:r>
        <w:rPr>
          <w:rFonts w:ascii="Times New Roman" w:cs="Times New Roman" w:eastAsia="Times New Roman" w:hAnsi="Times New Roman"/>
          <w:sz w:val="14"/>
          <w:szCs w:val="14"/>
          <w:color w:val="auto"/>
        </w:rPr>
        <w:t>” means all Insurance Costs other than (a) Building Insurance Costs and (b) Insurance Costs which relate solely to, or are primarily for the benefit of, any of the Other Buildings, as reasonably determined by Landlord.</w:t>
      </w:r>
    </w:p>
    <w:p>
      <w:pPr>
        <w:spacing w:after="0" w:line="125"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Project Operating Costs</w:t>
      </w:r>
      <w:r>
        <w:rPr>
          <w:rFonts w:ascii="Times New Roman" w:cs="Times New Roman" w:eastAsia="Times New Roman" w:hAnsi="Times New Roman"/>
          <w:sz w:val="14"/>
          <w:szCs w:val="14"/>
          <w:color w:val="auto"/>
        </w:rPr>
        <w:t>” means all Operating Costs other than (a) Building Operating Costs and (b) Operating Costs which relate solely to, or are primarily for the benefit of, any of the Other Buildings, as reasonably determined by Landlord.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Project Taxes</w:t>
      </w:r>
      <w:r>
        <w:rPr>
          <w:rFonts w:ascii="Times New Roman" w:cs="Times New Roman" w:eastAsia="Times New Roman" w:hAnsi="Times New Roman"/>
          <w:sz w:val="14"/>
          <w:szCs w:val="14"/>
          <w:color w:val="auto"/>
        </w:rPr>
        <w:t>” means those Taxes attributable to the value of the Land.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Registry</w:t>
      </w:r>
      <w:r>
        <w:rPr>
          <w:rFonts w:ascii="Times New Roman" w:cs="Times New Roman" w:eastAsia="Times New Roman" w:hAnsi="Times New Roman"/>
          <w:sz w:val="14"/>
          <w:szCs w:val="14"/>
          <w:color w:val="auto"/>
        </w:rPr>
        <w:t>” has the meaning set forth in the definition of “Project” in Item 3C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“Roof Warranty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Rooftop Equipment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Rules and Regulations</w:t>
      </w:r>
      <w:r>
        <w:rPr>
          <w:rFonts w:ascii="Times New Roman" w:cs="Times New Roman" w:eastAsia="Times New Roman" w:hAnsi="Times New Roman"/>
          <w:sz w:val="14"/>
          <w:szCs w:val="14"/>
          <w:color w:val="auto"/>
        </w:rPr>
        <w:t xml:space="preserve">” means the rules and regulations promulgated by Landlord and Other Landlords with respect to the Project, a copy of which is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hereto, as the same may be modified by Landlord and Other Landlords from time to time upon notice to Tenant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Extension Term</w:t>
      </w:r>
      <w:r>
        <w:rPr>
          <w:rFonts w:ascii="Times New Roman" w:cs="Times New Roman" w:eastAsia="Times New Roman" w:hAnsi="Times New Roman"/>
          <w:sz w:val="14"/>
          <w:szCs w:val="14"/>
          <w:color w:val="auto"/>
        </w:rPr>
        <w:t>” means the period of five (5) years beginning at the end of the First Extension Term.</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Deposit</w:t>
      </w:r>
      <w:r>
        <w:rPr>
          <w:rFonts w:ascii="Times New Roman" w:cs="Times New Roman" w:eastAsia="Times New Roman" w:hAnsi="Times New Roman"/>
          <w:sz w:val="14"/>
          <w:szCs w:val="14"/>
          <w:color w:val="auto"/>
        </w:rPr>
        <w:t>” has the meaning set forth in Item 7 of the Summary of Basic Terms.</w:t>
      </w:r>
    </w:p>
    <w:p>
      <w:pPr>
        <w:spacing w:after="0" w:line="175" w:lineRule="exact"/>
        <w:rPr>
          <w:sz w:val="20"/>
          <w:szCs w:val="20"/>
          <w:color w:val="auto"/>
        </w:rPr>
      </w:pPr>
    </w:p>
    <w:p>
      <w:pPr>
        <w:ind w:right="30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Site Plan</w:t>
      </w:r>
      <w:r>
        <w:rPr>
          <w:rFonts w:ascii="Times New Roman" w:cs="Times New Roman" w:eastAsia="Times New Roman" w:hAnsi="Times New Roman"/>
          <w:sz w:val="14"/>
          <w:szCs w:val="14"/>
          <w:color w:val="auto"/>
        </w:rPr>
        <w:t xml:space="preserve">” means the site plan attached hereto as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xml:space="preserve"> which depicts the approximate size and layout of the Land, the Building, Building 100, Building 200, Building 600, Parking Garage A and Parking Garage B.</w:t>
      </w:r>
    </w:p>
    <w:p>
      <w:pPr>
        <w:spacing w:after="0" w:line="125" w:lineRule="exact"/>
        <w:rPr>
          <w:sz w:val="20"/>
          <w:szCs w:val="20"/>
          <w:color w:val="auto"/>
        </w:rPr>
      </w:pPr>
    </w:p>
    <w:p>
      <w:pPr>
        <w:ind w:right="380" w:firstLine="511"/>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Substantial Completion</w:t>
      </w:r>
      <w:r>
        <w:rPr>
          <w:rFonts w:ascii="Times New Roman" w:cs="Times New Roman" w:eastAsia="Times New Roman" w:hAnsi="Times New Roman"/>
          <w:sz w:val="14"/>
          <w:szCs w:val="14"/>
          <w:color w:val="auto"/>
        </w:rPr>
        <w:t>” means the substantial completion of the Base Building Work, as determined by Landlord’s Architect, and receipt of all governmental approvals required by applicable governmental authorities to signify completion of the Base Building Work (but only if and to the extent that the Inspectional Services Department of the City of Cambridge issues such approvals for the level of completion contemplated by the Base Building Plans).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Substantial Completion Date</w:t>
      </w:r>
      <w:r>
        <w:rPr>
          <w:rFonts w:ascii="Times New Roman" w:cs="Times New Roman" w:eastAsia="Times New Roman" w:hAnsi="Times New Roman"/>
          <w:sz w:val="14"/>
          <w:szCs w:val="14"/>
          <w:color w:val="auto"/>
        </w:rPr>
        <w:t>” has the meaning set forth in Item 5D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Summary of Basic Terms”</w:t>
      </w:r>
      <w:r>
        <w:rPr>
          <w:rFonts w:ascii="Times New Roman" w:cs="Times New Roman" w:eastAsia="Times New Roman" w:hAnsi="Times New Roman"/>
          <w:sz w:val="14"/>
          <w:szCs w:val="14"/>
          <w:color w:val="auto"/>
        </w:rPr>
        <w:t xml:space="preserve"> means the Summary of Basic Terms which is affixed to this Lease immediately after the table of contents of this Lease.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“Target Delivery Date</w:t>
      </w:r>
      <w:r>
        <w:rPr>
          <w:rFonts w:ascii="Times New Roman" w:cs="Times New Roman" w:eastAsia="Times New Roman" w:hAnsi="Times New Roman"/>
          <w:sz w:val="14"/>
          <w:szCs w:val="14"/>
          <w:color w:val="auto"/>
        </w:rPr>
        <w:t>” has the meaning set forth in Item 5A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Target Substantial Completion Date</w:t>
      </w:r>
      <w:r>
        <w:rPr>
          <w:rFonts w:ascii="Times New Roman" w:cs="Times New Roman" w:eastAsia="Times New Roman" w:hAnsi="Times New Roman"/>
          <w:sz w:val="14"/>
          <w:szCs w:val="14"/>
          <w:color w:val="auto"/>
        </w:rPr>
        <w:t>” has the meaning set forth in Item 5B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Fiscal Year</w:t>
      </w:r>
      <w:r>
        <w:rPr>
          <w:rFonts w:ascii="Times New Roman" w:cs="Times New Roman" w:eastAsia="Times New Roman" w:hAnsi="Times New Roman"/>
          <w:sz w:val="14"/>
          <w:szCs w:val="14"/>
          <w:color w:val="auto"/>
        </w:rPr>
        <w:t>” means July 1 through June 30 next following, or such other tax period as may be established by law for the payment of Taxes.</w:t>
      </w:r>
    </w:p>
    <w:p>
      <w:pPr>
        <w:spacing w:after="0" w:line="175"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 all taxes, assessments, betterments, water or sewer entrance fees and charges including general, special, ordinary and extraordinary, or any other charges (including charges for the use of municipal services if billed separately from other taxes), levied, assessed or imposed at any time by any governmental authority upon or against the Land (including without limitation, any of the foregoing allocated to the Building under the Declaration), the Buildings, or the fixtures, signs and other improvements thereon then comprising the Project and (b) all attorneys’ fees, appraisal fees and other fees, charges, costs and/or expenses incurred in connection with any proceedings related to the amount of the Taxes, the tax classification and/or the assessed value of the Project. This definition of Taxes is based upon the present system of real estate taxation in the Commonwealth of Massachusetts; if taxes upon</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534" w:name="page535"/>
    <w:bookmarkEnd w:id="534"/>
    <w:p>
      <w:pPr>
        <w:ind w:right="160"/>
        <w:spacing w:after="0" w:line="261" w:lineRule="auto"/>
        <w:rPr>
          <w:sz w:val="20"/>
          <w:szCs w:val="20"/>
          <w:color w:val="auto"/>
        </w:rPr>
      </w:pPr>
      <w:r>
        <w:rPr>
          <w:rFonts w:ascii="Times New Roman" w:cs="Times New Roman" w:eastAsia="Times New Roman" w:hAnsi="Times New Roman"/>
          <w:sz w:val="14"/>
          <w:szCs w:val="14"/>
          <w:color w:val="auto"/>
        </w:rPr>
        <w:t>rentals or any other basis shall be substituted, in whole or in part, for the present ad valorem real estate taxes, the term “Taxes” shall be deemed changed to the extent to which there is such a substitution for the present ad valorem real estate taxes. For purposes of this definition of Taxes, if assessments may be paid in installments, only the current installments of such assessments shall be included in Taxes. Notwithstanding anything to the contrary in this Lease, Taxes shall not include any net income, franchise, capital stock, estate or inheritance taxes imposed by the state or federal government or by any agency, branch or department thereof and further excluding fines, penalties and/or interest incurred as a result of Landlord’s failure to pay any Taxes when due.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 means Fog Pharmaceuticals, Inc., a Delaware corporation, its permitted successors and permitted assigns.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Architect</w:t>
      </w:r>
      <w:r>
        <w:rPr>
          <w:rFonts w:ascii="Times New Roman" w:cs="Times New Roman" w:eastAsia="Times New Roman" w:hAnsi="Times New Roman"/>
          <w:sz w:val="14"/>
          <w:szCs w:val="14"/>
          <w:color w:val="auto"/>
        </w:rPr>
        <w:t>” means an architect be selected by Tenant and approved by Landlord.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Building Share</w:t>
      </w:r>
      <w:r>
        <w:rPr>
          <w:rFonts w:ascii="Times New Roman" w:cs="Times New Roman" w:eastAsia="Times New Roman" w:hAnsi="Times New Roman"/>
          <w:sz w:val="14"/>
          <w:szCs w:val="14"/>
          <w:color w:val="auto"/>
        </w:rPr>
        <w:t>” means the amount (expressed as a percentage) equal to (a) the Leasable Square Footage of the Premises divided by (b) the Leasable Square Footage of the Building.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percentage determined by the preceding sentence shall be rounded upward to the nearest one-tenth of one percent (0.1%). Initially, Tenant’s Building Share shall be 40.5% (114,490/283,247).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Tenant’s Building Share shall be recalculated at any time at which the Leasable Square Footage of either the Premises or the Building is changed.</w:t>
      </w:r>
    </w:p>
    <w:p>
      <w:pPr>
        <w:spacing w:after="0" w:line="161" w:lineRule="exact"/>
        <w:rPr>
          <w:sz w:val="20"/>
          <w:szCs w:val="20"/>
          <w:color w:val="auto"/>
        </w:rPr>
      </w:pPr>
    </w:p>
    <w:p>
      <w:pPr>
        <w:ind w:right="1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Contractor</w:t>
      </w:r>
      <w:r>
        <w:rPr>
          <w:rFonts w:ascii="Times New Roman" w:cs="Times New Roman" w:eastAsia="Times New Roman" w:hAnsi="Times New Roman"/>
          <w:sz w:val="14"/>
          <w:szCs w:val="14"/>
          <w:color w:val="auto"/>
        </w:rPr>
        <w:t xml:space="preserve">” means, (i) with respect to the Phase 1 Work and the Infrastructure Work, Landlord’s Contractor in its capacity as the Tenant’s contractor for the Phase 1 Work and the Infrastructure Work, and (ii) with respect to the Phase 2 Work and/or Phase 3 Work, a contractor selected by Tenant and approved by Landlord as provided in </w:t>
      </w:r>
      <w:r>
        <w:rPr>
          <w:rFonts w:ascii="Times New Roman" w:cs="Times New Roman" w:eastAsia="Times New Roman" w:hAnsi="Times New Roman"/>
          <w:sz w:val="14"/>
          <w:szCs w:val="14"/>
          <w:u w:val="single" w:color="auto"/>
          <w:color w:val="auto"/>
        </w:rPr>
        <w:t>Section 3.1(f)</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Invitees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340" w:firstLine="51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Parking Share</w:t>
      </w:r>
      <w:r>
        <w:rPr>
          <w:rFonts w:ascii="Times New Roman" w:cs="Times New Roman" w:eastAsia="Times New Roman" w:hAnsi="Times New Roman"/>
          <w:sz w:val="14"/>
          <w:szCs w:val="14"/>
          <w:color w:val="auto"/>
        </w:rPr>
        <w:t>” means the product of (a) Tenant’s Building Share and (b) the number of parking spaces in Parking Garage B, reduced by the lesser of (i) the number of parking spaces allocated from time to time to Building 600 and (ii) 85 parking spaces.</w:t>
      </w:r>
    </w:p>
    <w:p>
      <w:pPr>
        <w:spacing w:after="0" w:line="125"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Project Share</w:t>
      </w:r>
      <w:r>
        <w:rPr>
          <w:rFonts w:ascii="Times New Roman" w:cs="Times New Roman" w:eastAsia="Times New Roman" w:hAnsi="Times New Roman"/>
          <w:sz w:val="14"/>
          <w:szCs w:val="14"/>
          <w:color w:val="auto"/>
        </w:rPr>
        <w:t>” means the amount (expressed as a percentage) equal to (a) the Leasable Square Footage of the Premises divided by (b) the Leasable Square Footage of the Project; provided, however, that for purposes of determining Tenant’s Project Share of the Food Service Costs, Tenant’s Project Share means the amount (expressed as a percentage) equal to (i) the Floor Area of the Premises divided by (ii) the Floor Area of all leased and occupied space in the Buildings. The percentage determined by the preceding sentence shall be rounded upward to the nearest one-tenth of one percent (0.1 %). Initially, Tenant’s Project Share (other than with respect to Food Service Costs) shall be 16.5% (114,590/696,150). Tenant’s Project Share shall be recalculated at any time at which the Leasable Square Footage of either the Premises or the Leasable Square Footage of the Project is changed, and Tenant’s Project Share with respect to Food Service Costs shall be recalculated upon each change in the level of occupancy of the Buildings.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Share</w:t>
      </w:r>
      <w:r>
        <w:rPr>
          <w:rFonts w:ascii="Times New Roman" w:cs="Times New Roman" w:eastAsia="Times New Roman" w:hAnsi="Times New Roman"/>
          <w:sz w:val="14"/>
          <w:szCs w:val="14"/>
          <w:color w:val="auto"/>
        </w:rPr>
        <w:t>” means, as applicable, Tenant’s Building Share or Tenant’s Project Share, as applicable.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Utility Costs</w:t>
      </w:r>
      <w:r>
        <w:rPr>
          <w:rFonts w:ascii="Times New Roman" w:cs="Times New Roman" w:eastAsia="Times New Roman" w:hAnsi="Times New Roman"/>
          <w:sz w:val="14"/>
          <w:szCs w:val="14"/>
          <w:color w:val="auto"/>
        </w:rPr>
        <w:t>” has the meaning set forth in Item 10B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 Costs</w:t>
      </w:r>
      <w:r>
        <w:rPr>
          <w:rFonts w:ascii="Times New Roman" w:cs="Times New Roman" w:eastAsia="Times New Roman" w:hAnsi="Times New Roman"/>
          <w:sz w:val="14"/>
          <w:szCs w:val="14"/>
          <w:color w:val="auto"/>
        </w:rPr>
        <w:t>” means all costs of designing and performing Tenant’s Work.</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 Plans</w:t>
      </w:r>
      <w:r>
        <w:rPr>
          <w:rFonts w:ascii="Times New Roman" w:cs="Times New Roman" w:eastAsia="Times New Roman" w:hAnsi="Times New Roman"/>
          <w:sz w:val="14"/>
          <w:szCs w:val="14"/>
          <w:color w:val="auto"/>
        </w:rPr>
        <w:t>” means the Phase 1 Tenant’s Work Plans, the Phase 2 Tenant’s Work Plans, the Phase 3 Tenant’s Work Plans and/or the Infrastructure Work Plans, as applicable.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“Tower 400</w:t>
      </w:r>
      <w:r>
        <w:rPr>
          <w:rFonts w:ascii="Times New Roman" w:cs="Times New Roman" w:eastAsia="Times New Roman" w:hAnsi="Times New Roman"/>
          <w:sz w:val="14"/>
          <w:szCs w:val="14"/>
          <w:color w:val="auto"/>
        </w:rPr>
        <w:t>” has the meaning set forth in Item 3B of the Summary of Basic Terms.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“Tower 500</w:t>
      </w:r>
      <w:r>
        <w:rPr>
          <w:rFonts w:ascii="Times New Roman" w:cs="Times New Roman" w:eastAsia="Times New Roman" w:hAnsi="Times New Roman"/>
          <w:sz w:val="14"/>
          <w:szCs w:val="14"/>
          <w:color w:val="auto"/>
        </w:rPr>
        <w:t>” has the meaning set forth in Item 3B of the Summary of Basic Terms.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35" w:name="page536"/>
    <w:bookmarkEnd w:id="535"/>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ARTICLE II</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LEASE OF PREMISES</w:t>
      </w:r>
    </w:p>
    <w:p>
      <w:pPr>
        <w:spacing w:after="0" w:line="161" w:lineRule="exact"/>
        <w:rPr>
          <w:sz w:val="20"/>
          <w:szCs w:val="20"/>
          <w:color w:val="auto"/>
        </w:rPr>
      </w:pPr>
    </w:p>
    <w:p>
      <w:pPr>
        <w:ind w:right="40" w:firstLine="511"/>
        <w:spacing w:after="0" w:line="283" w:lineRule="auto"/>
        <w:rPr>
          <w:sz w:val="20"/>
          <w:szCs w:val="20"/>
          <w:color w:val="auto"/>
        </w:rPr>
      </w:pPr>
      <w:r>
        <w:rPr>
          <w:rFonts w:ascii="Times New Roman" w:cs="Times New Roman" w:eastAsia="Times New Roman" w:hAnsi="Times New Roman"/>
          <w:sz w:val="14"/>
          <w:szCs w:val="14"/>
          <w:u w:val="single" w:color="auto"/>
          <w:color w:val="auto"/>
        </w:rPr>
        <w:t>Section 2.1 Lease Of The Premises</w:t>
      </w:r>
      <w:r>
        <w:rPr>
          <w:rFonts w:ascii="Times New Roman" w:cs="Times New Roman" w:eastAsia="Times New Roman" w:hAnsi="Times New Roman"/>
          <w:sz w:val="14"/>
          <w:szCs w:val="14"/>
          <w:color w:val="auto"/>
        </w:rPr>
        <w:t>. Landlord does hereby lease the Premises to Tenant, and Tenant hereby leases the Premises from Landlord, upon and subject to the terms and provisions of this Lease and all zoning ordinances, and easements, restrictions, and conditions of record.</w:t>
      </w:r>
    </w:p>
    <w:p>
      <w:pPr>
        <w:spacing w:after="0" w:line="125"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2.2 Common Rights</w:t>
      </w:r>
      <w:r>
        <w:rPr>
          <w:rFonts w:ascii="Times New Roman" w:cs="Times New Roman" w:eastAsia="Times New Roman" w:hAnsi="Times New Roman"/>
          <w:sz w:val="14"/>
          <w:szCs w:val="14"/>
          <w:color w:val="auto"/>
        </w:rPr>
        <w:t>. The Premises are leased subject to, and with the benefit of, the non-exclusive right to use in common with others at any time entitled thereto the Common Areas and Common Facilities for all such purposes as such areas may be reasonably designated, but only in connection with lawful business in the Building and in accordance with the Rules and Regulations. Landlord and/or Other Landlords shall have the right from time to time to designate or change the number, locations, size or configuration of the Buildings, including, without limitation, the Common Areas, exits and entrances, and to modify or replace the Common Facilities, and to permit expansion and new construction therein, provided that the same would not have a material adverse effect on Tenant’s access to the Premises and/or use and enjoyment of the Premises. Tenant shall not have the right to use those portions of the Common Areas designated from time to time by Landlord and/or Other Landlords as for the exclusive use of one or more other tenants, provided that Landlord shall not, and shall not permit (to the extent Landlord may do so under the Declaration) any Other Landlords to, make such a designation as would materially adversely affect Tenant’s access to the Premises and/or use and enjoyment of the Premises. Landlord may, but shall not be required to, provide or share in Amenity Facilities (as defined in the Declaration) as Common Areas within the Project from time to time; provided, however, that, pursuant and subject to the terms and provisions of this Lease and the Declaration, Tenant shall have the right, in common with others entitled thereto, to use the existing Food Service Area and fitness center located in Building 200 for such time as such Food Service Area and/or fitness center (as applicable) are Amenity Facilities and Landlord has the right to use such areas pursuant to the Declaration. Prior to providing or accepting any Amenity Facility, other than the existing Food Service Area and such fitness center, as a Common Area, Landlord will consult with Tenant, but Landlord may provide or accept any such Amenity Facility in the exercise of Landlord’s reasonable discretion.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2.3 Parking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5"/>
        <w:spacing w:after="0" w:line="254" w:lineRule="auto"/>
        <w:tabs>
          <w:tab w:leader="none" w:pos="1341"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Rules and Regulations, Tenant and its employees, invitees, assignees, subtenants, and anyone claiming by or under Tenant or for whom Tenant is responsible (collectively, “</w:t>
      </w:r>
      <w:r>
        <w:rPr>
          <w:rFonts w:ascii="Times New Roman" w:cs="Times New Roman" w:eastAsia="Times New Roman" w:hAnsi="Times New Roman"/>
          <w:sz w:val="14"/>
          <w:szCs w:val="14"/>
          <w:u w:val="single" w:color="auto"/>
          <w:color w:val="auto"/>
        </w:rPr>
        <w:t>Tenant’s Invitees</w:t>
      </w:r>
      <w:r>
        <w:rPr>
          <w:rFonts w:ascii="Times New Roman" w:cs="Times New Roman" w:eastAsia="Times New Roman" w:hAnsi="Times New Roman"/>
          <w:sz w:val="14"/>
          <w:szCs w:val="14"/>
          <w:color w:val="auto"/>
        </w:rPr>
        <w:t>”) are authorized to use Tenant’s Parking Share of the parking spaces in Parking Garage B, in common with Landlord, other tenants of the Project and the general public from time to time. Tenant shall pay to or at the direction of Landlord and otherwise in accordance with the provisions of the Master Special Permit, a monthly parking charge, in addition to Base Rent, for each parking space that Tenant is authorized to use based on the fair market charge for similar spaces in the market area of the Project and at the same rate charged to similarly situated users at the Building, as determined and adjusted by Parking Garage B Owner from time to time. Tenant shall not (i) permit any of Tenant’s Invitees (other than visitors) to park in spaces designated as “visitor” spaces, (ii) permit any of Tenant’s Invitees to park in spaces designated as “reserved” spaces (unless reserved for Tenant), (iii) permit the total number of passenger automobiles parked in Parking Garage B by Tenant’s Invitees, at any time, to exceed Tenant’s Parking Share of the parking spaces existing in Parking Garage B from time to time, (iv) permit any passenger vehicles of Tenant’s Invitees to park in any Parking Areas other than Parking Garage B, and (v) except for delivery trucks using designated loading and unloading facilities, permit any of Tenant’s Invitees to park any vehicle on the Project other than passenger automobiles. Landlord and/or Other Landlords may, from time to time, designate one or more spaces in Parking Garage B as reserved for the exclusive use of one or more of the tenants of the Project and/or for Landlord’s and/or Other Landlords’ Invitees, so long as Landlord causes to be available to Tenant the parking required by this Lease (i.e., Tenant’s Parking Share of parking spaces).</w:t>
      </w:r>
    </w:p>
    <w:p>
      <w:pPr>
        <w:spacing w:after="0" w:line="144" w:lineRule="exact"/>
        <w:rPr>
          <w:rFonts w:ascii="Times New Roman" w:cs="Times New Roman" w:eastAsia="Times New Roman" w:hAnsi="Times New Roman"/>
          <w:sz w:val="14"/>
          <w:szCs w:val="14"/>
          <w:color w:val="auto"/>
        </w:rPr>
      </w:pPr>
    </w:p>
    <w:p>
      <w:pPr>
        <w:ind w:right="20" w:firstLine="1155"/>
        <w:spacing w:after="0" w:line="258" w:lineRule="auto"/>
        <w:tabs>
          <w:tab w:leader="none" w:pos="1349"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assigns to Parking Garage B Owner any and all right, title and interest with respect to the parking charges for the parking spaces that Tenant is authorized to use (such parking charges being called “</w:t>
      </w:r>
      <w:r>
        <w:rPr>
          <w:rFonts w:ascii="Times New Roman" w:cs="Times New Roman" w:eastAsia="Times New Roman" w:hAnsi="Times New Roman"/>
          <w:sz w:val="14"/>
          <w:szCs w:val="14"/>
          <w:u w:val="single" w:color="auto"/>
          <w:color w:val="auto"/>
        </w:rPr>
        <w:t>Tenant’s Parking Charges</w:t>
      </w:r>
      <w:r>
        <w:rPr>
          <w:rFonts w:ascii="Times New Roman" w:cs="Times New Roman" w:eastAsia="Times New Roman" w:hAnsi="Times New Roman"/>
          <w:sz w:val="14"/>
          <w:szCs w:val="14"/>
          <w:color w:val="auto"/>
        </w:rPr>
        <w:t>”). Landlord hereby directs Tenant and Tenant’s Invitees to pay Tenant’s Parking Charges to Parking Garage B Owner or to an operator of Parking Garage B designated by Parking Garage B Owner (an “</w:t>
      </w:r>
      <w:r>
        <w:rPr>
          <w:rFonts w:ascii="Times New Roman" w:cs="Times New Roman" w:eastAsia="Times New Roman" w:hAnsi="Times New Roman"/>
          <w:sz w:val="14"/>
          <w:szCs w:val="14"/>
          <w:u w:val="single" w:color="auto"/>
          <w:color w:val="auto"/>
        </w:rPr>
        <w:t>Operator</w:t>
      </w:r>
      <w:r>
        <w:rPr>
          <w:rFonts w:ascii="Times New Roman" w:cs="Times New Roman" w:eastAsia="Times New Roman" w:hAnsi="Times New Roman"/>
          <w:sz w:val="14"/>
          <w:szCs w:val="14"/>
          <w:color w:val="auto"/>
        </w:rPr>
        <w:t>”) pursuant to the provisions of the Master Special Permit, which payments shall satisfy Tenant’s obligations under this Lease with respect to Tenant’s Parking Charges as if they had been made directly to Landlord. Tenant acknowledges that Landlord has assigned to Parking Garage B Owner any and all right, title and interest with respect to Tenant’s Parking Charges, and shall pay Tenant’s Parking Charges to Parking Garage B Owner or the Operator when due.</w:t>
      </w:r>
    </w:p>
    <w:p>
      <w:pPr>
        <w:spacing w:after="0" w:line="59" w:lineRule="exact"/>
        <w:rPr>
          <w:rFonts w:ascii="Times New Roman" w:cs="Times New Roman" w:eastAsia="Times New Roman" w:hAnsi="Times New Roman"/>
          <w:sz w:val="14"/>
          <w:szCs w:val="14"/>
          <w:color w:val="auto"/>
        </w:rPr>
      </w:pPr>
    </w:p>
    <w:p>
      <w:pPr>
        <w:ind w:left="5600" w:hanging="73"/>
        <w:spacing w:after="0"/>
        <w:tabs>
          <w:tab w:leader="none" w:pos="5600" w:val="left"/>
        </w:tabs>
        <w:numPr>
          <w:ilvl w:val="1"/>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1132" w:right="3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4"/>
          <w:szCs w:val="14"/>
          <w:u w:val="single" w:color="auto"/>
          <w:color w:val="auto"/>
        </w:rPr>
        <w:t>Section 2.4 Lease Term</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right="260" w:firstLine="1155"/>
        <w:spacing w:after="0" w:line="238" w:lineRule="auto"/>
        <w:tabs>
          <w:tab w:leader="none" w:pos="821"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Term shall commence at 12:01 a.m. on the Commencement Date and shall end at 11:59 p.m. on the last day of the eleventh (11</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Lease Year. At the request of Landlord or Tenant made on or after the Commencement Date, Landlord and Tenant will execute a written amendment to, and restatement of, the Summary of Basic Terms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setting forth the Commencement Date.</w:t>
      </w:r>
    </w:p>
    <w:p>
      <w:pPr>
        <w:spacing w:after="0" w:line="153" w:lineRule="exact"/>
        <w:rPr>
          <w:rFonts w:ascii="Times New Roman" w:cs="Times New Roman" w:eastAsia="Times New Roman" w:hAnsi="Times New Roman"/>
          <w:sz w:val="14"/>
          <w:szCs w:val="14"/>
          <w:color w:val="auto"/>
        </w:rPr>
      </w:pPr>
    </w:p>
    <w:p>
      <w:pPr>
        <w:ind w:left="-520" w:right="80" w:firstLine="1155"/>
        <w:spacing w:after="0" w:line="256" w:lineRule="auto"/>
        <w:tabs>
          <w:tab w:leader="none" w:pos="829"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Provided an Event of Default does not then exist, Tenant shall have the right to extend the Lease Term for two (2) periods of five (5) years each by giving Landlord written notice of extension, which notice must be received by Landlord not earlier than 18 months, nor later than 15 months, prior to the then- expiration date of the Initial Term or First Extension Term, as applicable. If such extension becomes effective, the Lease Term shall be automatically extended upon the same terms and conditions as were applicable to the Initial Term (with respect to the First Extension Term) and the First Extension Term (with respect to the Second Extension Term), except that (i) Base Rent for each Extension Term shall be as set forth in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(ii) there shall be no further right to extend or renew the Lease Term beyond the Extension Terms, and (iii) there shall be no right to extend or renew the Lease Term for the Second Extension Term if Tenant does not timely exercise its right to extend the Lease Term for the First Extension Term. The right of extension provided under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is personal to Fog Pharmaceuticals, Inc. and is not exercisable by any subtenant or assignee permitted hereunder other than a Permitted Transferee.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2.5 Security Deposit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right="20" w:firstLine="1162"/>
        <w:spacing w:after="0" w:line="283" w:lineRule="auto"/>
        <w:tabs>
          <w:tab w:leader="none" w:pos="829"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Simultaneously with the execution and delivery of this Lease, Tenant shall deliver to Landlord the Security Deposit, which shall be in the form of cash or a letter of credit which satisfies the conditions of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Letter of Credit</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520" w:right="40" w:firstLine="1162"/>
        <w:spacing w:after="0" w:line="253" w:lineRule="auto"/>
        <w:tabs>
          <w:tab w:leader="none" w:pos="837"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Security Deposit is in the form of a Letter of Credit, such Letter of Credit must satisfy all of the following conditions: (i) the Letter of Credit must be in the form attached hereto as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or in such other substantially similar form as Landlord may approve, with an expiration date not less than one year after the date of the Letter of Credit; (ii) the beneficiary of the Letter of Credit must be Landlord or Landlord’s designee; (iii) the Letter of Credit must be irrevocable, unconditional and transferable one or more times without charge to Landlord; (iv) the Letter of Credit must be issued by a bank satisfactory to Landlord in its reasonable discretion; and (v) the Letter of Credit must provide that it may be drawn at a location in Boston, Massachusetts. If, at any time, the issuer of the Letter of Credit gives notice of its election not to renew, extend and/or reissue the Letter of Credit, then Tenant shall, not later than 30 days prior to the expiration of the term of the Letter of Credit, deliver to Landlord (1) a replacement Letter of Credit satisfying all of the above conditions or (2) cash in the full amount of the expiring Letter of Credit; and if Tenant fails to timely deliver to Landlord a replacement Letter of Credit as provided above or cash in the full amount of the expiring Letter of Credit, such failure shall constitute an Event of Default and, in addition to any other rights which Landlord might have by reason of such Event of Default, Landlord may draw on the Letter of Credit and hold the proceeds of such drawing as the Security Deposit. If (x) Landlord shall reasonably feel insecure with the creditworthiness of the bank issuing the Letter of Credit and Tenant shall fail, within ten (10) Business Days after notice, to either provide a replacement Letter of Credit as provided above or cash in the full amount of the existing Letter of Credit, or (y) Tenant fails to provide Landlord with cash in the full amount of the Letter of Credit within ten (10) Business Days after (I) any proceedings under the Bankruptcy Code, receivership or any insolvency law are instituted with the issuer of the Letter of Credit as debtor or (II) the bank issuing the Letter of Credit is taken over by the Federal Deposit Insurance Corporation, the Resolution Trust Corporation or a similar entity, then such failure by Tenant under clauses (x) or (y) of this sentence shall constitute an Event of Default and, in addition to any other rights which Landlord might have by reason of such Event of Default, Landlord may draw on the Letter of Credit and hold the proceeds of such drawing as part of the Security Deposit.</w:t>
      </w:r>
    </w:p>
    <w:p>
      <w:pPr>
        <w:spacing w:after="0" w:line="147" w:lineRule="exact"/>
        <w:rPr>
          <w:rFonts w:ascii="Times New Roman" w:cs="Times New Roman" w:eastAsia="Times New Roman" w:hAnsi="Times New Roman"/>
          <w:sz w:val="14"/>
          <w:szCs w:val="14"/>
          <w:color w:val="auto"/>
        </w:rPr>
      </w:pPr>
    </w:p>
    <w:p>
      <w:pPr>
        <w:ind w:left="-520" w:firstLine="1162"/>
        <w:spacing w:after="0" w:line="254" w:lineRule="auto"/>
        <w:tabs>
          <w:tab w:leader="none" w:pos="829"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Deposit is security for the faithful performance and observance by Tenant of the terms, provisions and conditions of this Lease and is not an advance payment of rent. If an Event of Default occurs, Landlord may use, apply or retain the whole or any part of the Security Deposit to the extent required for payment of any Base Rent, Additional Rent, or any other sum as to which Tenant is in default or for any sum which Landlord may expend or may be required to expend by reason of the occurrence of an Event of Default, including, but not limited to, any damage or deficiency accrued before or after summary proceedings or other re-entry by Landlord, including the costs of such proceeding or re-entry and further including, without limitation, reasonable attorney’s fees. Landlord shall always have the right to apply the Security Deposit, or any part thereof, as aforesaid, without notice and without prejudice to any other remedy which Landlord may have, or Landlord may pursue any other such remedy in lieu of applying the Security Deposit or any part thereof. No interest shall be payable on the Security Deposit and Landlord shall have the right to commingle the Security Deposit with other funds of Landlord. If Landlord shall apply the Security Deposit in whole or in part, Tenant shall immediately upon demand pay to Landlord the amount so applied, or cause the Letter of Credit to be reinstated, to restore the Security Deposit to its original amount. Because elements of Additional Rent may be subject to annual reconciliation based on actual amounts determined to be due, in addition to the other rights provided herein to Landlord regarding the Security Deposit, Landlord shall have the right, in its discretion, upon the end of the Lease and delivery of the Premises in accordance with the terms hereof, to hold a portion of the Security Deposit until such reconciliation, at which time Landlord has the right to deduct any amounts then determined to be due from the remaining Security Deposit and return any balance of the Security Deposit to Tenant; provided that</w:t>
      </w:r>
    </w:p>
    <w:p>
      <w:pPr>
        <w:spacing w:after="0" w:line="60" w:lineRule="exact"/>
        <w:rPr>
          <w:rFonts w:ascii="Times New Roman" w:cs="Times New Roman" w:eastAsia="Times New Roman" w:hAnsi="Times New Roman"/>
          <w:sz w:val="14"/>
          <w:szCs w:val="14"/>
          <w:color w:val="auto"/>
        </w:rPr>
      </w:pPr>
    </w:p>
    <w:p>
      <w:pPr>
        <w:ind w:left="5060" w:hanging="88"/>
        <w:spacing w:after="0"/>
        <w:tabs>
          <w:tab w:leader="none" w:pos="5060" w:val="left"/>
        </w:tabs>
        <w:numPr>
          <w:ilvl w:val="1"/>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966" w:right="319" w:bottom="1440" w:gutter="0" w:footer="0" w:header="0"/>
        </w:sectPr>
      </w:pPr>
    </w:p>
    <w:bookmarkStart w:id="537" w:name="page538"/>
    <w:bookmarkEnd w:id="537"/>
    <w:p>
      <w:pPr>
        <w:ind w:right="80"/>
        <w:spacing w:after="0" w:line="257" w:lineRule="auto"/>
        <w:rPr>
          <w:sz w:val="20"/>
          <w:szCs w:val="20"/>
          <w:color w:val="auto"/>
        </w:rPr>
      </w:pPr>
      <w:r>
        <w:rPr>
          <w:rFonts w:ascii="Times New Roman" w:cs="Times New Roman" w:eastAsia="Times New Roman" w:hAnsi="Times New Roman"/>
          <w:sz w:val="14"/>
          <w:szCs w:val="14"/>
          <w:color w:val="auto"/>
        </w:rPr>
        <w:t>Landlord may not withhold from the Security Deposit an amount greater than the amount which Landlord reasonably estimates will be owing by Tenant upon completion of such reconciliation. If the remaining Security Deposit is not sufficient to pay Tenant’s obligations hereunder, Tenant shall pay the same within ten (10) Business Days of billing from Landlord. In the event of a sale or other transfer of the Project, or leasing of the entire Project including the Premises subject to Tenant’s tenancy hereunder, Landlord shall transfer the Security Deposit then remaining to the vendee or lessee, Landlord shall thereupon be released from all liability for the return of such Security Deposit to Tenant, and Tenant shall look solely to the new landlord for the return of the Security Deposit then remaining. Tenant will not assign or encumber or attempt to assign or encumber the Security Deposit, and neither Landlord nor its successors or assigns shall be bound by any such assignment, encumbrance, attempted assignment or attempted encumbrance.</w:t>
      </w:r>
    </w:p>
    <w:p>
      <w:pPr>
        <w:spacing w:after="0" w:line="143"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2.6 Measurement</w:t>
      </w:r>
      <w:r>
        <w:rPr>
          <w:rFonts w:ascii="Times New Roman" w:cs="Times New Roman" w:eastAsia="Times New Roman" w:hAnsi="Times New Roman"/>
          <w:sz w:val="14"/>
          <w:szCs w:val="14"/>
          <w:color w:val="auto"/>
        </w:rPr>
        <w:t>. At the written request of Tenant made prior to the date that is 90 days after the Substantial Completion Date or at Landlord’s option, Landlord’s architect shall make actual measurements of the Premises and the Building, and shall determine the Leasable Square Footage of the Premises and the Building in accordance with the “Standard Method for Measuring Floor Area in Office Buildings”, BOMA 2010 Method B published by the Building Owners and Managers Association (“</w:t>
      </w:r>
      <w:r>
        <w:rPr>
          <w:rFonts w:ascii="Times New Roman" w:cs="Times New Roman" w:eastAsia="Times New Roman" w:hAnsi="Times New Roman"/>
          <w:sz w:val="14"/>
          <w:szCs w:val="14"/>
          <w:u w:val="single" w:color="auto"/>
          <w:color w:val="auto"/>
        </w:rPr>
        <w:t>BOMA Standard</w:t>
      </w:r>
      <w:r>
        <w:rPr>
          <w:rFonts w:ascii="Times New Roman" w:cs="Times New Roman" w:eastAsia="Times New Roman" w:hAnsi="Times New Roman"/>
          <w:sz w:val="14"/>
          <w:szCs w:val="14"/>
          <w:color w:val="auto"/>
        </w:rPr>
        <w:t>”). The Leasable Square Footage of the Premises, Leasable Square Footage of the Building, the Base Rent, Tenant’s Building Share, Tenant’s Project Share, Tenant’s Share, Tenant’s Parking Share, the Allowance, the Excess Allowance, the Phase 1 Leasable Square Footage, the Phase 2 Leasable Square Footage and the Phase 3 Leasable Square Footage shall be adjusted on the basis of such determination. Tenant shall have the right, at its sole cost and expense, to have the Premises and the Building re-measured by a licensed architect applying the BOMA Standard. If such re-measurement results in a discrepancy of greater than two percent (2%) in the Leasable Square Footage of the Premises, a third architect shall be chosen by mutual agreement of Landlord’s architect and Tenant’s architect. Such third architect shall be paid equally by Landlord and Tenant and shall perform another measurement of the Premises and the Building. The determination of such third architect shall be the final determination of Leasable Square Footage of the Premises and the Building and shall be binding on Landlord and Tenant; provided, however, that in no event shall the Leasable Square Footage of the Premises be greater than the amount determined by Landlord’s architect, nor shall it be less than the amount determined by Tenant’s architect. Without limiting the generality of the foregoing, Landlord, in its discretion, may, from time to time, elect to add to and/or eliminate some or all of the amenity space contemplated for the Building and, in the event of any such change in the square footage of the amenity space, the Leasable Square Footage of the Premises will be recomputed in accordance with the BOMA Standard.</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2.7 Right of First Offer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5"/>
        <w:spacing w:after="0" w:line="248" w:lineRule="auto"/>
        <w:tabs>
          <w:tab w:leader="none" w:pos="1341"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Right</w:t>
      </w:r>
      <w:r>
        <w:rPr>
          <w:rFonts w:ascii="Times New Roman" w:cs="Times New Roman" w:eastAsia="Times New Roman" w:hAnsi="Times New Roman"/>
          <w:sz w:val="14"/>
          <w:szCs w:val="14"/>
          <w:color w:val="auto"/>
        </w:rPr>
        <w:t>. Subject to: (x) the rights of other tenants of the Building under leases existing and in effect as of the date of this Lease (and amendments and modifications thereto), (y) the rights of Forrester, its successors and assigns, under the Forrester Agreement (and amendments and modifications thereto), and (z) solely with respect to floor two (2) of Tower 500, the rights of any other tenants of Tower 500 and/or the Connecting Area under leases for Tower 500 and/or the Connecting Area (and amendments and modifications thereto) (the rights of such other tenants of the Building and/or Forrester, its successors or assigns referred to in the foregoing clauses (x), (y), and (z), are sometimes referred to herein as the “</w:t>
      </w:r>
      <w:r>
        <w:rPr>
          <w:rFonts w:ascii="Times New Roman" w:cs="Times New Roman" w:eastAsia="Times New Roman" w:hAnsi="Times New Roman"/>
          <w:sz w:val="14"/>
          <w:szCs w:val="14"/>
          <w:u w:val="single" w:color="auto"/>
          <w:color w:val="auto"/>
        </w:rPr>
        <w:t>Superior Rights</w:t>
      </w:r>
      <w:r>
        <w:rPr>
          <w:rFonts w:ascii="Times New Roman" w:cs="Times New Roman" w:eastAsia="Times New Roman" w:hAnsi="Times New Roman"/>
          <w:sz w:val="14"/>
          <w:szCs w:val="14"/>
          <w:color w:val="auto"/>
        </w:rPr>
        <w:t>”). Tenant shall have, and Landlord hereby grants to Tenant, a right of first opportunity to lease any portion of floors two (2) through six (6) of the Building (other than the portions thereof included in this Lease as of the Commencement Date) (the “</w:t>
      </w:r>
      <w:r>
        <w:rPr>
          <w:rFonts w:ascii="Times New Roman" w:cs="Times New Roman" w:eastAsia="Times New Roman" w:hAnsi="Times New Roman"/>
          <w:sz w:val="14"/>
          <w:szCs w:val="14"/>
          <w:u w:val="single" w:color="auto"/>
          <w:color w:val="auto"/>
        </w:rPr>
        <w:t>ROFO Space</w:t>
      </w:r>
      <w:r>
        <w:rPr>
          <w:rFonts w:ascii="Times New Roman" w:cs="Times New Roman" w:eastAsia="Times New Roman" w:hAnsi="Times New Roman"/>
          <w:sz w:val="14"/>
          <w:szCs w:val="14"/>
          <w:color w:val="auto"/>
        </w:rPr>
        <w:t xml:space="preserve">”) when it is or becomes available for lease after the Commencement Date and only during the Lease Term (as may be extended from time to time in accordance with this Lease), on and subject to the terms and conditions set forth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Commencing on the Commencement Date, Landlord will not enter into any lease of any of the ROFO Space with a tenant other than Tenant (a “</w:t>
      </w:r>
      <w:r>
        <w:rPr>
          <w:rFonts w:ascii="Times New Roman" w:cs="Times New Roman" w:eastAsia="Times New Roman" w:hAnsi="Times New Roman"/>
          <w:sz w:val="14"/>
          <w:szCs w:val="14"/>
          <w:u w:val="single" w:color="auto"/>
          <w:color w:val="auto"/>
        </w:rPr>
        <w:t>Third-Party Lease</w:t>
      </w:r>
      <w:r>
        <w:rPr>
          <w:rFonts w:ascii="Times New Roman" w:cs="Times New Roman" w:eastAsia="Times New Roman" w:hAnsi="Times New Roman"/>
          <w:sz w:val="14"/>
          <w:szCs w:val="14"/>
          <w:color w:val="auto"/>
        </w:rPr>
        <w:t xml:space="preserve">”) unless and until Landlord has given to Tenant a Notice of Availability (as defined below) with respect to such ROFO Space and Tenant has failed to exercise its right to lease such ROFO Space pursuant to subsection (c) below. However, notwithstanding any other provisions of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to the contrary, (i) Tenant’s rights under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not apply to: (A) rights granted to any tenant pursuant to the first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lease entered into by Landlord for any applicable space in the Building, (B) any rights contained in any lease (or amendment to any lease) entered into by Landlord on or before June 30, 2022, or (C) the Superior Rights, (ii) Landlord may extend or otherwise amend any lease for ROFO Space, or enter into a new lease for ROFO Space with the then-existing tenant of such ROFO Space, without regard to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and (iii) so long as any such lease (i.e., referenced in the preceding clauses (i) and (ii)) is in effect, the subject space shall not be considered to be available for purposes of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unless and until such subject space is no longer subject to the Superior Rights and/or the conditions set forth in the preceding clauses (i) and/or (ii).</w:t>
      </w:r>
    </w:p>
    <w:p>
      <w:pPr>
        <w:spacing w:after="0" w:line="157" w:lineRule="exact"/>
        <w:rPr>
          <w:rFonts w:ascii="Times New Roman" w:cs="Times New Roman" w:eastAsia="Times New Roman" w:hAnsi="Times New Roman"/>
          <w:sz w:val="14"/>
          <w:szCs w:val="14"/>
          <w:color w:val="auto"/>
        </w:rPr>
      </w:pPr>
    </w:p>
    <w:p>
      <w:pPr>
        <w:ind w:right="80" w:firstLine="1155"/>
        <w:spacing w:after="0" w:line="258" w:lineRule="auto"/>
        <w:tabs>
          <w:tab w:leader="none" w:pos="1349"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of Availability</w:t>
      </w:r>
      <w:r>
        <w:rPr>
          <w:rFonts w:ascii="Times New Roman" w:cs="Times New Roman" w:eastAsia="Times New Roman" w:hAnsi="Times New Roman"/>
          <w:sz w:val="14"/>
          <w:szCs w:val="14"/>
          <w:color w:val="auto"/>
        </w:rPr>
        <w:t>. At any time during the Lease Term that any portion of the ROFO Space (the “</w:t>
      </w:r>
      <w:r>
        <w:rPr>
          <w:rFonts w:ascii="Times New Roman" w:cs="Times New Roman" w:eastAsia="Times New Roman" w:hAnsi="Times New Roman"/>
          <w:sz w:val="14"/>
          <w:szCs w:val="14"/>
          <w:u w:val="single" w:color="auto"/>
          <w:color w:val="auto"/>
        </w:rPr>
        <w:t>Subject Space</w:t>
      </w:r>
      <w:r>
        <w:rPr>
          <w:rFonts w:ascii="Times New Roman" w:cs="Times New Roman" w:eastAsia="Times New Roman" w:hAnsi="Times New Roman"/>
          <w:sz w:val="14"/>
          <w:szCs w:val="14"/>
          <w:color w:val="auto"/>
        </w:rPr>
        <w:t>”) is, becomes or is about to become available for lease, Landlord may give written notice to Tenant of the availability of such Subject Space (a “</w:t>
      </w:r>
      <w:r>
        <w:rPr>
          <w:rFonts w:ascii="Times New Roman" w:cs="Times New Roman" w:eastAsia="Times New Roman" w:hAnsi="Times New Roman"/>
          <w:sz w:val="14"/>
          <w:szCs w:val="14"/>
          <w:u w:val="single" w:color="auto"/>
          <w:color w:val="auto"/>
        </w:rPr>
        <w:t>Notice of Availability</w:t>
      </w:r>
      <w:r>
        <w:rPr>
          <w:rFonts w:ascii="Times New Roman" w:cs="Times New Roman" w:eastAsia="Times New Roman" w:hAnsi="Times New Roman"/>
          <w:sz w:val="14"/>
          <w:szCs w:val="14"/>
          <w:color w:val="auto"/>
        </w:rPr>
        <w:t>”). Any such Notice of Availability shall specify the date on or about which such Subject Space is expected to become available for lease (if it is not then available), the effective rent (including Base Rent and Additional Rent, if applicable) at which Landlord is willing to lease such Subject Space, and such other terms which Landlord desires to specify. Tenant shall not disclose to third parties, other than Tenant’s employees, consultants and other agents who have a need to know, the contents of any Notice of Availability, and Tenant shall cause all such employees, consultants or agents to respect the confidentiality of the contents thereof.</w:t>
      </w:r>
    </w:p>
    <w:p>
      <w:pPr>
        <w:spacing w:after="0" w:line="59"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38" w:name="page539"/>
    <w:bookmarkEnd w:id="538"/>
    <w:p>
      <w:pPr>
        <w:ind w:right="100" w:firstLine="1155"/>
        <w:spacing w:after="0" w:line="267" w:lineRule="auto"/>
        <w:tabs>
          <w:tab w:leader="none" w:pos="1341"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Right</w:t>
      </w:r>
      <w:r>
        <w:rPr>
          <w:rFonts w:ascii="Times New Roman" w:cs="Times New Roman" w:eastAsia="Times New Roman" w:hAnsi="Times New Roman"/>
          <w:sz w:val="14"/>
          <w:szCs w:val="14"/>
          <w:color w:val="auto"/>
        </w:rPr>
        <w:t xml:space="preserve">. Unless an Event of Default then exists, Tenant shall have the right, exercisable by written notice given by Tenant and received by Landlord within ten (10) Business Days after Landlord gives such Notice of Availability to Tenant, to lease the Subject Space specified in the Notice of Availability. Tenant’s right to lease ROFO Space under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apply only to the entire Subject Space specified in a Notice of Availability, and Tenant shall not have the right under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to lease less than all of such Subject Space.</w:t>
      </w:r>
    </w:p>
    <w:p>
      <w:pPr>
        <w:spacing w:after="0" w:line="135" w:lineRule="exact"/>
        <w:rPr>
          <w:rFonts w:ascii="Times New Roman" w:cs="Times New Roman" w:eastAsia="Times New Roman" w:hAnsi="Times New Roman"/>
          <w:sz w:val="14"/>
          <w:szCs w:val="14"/>
          <w:color w:val="auto"/>
        </w:rPr>
      </w:pPr>
    </w:p>
    <w:p>
      <w:pPr>
        <w:ind w:firstLine="1155"/>
        <w:spacing w:after="0" w:line="256" w:lineRule="auto"/>
        <w:tabs>
          <w:tab w:leader="none" w:pos="1349"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 of Space to Lease</w:t>
      </w:r>
      <w:r>
        <w:rPr>
          <w:rFonts w:ascii="Times New Roman" w:cs="Times New Roman" w:eastAsia="Times New Roman" w:hAnsi="Times New Roman"/>
          <w:sz w:val="14"/>
          <w:szCs w:val="14"/>
          <w:color w:val="auto"/>
        </w:rPr>
        <w:t>. If Tenant exercises its right to lease any ROFO Space pursuant to subsection (c) above, then, as of the date which is the later of (i) ten (10) Business Days after Landlord’s receipt of Tenant’s notice of exercise of its right to lease such Subject Space or (ii) the date specified in the Notice of Availability, such Subject Space shall be added to and become a part of the Premises and subject to the terms and conditions of this Lease; provided that (x) Landlord shall not be responsible for making any improvements or alterations to such Subject Space, except to the extent provided for in the Notice of Availability; (y) the effective rent (including Base Rent and Additional Rent, if applicable) for the Subject Space shall be the effective rent set forth in the Notice of Availability, and (z) the terms and conditions of this Lease with respect to such Subject Space shall be modified by any terms set forth in the Notice of Availability. Promptly after Tenant exercises its right to lease any ROFO Space pursuant to subsection (c) above, Landlord and Tenant shall enter into an amendment of this Lease incorporating such ROFO Space as part of the Premises, subject to the terms and conditions of this Lease and incorporating any additional terms set forth in the Notice of Availability.</w:t>
      </w:r>
    </w:p>
    <w:p>
      <w:pPr>
        <w:spacing w:after="0" w:line="143" w:lineRule="exact"/>
        <w:rPr>
          <w:rFonts w:ascii="Times New Roman" w:cs="Times New Roman" w:eastAsia="Times New Roman" w:hAnsi="Times New Roman"/>
          <w:sz w:val="14"/>
          <w:szCs w:val="14"/>
          <w:color w:val="auto"/>
        </w:rPr>
      </w:pPr>
    </w:p>
    <w:p>
      <w:pPr>
        <w:ind w:right="40" w:firstLine="1155"/>
        <w:spacing w:after="0" w:line="253" w:lineRule="auto"/>
        <w:tabs>
          <w:tab w:leader="none" w:pos="1341"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One-Time Right</w:t>
      </w:r>
      <w:r>
        <w:rPr>
          <w:rFonts w:ascii="Times New Roman" w:cs="Times New Roman" w:eastAsia="Times New Roman" w:hAnsi="Times New Roman"/>
          <w:sz w:val="14"/>
          <w:szCs w:val="14"/>
          <w:color w:val="auto"/>
        </w:rPr>
        <w:t xml:space="preserve">. If Landlord gives a Notice of Availability and (i) Landlord does not receive Tenant’s notice of exercise pursuant to subsection (c) above within the period specified therein (which shall not be less than ten (10) Business Days), or (ii) Tenant declines to exercise its right to lease the Subject Space made available to Tenant in the applicable Notice of Availability, then Tenant’s right of first opportunity provided for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lapse with respect to such Subject Space, and Landlord shall be free to lease such Subject Space to third parties, provided that any such Third-Party Lease shall provide for rental payments, the net present value of which are equal to or greater than ninety-five percent (95%) of the net present value of the rental payments that would have been due pursuant to the terms in the Notice of Availability, as calculated over the shorter of (i) the term specified in such Third-Party Lease and (ii) the term specified in the Notice of Availability, and using a discount rate selected by Landlord in its reasonable discretion (a “</w:t>
      </w:r>
      <w:r>
        <w:rPr>
          <w:rFonts w:ascii="Times New Roman" w:cs="Times New Roman" w:eastAsia="Times New Roman" w:hAnsi="Times New Roman"/>
          <w:sz w:val="14"/>
          <w:szCs w:val="14"/>
          <w:u w:val="single" w:color="auto"/>
          <w:color w:val="auto"/>
        </w:rPr>
        <w:t>Qualified Third-Party Lease</w:t>
      </w:r>
      <w:r>
        <w:rPr>
          <w:rFonts w:ascii="Times New Roman" w:cs="Times New Roman" w:eastAsia="Times New Roman" w:hAnsi="Times New Roman"/>
          <w:sz w:val="14"/>
          <w:szCs w:val="14"/>
          <w:color w:val="auto"/>
        </w:rPr>
        <w:t xml:space="preserve">”). So long as Tenant’s right of first opportunity provided for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has not otherwise lapsed, if Landlord desires to enter into a Third-Party Lease with respect to any Subject Space specified in a Notice of Availability that is not a Qualified Third- Party Lease, then Landlord shall, before entering into such Third-Party Lease, give another Notice of Availability (a “</w:t>
      </w:r>
      <w:r>
        <w:rPr>
          <w:rFonts w:ascii="Times New Roman" w:cs="Times New Roman" w:eastAsia="Times New Roman" w:hAnsi="Times New Roman"/>
          <w:sz w:val="14"/>
          <w:szCs w:val="14"/>
          <w:u w:val="single" w:color="auto"/>
          <w:color w:val="auto"/>
        </w:rPr>
        <w:t>Follow-up Notice</w:t>
      </w:r>
      <w:r>
        <w:rPr>
          <w:rFonts w:ascii="Times New Roman" w:cs="Times New Roman" w:eastAsia="Times New Roman" w:hAnsi="Times New Roman"/>
          <w:sz w:val="14"/>
          <w:szCs w:val="14"/>
          <w:color w:val="auto"/>
        </w:rPr>
        <w:t xml:space="preserve">”) to Tenant, specifying the lower effective rent and any other changes in the terms set forth in the applicable Notice of Availability, and the respective rights and obligations of Landlord and Tenant with respect to such Follow-up Notice shall be the same as those with respect to the subject Notice of Availability, except that Tenant shall have five (5) Business Days after Landlord gives the Follow-up Notice to elect to lease the applicable Subject Space on the terms specified in the Follow-up Notice. In the event that Landlord enters into a Qualified Third-Party Lease (or a non-Qualified Third-Party Lease for which Tenant has received a Follow-up Notice, but failed to exercise its right to lease the applicable Subject Space pursuant to the Follow-up Notice, as provided herein) for such Subject Space, Tenant’s right of first opportunity provided for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lapse and terminate for the applicable Subject Space and, thereafter, Landlord shall be free to lease such Subject Space to third parties without complying with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w:t>
      </w:r>
    </w:p>
    <w:p>
      <w:pPr>
        <w:spacing w:after="0" w:line="148" w:lineRule="exact"/>
        <w:rPr>
          <w:rFonts w:ascii="Times New Roman" w:cs="Times New Roman" w:eastAsia="Times New Roman" w:hAnsi="Times New Roman"/>
          <w:sz w:val="14"/>
          <w:szCs w:val="14"/>
          <w:color w:val="auto"/>
        </w:rPr>
      </w:pPr>
    </w:p>
    <w:p>
      <w:pPr>
        <w:ind w:right="100" w:firstLine="1155"/>
        <w:spacing w:after="0" w:line="267" w:lineRule="auto"/>
        <w:tabs>
          <w:tab w:leader="none" w:pos="1325"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Right</w:t>
      </w:r>
      <w:r>
        <w:rPr>
          <w:rFonts w:ascii="Times New Roman" w:cs="Times New Roman" w:eastAsia="Times New Roman" w:hAnsi="Times New Roman"/>
          <w:sz w:val="14"/>
          <w:szCs w:val="14"/>
          <w:color w:val="auto"/>
        </w:rPr>
        <w:t xml:space="preserve">. Tenant’s right of first opportunity provided for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shall terminate twelve (12) months before the expiration of the Initial Term, unless Tenant timely exercises the then-applicable extension option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to extend the Lease Term, and, if Tenant timely exercises such extension option, twelve (12) months before the expiration of the then- applicable Extension Term.</w:t>
      </w:r>
    </w:p>
    <w:p>
      <w:pPr>
        <w:spacing w:after="0" w:line="135" w:lineRule="exact"/>
        <w:rPr>
          <w:rFonts w:ascii="Times New Roman" w:cs="Times New Roman" w:eastAsia="Times New Roman" w:hAnsi="Times New Roman"/>
          <w:sz w:val="14"/>
          <w:szCs w:val="14"/>
          <w:color w:val="auto"/>
        </w:rPr>
      </w:pPr>
    </w:p>
    <w:p>
      <w:pPr>
        <w:ind w:right="340" w:firstLine="1155"/>
        <w:spacing w:after="0" w:line="283" w:lineRule="auto"/>
        <w:tabs>
          <w:tab w:leader="none" w:pos="1349"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Personal to Party Executing this Lease</w:t>
      </w:r>
      <w:r>
        <w:rPr>
          <w:rFonts w:ascii="Times New Roman" w:cs="Times New Roman" w:eastAsia="Times New Roman" w:hAnsi="Times New Roman"/>
          <w:sz w:val="14"/>
          <w:szCs w:val="14"/>
          <w:color w:val="auto"/>
        </w:rPr>
        <w:t xml:space="preserve">. The rights in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are personal to Fog Pharmaceuticals, Inc. and are not assignable or transferable other than to a Permitted Transferee. Tenant’s rights under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will lapse and be of no further force and effect upon any assignment of this Lease other than to a Permitted Transferee.</w:t>
      </w:r>
    </w:p>
    <w:p>
      <w:pPr>
        <w:spacing w:after="0" w:line="124" w:lineRule="exact"/>
        <w:rPr>
          <w:rFonts w:ascii="Times New Roman" w:cs="Times New Roman" w:eastAsia="Times New Roman" w:hAnsi="Times New Roman"/>
          <w:sz w:val="14"/>
          <w:szCs w:val="14"/>
          <w:color w:val="auto"/>
        </w:rPr>
      </w:pPr>
    </w:p>
    <w:p>
      <w:pPr>
        <w:ind w:right="60" w:firstLine="1155"/>
        <w:spacing w:after="0" w:line="283" w:lineRule="auto"/>
        <w:tabs>
          <w:tab w:leader="none" w:pos="1349" w:val="left"/>
        </w:tabs>
        <w:numPr>
          <w:ilvl w:val="0"/>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If an Event of Default shall have occurred and be continuing, Landlord shall have no obligation to give any Notice of Availability to Tenant, and Tenant shall have no rights under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if an Event of Default exists on the date on which Tenant attempts to exercise its right to lease any ROFO Space.</w:t>
      </w:r>
    </w:p>
    <w:p>
      <w:pPr>
        <w:spacing w:after="0" w:line="125"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2.8 Lease Amendment</w:t>
      </w:r>
      <w:r>
        <w:rPr>
          <w:rFonts w:ascii="Times New Roman" w:cs="Times New Roman" w:eastAsia="Times New Roman" w:hAnsi="Times New Roman"/>
          <w:sz w:val="14"/>
          <w:szCs w:val="14"/>
          <w:color w:val="auto"/>
        </w:rPr>
        <w:t>. If, pursuant to any provision of this Lease, there results a change in any of the terms or amounts in the Summary of Basic Terms (including, without limitation, the Leasable Square Footage of the Premises, the Leasable Square Footage of the Building, the Leasable Square Footage of the Project, the Allowance, the Base Rent, Tenant’s Building Share, Tenant’s Project Share or Tenant’s Parking Share) then in effect, Landlord and Tenant will promptly execute a written amendment to, and restatement of, the Summary of Basic Terms, substituting the changed (or confirmed) terms and recomputed amounts in lieu of each of the applicable terms and amounts then in effect which have been changed. As of the effective date of the amendment to the Summary of Basic Terms, the changed terms (and recomputed amounts) will be effective for all purposes of this Lease, and the amended and restated Summary of Basic Terms will be a part of, and incorporated into, this Lease.</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39" w:name="page540"/>
    <w:bookmarkEnd w:id="53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CONDITION OF PREMISES; SIGNS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3.1 Base Building Work; Tenant’s Work; Rooftop Equipment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62"/>
        <w:spacing w:after="0" w:line="255" w:lineRule="auto"/>
        <w:tabs>
          <w:tab w:leader="none" w:pos="1348"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Building Plans</w:t>
      </w:r>
      <w:r>
        <w:rPr>
          <w:rFonts w:ascii="Times New Roman" w:cs="Times New Roman" w:eastAsia="Times New Roman" w:hAnsi="Times New Roman"/>
          <w:sz w:val="14"/>
          <w:szCs w:val="14"/>
          <w:color w:val="auto"/>
        </w:rPr>
        <w:t xml:space="preserve">. A list of the Base Building Plans are attached as </w:t>
      </w:r>
      <w:r>
        <w:rPr>
          <w:rFonts w:ascii="Times New Roman" w:cs="Times New Roman" w:eastAsia="Times New Roman" w:hAnsi="Times New Roman"/>
          <w:sz w:val="14"/>
          <w:szCs w:val="14"/>
          <w:u w:val="single" w:color="auto"/>
          <w:color w:val="auto"/>
        </w:rPr>
        <w:t>Exhibit D- 1</w:t>
      </w:r>
      <w:r>
        <w:rPr>
          <w:rFonts w:ascii="Times New Roman" w:cs="Times New Roman" w:eastAsia="Times New Roman" w:hAnsi="Times New Roman"/>
          <w:sz w:val="14"/>
          <w:szCs w:val="14"/>
          <w:color w:val="auto"/>
        </w:rPr>
        <w:t xml:space="preserve"> to this Lease. Landlord may modify the Base Building Plans from time to time; provided, that, if any modification of the Base Building Plans would result in a change in the Base Building Work which would materially affect (i) the layout or Leasable Square Footage of the Premises, or (ii) Building systems so as to materially affect the quality of services to the Premises, Landlord will give Tenant written notice of such modification and such modification will be subject to Tenant’s approval, which approval shall not be unreasonably withheld or delayed. If, pursuant to the immediately preceding sentence, any modification of the Base Building Plans requires Tenant’s approval, Tenant shall, within five (5) Business Days after receipt of the proposed modification, by written notice to Landlord, approve or disapprove the modification. In any disapproval of any modification, Tenant shall specify in reasonable detail the respects in which the proposed modification is not satisfactory to Tenant. If, within five (5) Business Days after receipt of any proposed modification of the Base Building Plans, Tenant does not so respond in writing to Landlord, Landlord shall provide Tenant with a second written notice requesting approval for such proposed modification. If Tenant fails to respond in writing to such second notice within two (2) Business Days after receipt by Tenant of such second notice, Tenant will be deemed to have approved the proposed modification.</w:t>
      </w:r>
    </w:p>
    <w:p>
      <w:pPr>
        <w:spacing w:after="0" w:line="145" w:lineRule="exact"/>
        <w:rPr>
          <w:rFonts w:ascii="Times New Roman" w:cs="Times New Roman" w:eastAsia="Times New Roman" w:hAnsi="Times New Roman"/>
          <w:sz w:val="14"/>
          <w:szCs w:val="14"/>
          <w:color w:val="auto"/>
        </w:rPr>
      </w:pPr>
    </w:p>
    <w:p>
      <w:pPr>
        <w:ind w:right="20" w:firstLine="1162"/>
        <w:spacing w:after="0" w:line="253" w:lineRule="auto"/>
        <w:tabs>
          <w:tab w:leader="none" w:pos="1356"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Base Building Work</w:t>
      </w:r>
      <w:r>
        <w:rPr>
          <w:rFonts w:ascii="Times New Roman" w:cs="Times New Roman" w:eastAsia="Times New Roman" w:hAnsi="Times New Roman"/>
          <w:sz w:val="14"/>
          <w:szCs w:val="14"/>
          <w:color w:val="auto"/>
        </w:rPr>
        <w:t>. Landlord shall cause Landlord’s Contractor to perform the Base Building Work in a good and workmanlike manner and substantially in accordance with the Base Building Plans using first quality, new materials and in compliance with all applicable Legal Requirements. Subject to Excusable Delay, Landlord shall use commercially reasonable efforts to cause Partial Completion to be achieved on or before the Target Delivery Date. From and after the Delivery Date, (i) Landlord shall coordinate the performance of any ongoing Base Building Work with the performance of the Tenant’s Work so as not to materially interfere with, delay or increase the Tenant’s Work Costs and to maintain harmonious labor relations and (ii) Tenant shall coordinate the performance of the Tenant’s Work with the performance of the Base Building Work so as not to materially interfere with, delay or increase the cost of the performance of the Base Building Work and to maintain harmonious labor relations. If any of the Base Building Work is delayed as a result of an Excusable Delay, (i) the Target Delivery Date and the Target Substantial Completion Date, as applicable, shall be extended upon notice from Landlord to Tenant for a reasonable period of time under all of the circumstances, and (ii) if the Excusable Delay is caused by Tenant (for example (but not in limitation) due to delays caused by Tenant’s request and/or by change orders requested by Tenant (provided, that any such changes shall be subject to Landlord’s approval in its sole discretion)), the Commencement Date shall be deemed to have occurred on the date that Substantial Completion would have occurred if not delayed by the Excusable Delay caused by Tenant. Landlord shall give Tenant written notice of any extension of the Target Delivery Date and/or the Target Substantial Completion Date pursuant to the immediately preceding sentence. Landlord reserves the right to make changes in the Base Building Work from time to time as Landlord deems necessary and/or appropriate in order to complete the performance of the Base Building Work in a timely manner, provided that such changes do not have a material adverse impact on the size, quality, functionality or aesthetic appearance of the Building or the Premises or on the performance of the Tenant’s Work or the cost thereof. Without limiting the generality of the foregoing, Landlord may, upon prior notice to Tenant, substitute comparable materials to minimize delays.</w:t>
      </w:r>
    </w:p>
    <w:p>
      <w:pPr>
        <w:spacing w:after="0" w:line="148" w:lineRule="exact"/>
        <w:rPr>
          <w:rFonts w:ascii="Times New Roman" w:cs="Times New Roman" w:eastAsia="Times New Roman" w:hAnsi="Times New Roman"/>
          <w:sz w:val="14"/>
          <w:szCs w:val="14"/>
          <w:color w:val="auto"/>
        </w:rPr>
      </w:pPr>
    </w:p>
    <w:p>
      <w:pPr>
        <w:ind w:firstLine="1162"/>
        <w:spacing w:after="0" w:line="283" w:lineRule="auto"/>
        <w:tabs>
          <w:tab w:leader="none" w:pos="1348"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Responsibility for Base Building Work Costs</w:t>
      </w:r>
      <w:r>
        <w:rPr>
          <w:rFonts w:ascii="Times New Roman" w:cs="Times New Roman" w:eastAsia="Times New Roman" w:hAnsi="Times New Roman"/>
          <w:sz w:val="14"/>
          <w:szCs w:val="14"/>
          <w:color w:val="auto"/>
        </w:rPr>
        <w:t>. Landlord shall be responsible for the entire cost of the Base Building Work, except to the extent that the cost of the Base Building Work is increased as the result of changes requested by Tenant in writing and agreed to by Landlord the costs of which shall be set forth in such notice.</w:t>
      </w:r>
    </w:p>
    <w:p>
      <w:pPr>
        <w:spacing w:after="0" w:line="124" w:lineRule="exact"/>
        <w:rPr>
          <w:rFonts w:ascii="Times New Roman" w:cs="Times New Roman" w:eastAsia="Times New Roman" w:hAnsi="Times New Roman"/>
          <w:sz w:val="14"/>
          <w:szCs w:val="14"/>
          <w:color w:val="auto"/>
        </w:rPr>
      </w:pPr>
    </w:p>
    <w:p>
      <w:pPr>
        <w:ind w:firstLine="1162"/>
        <w:spacing w:after="0" w:line="256" w:lineRule="auto"/>
        <w:tabs>
          <w:tab w:leader="none" w:pos="1356"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Acceptance of Premises; Warranty</w:t>
      </w:r>
      <w:r>
        <w:rPr>
          <w:rFonts w:ascii="Times New Roman" w:cs="Times New Roman" w:eastAsia="Times New Roman" w:hAnsi="Times New Roman"/>
          <w:sz w:val="14"/>
          <w:szCs w:val="14"/>
          <w:color w:val="auto"/>
        </w:rPr>
        <w:t xml:space="preserve">. Tenant’s taking possession of the Premises on or after the Commencement Date shall be conclusive evidence, as against Tenant, that the Premises were in good order and satisfactory condition in substantial accordance with the Base Building Plans when Tenant took possession, except for (i) punch list items on a list signed by both parties within forty-five (45) days after the Commencement Date, and (ii) any claims of breach of Landlord’s warranty set forth below in this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 Landlord hereby warrants to Tenant that the Base Building Work shall be performed (x) in a good and workmanlike manner, (y) free from defects in workmanship and materials, and (z) in compliance with Legal Requirements. Tenant shall be deemed to have waived any claim under such warranty except for such matters of which Tenant advises Landlord in writing on or before the first anniversary of the date on which Landlord achieves Substantial Completion. Nothing herein shall relieve Landlord of its maintenance and repair obligations under this Lease nor limit repairs under warranty by Landlord’s Contractor regardless of when discovered.</w:t>
      </w:r>
    </w:p>
    <w:p>
      <w:pPr>
        <w:spacing w:after="0" w:line="143" w:lineRule="exact"/>
        <w:rPr>
          <w:rFonts w:ascii="Times New Roman" w:cs="Times New Roman" w:eastAsia="Times New Roman" w:hAnsi="Times New Roman"/>
          <w:sz w:val="14"/>
          <w:szCs w:val="14"/>
          <w:color w:val="auto"/>
        </w:rPr>
      </w:pPr>
    </w:p>
    <w:p>
      <w:pPr>
        <w:ind w:right="20" w:firstLine="1162"/>
        <w:spacing w:after="0" w:line="267" w:lineRule="auto"/>
        <w:tabs>
          <w:tab w:leader="none" w:pos="1348"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Representatives</w:t>
      </w:r>
      <w:r>
        <w:rPr>
          <w:rFonts w:ascii="Times New Roman" w:cs="Times New Roman" w:eastAsia="Times New Roman" w:hAnsi="Times New Roman"/>
          <w:sz w:val="14"/>
          <w:szCs w:val="14"/>
          <w:color w:val="auto"/>
        </w:rPr>
        <w:t>. Each of Landlord and Tenant shall have a construction representative who shall be the primary contact person for such party during the design and construction process and who shall be authorized to make day-to-day decisions in the design and construction process. Landlord’s construction representative shall be Robert A. Schlager. Tenant’s construction representative shall be John Doherty. Each of Landlord and Tenant may change its construction representative by written notice given to the other from time to time.</w:t>
      </w:r>
    </w:p>
    <w:p>
      <w:pPr>
        <w:spacing w:after="0" w:line="51"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1"/>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796" w:right="359" w:bottom="1440" w:gutter="0" w:footer="0" w:header="0"/>
        </w:sectPr>
      </w:pPr>
    </w:p>
    <w:bookmarkStart w:id="540" w:name="page541"/>
    <w:bookmarkEnd w:id="540"/>
    <w:p>
      <w:pPr>
        <w:ind w:left="200" w:hanging="178"/>
        <w:spacing w:after="0"/>
        <w:tabs>
          <w:tab w:leader="none" w:pos="200"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Tenant’s Work; Late Delivery</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140" w:firstLine="1666"/>
        <w:spacing w:after="0" w:line="261" w:lineRule="auto"/>
        <w:tabs>
          <w:tab w:leader="none" w:pos="689"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Base Building Work, Tenant, at Tenant’s cost (to the extent such costs exceed the Allowance and the Excess Allowance, if applicable), will perform each Phase of Work as Tenant deems necessary to initially equip, furnish and use the Premises for the Permitted Use in accordance with Legal Requirements (any such work being called “</w:t>
      </w:r>
      <w:r>
        <w:rPr>
          <w:rFonts w:ascii="Times New Roman" w:cs="Times New Roman" w:eastAsia="Times New Roman" w:hAnsi="Times New Roman"/>
          <w:sz w:val="14"/>
          <w:szCs w:val="14"/>
          <w:u w:val="single" w:color="auto"/>
          <w:color w:val="auto"/>
        </w:rPr>
        <w:t>Tenant’s Work</w:t>
      </w:r>
      <w:r>
        <w:rPr>
          <w:rFonts w:ascii="Times New Roman" w:cs="Times New Roman" w:eastAsia="Times New Roman" w:hAnsi="Times New Roman"/>
          <w:sz w:val="14"/>
          <w:szCs w:val="14"/>
          <w:color w:val="auto"/>
        </w:rPr>
        <w:t xml:space="preserve">”). All of Tenant’s Work shall be performed in a good and workmanlike manner using new and high quality materials, in accordance with Legal Requirements, substantially in accordance with the applicable Tenant’s Work Plans (with only such changes, if any, as may be approved in writing by Landlord), and in accordance with the requirements of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140" w:firstLine="1666"/>
        <w:spacing w:after="0" w:line="258" w:lineRule="auto"/>
        <w:tabs>
          <w:tab w:leader="none" w:pos="728"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conduct Tenant’s Work in a manner consistent with a construction management plan approved in writing by Landlord and in a manner that does not unreasonably interfere with any other tenant of the Building, including, but not limited to, taking steps to mitigate construction noise and vibration and to control dust. If any other tenant of the Building notifies Landlord of any objectionable construction related activities, Tenant, at its own cost, shall take all commercially reasonable actions required to eliminate such objectionable construction related activities. Failure to eliminate such objectionable construction related activities from the Premises shall constitute a default by Tenant under this Lease (which default is subject to applicable notice and cure periods).</w:t>
      </w:r>
    </w:p>
    <w:p>
      <w:pPr>
        <w:spacing w:after="0" w:line="143" w:lineRule="exact"/>
        <w:rPr>
          <w:rFonts w:ascii="Times New Roman" w:cs="Times New Roman" w:eastAsia="Times New Roman" w:hAnsi="Times New Roman"/>
          <w:sz w:val="14"/>
          <w:szCs w:val="14"/>
          <w:color w:val="auto"/>
        </w:rPr>
      </w:pPr>
    </w:p>
    <w:p>
      <w:pPr>
        <w:ind w:left="-1140" w:right="80" w:firstLine="1666"/>
        <w:spacing w:after="0" w:line="283" w:lineRule="auto"/>
        <w:tabs>
          <w:tab w:leader="none" w:pos="767"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provisions of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below, Tenant shall engage Landlord’s Contractor to perform the Phase 1 Work and the Infrastructure Work; provided, that subject to </w:t>
      </w:r>
      <w:r>
        <w:rPr>
          <w:rFonts w:ascii="Times New Roman" w:cs="Times New Roman" w:eastAsia="Times New Roman" w:hAnsi="Times New Roman"/>
          <w:sz w:val="14"/>
          <w:szCs w:val="14"/>
          <w:u w:val="single" w:color="auto"/>
          <w:color w:val="auto"/>
        </w:rPr>
        <w:t>Sections 3.5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7.5</w:t>
      </w:r>
      <w:r>
        <w:rPr>
          <w:rFonts w:ascii="Times New Roman" w:cs="Times New Roman" w:eastAsia="Times New Roman" w:hAnsi="Times New Roman"/>
          <w:sz w:val="14"/>
          <w:szCs w:val="14"/>
          <w:color w:val="auto"/>
        </w:rPr>
        <w:t xml:space="preserve">, Tenant may engage other contractors approved by Landlord pursuant to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to perform the Phase 2 Work and/or Phase 3 Work.</w:t>
      </w:r>
    </w:p>
    <w:p>
      <w:pPr>
        <w:spacing w:after="0" w:line="124" w:lineRule="exact"/>
        <w:rPr>
          <w:rFonts w:ascii="Times New Roman" w:cs="Times New Roman" w:eastAsia="Times New Roman" w:hAnsi="Times New Roman"/>
          <w:sz w:val="14"/>
          <w:szCs w:val="14"/>
          <w:color w:val="auto"/>
        </w:rPr>
      </w:pPr>
    </w:p>
    <w:p>
      <w:pPr>
        <w:ind w:left="-1140" w:right="120" w:firstLine="1666"/>
        <w:spacing w:after="0" w:line="267" w:lineRule="auto"/>
        <w:tabs>
          <w:tab w:leader="none" w:pos="759"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may conduct such inspections of the Tenant’s Work as Landlord, in its sole discretion, determines. All such inspections and reviews are for the sole benefit of Landlord, and Landlord shall have no liability or obligation to Tenant or any other Person with respect to Tenant’s Work. Landlord shall use commercially reasonably efforts to minimize any disruption to, or interference with, the performance of Tenant’s Work during such inspections.</w:t>
      </w:r>
    </w:p>
    <w:p>
      <w:pPr>
        <w:spacing w:after="0" w:line="135" w:lineRule="exact"/>
        <w:rPr>
          <w:rFonts w:ascii="Times New Roman" w:cs="Times New Roman" w:eastAsia="Times New Roman" w:hAnsi="Times New Roman"/>
          <w:sz w:val="14"/>
          <w:szCs w:val="14"/>
          <w:color w:val="auto"/>
        </w:rPr>
      </w:pPr>
    </w:p>
    <w:p>
      <w:pPr>
        <w:ind w:left="-1140" w:right="80" w:firstLine="1666"/>
        <w:spacing w:after="0" w:line="253" w:lineRule="auto"/>
        <w:tabs>
          <w:tab w:leader="none" w:pos="720"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as of the Delivery Date, subject to the provisions hereof, Tenant, through Tenant’s Contractor for the Phase 1 Work and the Infrastructure Work, may enter the Premises for purposes of constructing the Phase 1 Work and Infrastructure Work, and only the Phase 1 Work and Infrastructure Work. Commencing on the Substantial Completion Date, subject to the provisions hereof, Tenant, or any agent, employee or contractor of Tenant, may enter the Premises for constructing the Phase 2 Work and the Phase 3 Work. Notwithstanding any provision herein to the contrary, if Partial Completion does not occur on or before the Target Delivery Date, or Substantial Completion does not occur on or before the Target Substantial Completion Date, Landlord shall not be in default hereunder, this Lease shall not be void or voidable, nor shall Landlord be liable for any loss or damage resulting therefrom; provided, however, in either such event, if (i) Partial Completion does not occur on or before July 1, 2019 (other than as a result of Excusable Delay), then (A) the Substantial Completion Date shall be extended one day for each day after the Target Delivery Date to the Delivery Date (the “</w:t>
      </w:r>
      <w:r>
        <w:rPr>
          <w:rFonts w:ascii="Times New Roman" w:cs="Times New Roman" w:eastAsia="Times New Roman" w:hAnsi="Times New Roman"/>
          <w:sz w:val="14"/>
          <w:szCs w:val="14"/>
          <w:u w:val="single" w:color="auto"/>
          <w:color w:val="auto"/>
        </w:rPr>
        <w:t>Additional Number of Days</w:t>
      </w:r>
      <w:r>
        <w:rPr>
          <w:rFonts w:ascii="Times New Roman" w:cs="Times New Roman" w:eastAsia="Times New Roman" w:hAnsi="Times New Roman"/>
          <w:sz w:val="14"/>
          <w:szCs w:val="14"/>
          <w:color w:val="auto"/>
        </w:rPr>
        <w:t xml:space="preserve">”), and (B) Tenant shall be entitled to a one day abatement of Base Rent for each of such Additional Number of Days, which shall be applied after the Commencement Date; and (ii) if Substantial Completion does not occur on or before the date that is the later of; (1) the Additional Number of Days, if any, after February 1, 2020 (other than as a result of Excusable Delay), and (2) the date that is thirty-one (31) days after Target Substantial Completion Date, if the Delivery Date occurs on or before the Target Delivery Date, Tenant shall be entitled to a one day abatement of Base Rent and Additional Rent for each day thereafter until the occurrence of Substantial Completion, which shall be applied following the Commencement Date and shall be in addition to any abatements pursuant to clause (i) of this </w:t>
      </w:r>
      <w:r>
        <w:rPr>
          <w:rFonts w:ascii="Times New Roman" w:cs="Times New Roman" w:eastAsia="Times New Roman" w:hAnsi="Times New Roman"/>
          <w:sz w:val="14"/>
          <w:szCs w:val="14"/>
          <w:u w:val="single" w:color="auto"/>
          <w:color w:val="auto"/>
        </w:rPr>
        <w:t>Section 3.1(f)(v)</w:t>
      </w:r>
      <w:r>
        <w:rPr>
          <w:rFonts w:ascii="Times New Roman" w:cs="Times New Roman" w:eastAsia="Times New Roman" w:hAnsi="Times New Roman"/>
          <w:sz w:val="14"/>
          <w:szCs w:val="14"/>
          <w:color w:val="auto"/>
        </w:rPr>
        <w:t>. Notwithstanding the foregoing, in the event that Substantial Completion does not occur on or before July 1, 2020 (as such date may be extended by Excusable Delay), Tenant may, within ten (10) days thereafter, terminate this Lease by written notice to Landlord. In the event of a termination of this Lease pursuant to the immediately preceding sentence, (x) neither Landlord nor Tenant shall have any further rights or obligations under this Lease except for those rights and obligations that expressly survive termination, and (y) Landlord shall promptly return to Tenant the Letter of Credit, all pre-paid Rent and any other sums previously delivered to Landlord by Tenant.</w:t>
      </w:r>
    </w:p>
    <w:p>
      <w:pPr>
        <w:spacing w:after="0" w:line="145" w:lineRule="exact"/>
        <w:rPr>
          <w:rFonts w:ascii="Times New Roman" w:cs="Times New Roman" w:eastAsia="Times New Roman" w:hAnsi="Times New Roman"/>
          <w:sz w:val="14"/>
          <w:szCs w:val="14"/>
          <w:color w:val="auto"/>
        </w:rPr>
      </w:pPr>
    </w:p>
    <w:p>
      <w:pPr>
        <w:jc w:val="both"/>
        <w:ind w:left="-1140" w:right="140" w:firstLine="1666"/>
        <w:spacing w:after="0" w:line="261" w:lineRule="auto"/>
        <w:tabs>
          <w:tab w:leader="none" w:pos="759" w:val="left"/>
        </w:tabs>
        <w:numPr>
          <w:ilvl w:val="1"/>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hereby acknowledges and agrees that, with the exception of Landlord’s obligation to deliver the Premises to Tenant on the Substantial Completion Date with the Base Building Work Substantially Completed, (x) the Premises are being leased by Tenant in their condition as of the Substantial Completion Date, “As Is,” without representation or warranty by Landlord, and (y) as of the Commencement Date, Tenant has inspected the Premises and Common Areas of the Building and has found the same satisfactory subject to Tenant’s rights under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3.1(d)</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140" w:right="140" w:firstLine="1155"/>
        <w:spacing w:after="0" w:line="258" w:lineRule="auto"/>
        <w:tabs>
          <w:tab w:leader="none" w:pos="209"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entry by Tenant, its agents, employees and/or contractors into the Premises prior to the Commencement Date shall be at Tenant’s own risk solely for the purpose of designing and performing Tenant’s Work, installing fixtures and equipment, and otherwise preparing the Premises for occupancy by Tenant. During the period of any entry by Tenant prior to the Commencement Date pursuant to the above provisions of this Section, Tenant shall be subject to the insurance obligations set forth in </w:t>
      </w:r>
      <w:r>
        <w:rPr>
          <w:rFonts w:ascii="Times New Roman" w:cs="Times New Roman" w:eastAsia="Times New Roman" w:hAnsi="Times New Roman"/>
          <w:sz w:val="14"/>
          <w:szCs w:val="14"/>
          <w:u w:val="single" w:color="auto"/>
          <w:color w:val="auto"/>
        </w:rPr>
        <w:t>Sections 7.8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7.9</w:t>
      </w:r>
      <w:r>
        <w:rPr>
          <w:rFonts w:ascii="Times New Roman" w:cs="Times New Roman" w:eastAsia="Times New Roman" w:hAnsi="Times New Roman"/>
          <w:sz w:val="14"/>
          <w:szCs w:val="14"/>
          <w:color w:val="auto"/>
        </w:rPr>
        <w:t xml:space="preserve"> and to all other obligations of Tenant under this Lease with respect to the Premises, other than the obligations to pay Base Rent and Additional Rent, and, prior to any such entry by Tenant prior to the Commencement Date, Tenant shall furnish Landlord with a certificate of insurance confirming its procurement of the insurance required by </w:t>
      </w:r>
      <w:r>
        <w:rPr>
          <w:rFonts w:ascii="Times New Roman" w:cs="Times New Roman" w:eastAsia="Times New Roman" w:hAnsi="Times New Roman"/>
          <w:sz w:val="14"/>
          <w:szCs w:val="14"/>
          <w:u w:val="single" w:color="auto"/>
          <w:color w:val="auto"/>
        </w:rPr>
        <w:t>Sections 7.8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7.9</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4440" w:hanging="88"/>
        <w:spacing w:after="0"/>
        <w:tabs>
          <w:tab w:leader="none" w:pos="4440" w:val="left"/>
        </w:tabs>
        <w:numPr>
          <w:ilvl w:val="2"/>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40"/>
          </w:cols>
          <w:pgMar w:left="1440" w:top="965" w:right="31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4"/>
          <w:szCs w:val="14"/>
          <w:u w:val="single" w:color="auto"/>
          <w:color w:val="auto"/>
        </w:rPr>
        <w:t>Section 3.2 Allowance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520" w:right="60" w:firstLine="1162"/>
        <w:spacing w:after="0" w:line="267" w:lineRule="auto"/>
        <w:tabs>
          <w:tab w:leader="none" w:pos="829"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of this Lease, Landlord will provide an amount up to the aggregate amount of the Allowance (and Excess Allowance, if applicable) to or for the benefit of Tenant to pay or reimburse Tenant for costs of Tenant’s Work for each Phase of the Work; provided that no more than ten percent (10%) of the Allowance, in the aggregate, may be used for so-called “soft costs.”</w:t>
      </w:r>
    </w:p>
    <w:p>
      <w:pPr>
        <w:spacing w:after="0" w:line="135" w:lineRule="exact"/>
        <w:rPr>
          <w:rFonts w:ascii="Times New Roman" w:cs="Times New Roman" w:eastAsia="Times New Roman" w:hAnsi="Times New Roman"/>
          <w:sz w:val="14"/>
          <w:szCs w:val="14"/>
          <w:color w:val="auto"/>
        </w:rPr>
      </w:pPr>
    </w:p>
    <w:p>
      <w:pPr>
        <w:ind w:left="-520" w:right="20" w:firstLine="1162"/>
        <w:spacing w:after="0" w:line="255" w:lineRule="auto"/>
        <w:tabs>
          <w:tab w:leader="none" w:pos="837"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Disbursement of the Allowance (and Excess Allowance, if applicable) to reimburse Tenant for Tenant’s Work Costs shall be conditioned upon the subject Tenant’s Work having been performed in accordance with the provisions of this Lease and Landlord’s receipt of a request for such portion of the Allowance (and Excess Allowance, if applicable) with the following backup reasonably satisfactory to Landlord: (i) properly completed and fully executed requisition on AIA Forms G-702 and G- 703 duly certified by Tenant’s Contractor and Tenant’s Architect (separate AIA Forms G-702 and G-703 shall be provided for each portion of Tenant’s Work for which a disbursement is requested) and unconditional lien waivers from the applicable Tenant’s Contractor(s) and each direct or indirect subcontractor, material supplier and equipment lessor with a contract or contracts in excess of $25,000.00 with respect to any Phase of the Work; (ii) evidence of satisfactory completion of any governmental inspections required with respect to the Tenant’s Work; and (iii) such other certificates and any other reasonable requirements of Landlord or Landlord’s construction lender (if any) including, without limitation, confirmation that the work and materials to be paid for with respect to any particular disbursement are satisfactory to Tenant and are in accordance with the terms and provisions of the contract with the applicable Tenant’s Contractor, the relevant Tenant’s Work Plans and applicable Legal Requirements.</w:t>
      </w:r>
    </w:p>
    <w:p>
      <w:pPr>
        <w:spacing w:after="0" w:line="145" w:lineRule="exact"/>
        <w:rPr>
          <w:rFonts w:ascii="Times New Roman" w:cs="Times New Roman" w:eastAsia="Times New Roman" w:hAnsi="Times New Roman"/>
          <w:sz w:val="14"/>
          <w:szCs w:val="14"/>
          <w:color w:val="auto"/>
        </w:rPr>
      </w:pPr>
    </w:p>
    <w:p>
      <w:pPr>
        <w:ind w:left="-520" w:firstLine="1162"/>
        <w:spacing w:after="0" w:line="248" w:lineRule="auto"/>
        <w:tabs>
          <w:tab w:leader="none" w:pos="829"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commencement of each Phase of the Work, Landlord and Tenant shall, each acting reasonably, determine and agree upon the estimated Tenant’s Work Cost applicable to such Phase of the Work on the basis of the relevant Tenant’s Work Plans and Tenant’s contract(s) for the performance of such Phase of the Work (the “</w:t>
      </w:r>
      <w:r>
        <w:rPr>
          <w:rFonts w:ascii="Times New Roman" w:cs="Times New Roman" w:eastAsia="Times New Roman" w:hAnsi="Times New Roman"/>
          <w:sz w:val="14"/>
          <w:szCs w:val="14"/>
          <w:u w:val="single" w:color="auto"/>
          <w:color w:val="auto"/>
        </w:rPr>
        <w:t>Estimated Tenant’s Work Cost</w:t>
      </w:r>
      <w:r>
        <w:rPr>
          <w:rFonts w:ascii="Times New Roman" w:cs="Times New Roman" w:eastAsia="Times New Roman" w:hAnsi="Times New Roman"/>
          <w:sz w:val="14"/>
          <w:szCs w:val="14"/>
          <w:color w:val="auto"/>
        </w:rPr>
        <w:t>”). If the Estimated Tenant’s Work Cost exceeds the Allowance (and Excess Allowance, if applicable) available for such Phase of the Work (the amount of the difference for such Phase of Work being referred to herein as the “</w:t>
      </w:r>
      <w:r>
        <w:rPr>
          <w:rFonts w:ascii="Times New Roman" w:cs="Times New Roman" w:eastAsia="Times New Roman" w:hAnsi="Times New Roman"/>
          <w:sz w:val="14"/>
          <w:szCs w:val="14"/>
          <w:u w:val="single" w:color="auto"/>
          <w:color w:val="auto"/>
        </w:rPr>
        <w:t>Excess Costs</w:t>
      </w:r>
      <w:r>
        <w:rPr>
          <w:rFonts w:ascii="Times New Roman" w:cs="Times New Roman" w:eastAsia="Times New Roman" w:hAnsi="Times New Roman"/>
          <w:sz w:val="14"/>
          <w:szCs w:val="14"/>
          <w:color w:val="auto"/>
        </w:rPr>
        <w:t xml:space="preserve">”). Tenant shall be responsible for payment in full of such Excess Costs and Landlord shall not be obligated to disburse any portion of the Allowance (or Excess Allowance, if applicable) until such Excess Costs have been paid in full by Tenant. Subject to the foregoing, Tenant may request disbursements of the Allowance (and Excess Allowance, if applicable) from time to time as Tenant’s Work progresses, but not more frequently than monthly. So long as no Event of Default is then existing and provided Tenant submits the documentation required for disbursements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on or before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Business Day before the end of a calendar month, Landlord shall make disbursements of the requested installment of the Allowance (and Excess Allowance, if applicable) in an amount equal to 95% of the Tenant’s Work Costs (100% for “soft” costs) for the applicable portion of Tenant’s Work (and Landlord shall be entitled to retain the remaining 5% as retainage) on or before the last calendar day of the month following such submission. So long as no Event of Default is then existing, upon providing the documentation required for disbursement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and compliance with other applicable provisions of this Lease, Landlord shall disburse all retainage held by Landlord with respect a Phase of the Work only following completion of all of Tenant’s Work for such Phase of the Work. Landlord may inspect Tenant’s Work as a condition to authorizing any disbursement of the Allowance and/or the Excess Allowance to confirm the status of Tenant’s Work and that Tenant’s Work is being performed in accordance with the provisions of this Lease.</w:t>
      </w:r>
    </w:p>
    <w:p>
      <w:pPr>
        <w:spacing w:after="0" w:line="153" w:lineRule="exact"/>
        <w:rPr>
          <w:rFonts w:ascii="Times New Roman" w:cs="Times New Roman" w:eastAsia="Times New Roman" w:hAnsi="Times New Roman"/>
          <w:sz w:val="14"/>
          <w:szCs w:val="14"/>
          <w:color w:val="auto"/>
        </w:rPr>
      </w:pPr>
    </w:p>
    <w:p>
      <w:pPr>
        <w:ind w:left="-520" w:right="300" w:firstLine="1162"/>
        <w:spacing w:after="0" w:line="283" w:lineRule="auto"/>
        <w:tabs>
          <w:tab w:leader="none" w:pos="837"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or as otherwise agreed in writing by Landlord and Tenant, the portion of the Allowance that shall be available for Tenant’s Work in each Phase shall be as follows:</w:t>
      </w:r>
    </w:p>
    <w:p>
      <w:pPr>
        <w:spacing w:after="0" w:line="40" w:lineRule="exact"/>
        <w:rPr>
          <w:rFonts w:ascii="Times New Roman" w:cs="Times New Roman" w:eastAsia="Times New Roman" w:hAnsi="Times New Roman"/>
          <w:sz w:val="14"/>
          <w:szCs w:val="14"/>
          <w:color w:val="auto"/>
        </w:rPr>
      </w:pPr>
    </w:p>
    <w:p>
      <w:pPr>
        <w:ind w:left="1140" w:right="120" w:firstLine="6"/>
        <w:spacing w:after="0" w:line="258" w:lineRule="auto"/>
        <w:tabs>
          <w:tab w:leader="none" w:pos="1307" w:val="left"/>
        </w:tabs>
        <w:numPr>
          <w:ilvl w:val="1"/>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Phase 1, $185 per square foot of the Phase 1 Leasable Square Footage (“</w:t>
      </w:r>
      <w:r>
        <w:rPr>
          <w:rFonts w:ascii="Times New Roman" w:cs="Times New Roman" w:eastAsia="Times New Roman" w:hAnsi="Times New Roman"/>
          <w:sz w:val="14"/>
          <w:szCs w:val="14"/>
          <w:u w:val="single" w:color="auto"/>
          <w:color w:val="auto"/>
        </w:rPr>
        <w:t>Phase 1 Tl Allowance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 up to $85 per square foot of the Phase 2 Leasable Square Footage to the extent such Tenant’s Work is for Infrastructure Work related to the Phase 2 Leasable Square Footage and such Infrastructure Work is being performed simultaneously with the Phase 1 Work (the “</w:t>
      </w:r>
      <w:r>
        <w:rPr>
          <w:rFonts w:ascii="Times New Roman" w:cs="Times New Roman" w:eastAsia="Times New Roman" w:hAnsi="Times New Roman"/>
          <w:sz w:val="14"/>
          <w:szCs w:val="14"/>
          <w:u w:val="single" w:color="auto"/>
          <w:color w:val="auto"/>
        </w:rPr>
        <w:t>Phase 2 Infrastructure Tl Advance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up to $85 per square foot of the Phase 3 Leasable Square Footage to the extent such Tenant’s Work is for Infrastructure Work related to the Phase 3 Leasable Square Footage and such Infrastructure Work is being performed simultaneously with the Phase 1 Work (the “</w:t>
      </w:r>
      <w:r>
        <w:rPr>
          <w:rFonts w:ascii="Times New Roman" w:cs="Times New Roman" w:eastAsia="Times New Roman" w:hAnsi="Times New Roman"/>
          <w:sz w:val="14"/>
          <w:szCs w:val="14"/>
          <w:u w:val="single" w:color="auto"/>
          <w:color w:val="auto"/>
        </w:rPr>
        <w:t>Phase 3 Infrastructure Tl Advance</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140" w:right="80" w:firstLine="6"/>
        <w:spacing w:after="0" w:line="283" w:lineRule="auto"/>
        <w:tabs>
          <w:tab w:leader="none" w:pos="1346" w:val="left"/>
        </w:tabs>
        <w:numPr>
          <w:ilvl w:val="1"/>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Phase 2, $185 per square foot of the Phase 2 Leasable Square Footage,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 any Phase 1 Tl Allowance not allocated to Tenant for the Phase 1 Work pursuant to clause (i) above,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(B) the portion of the Phase 2 Infrastructure Tl Advance allocated to Tenant in Phase 1; (“</w:t>
      </w:r>
      <w:r>
        <w:rPr>
          <w:rFonts w:ascii="Times New Roman" w:cs="Times New Roman" w:eastAsia="Times New Roman" w:hAnsi="Times New Roman"/>
          <w:sz w:val="14"/>
          <w:szCs w:val="14"/>
          <w:u w:val="single" w:color="auto"/>
          <w:color w:val="auto"/>
        </w:rPr>
        <w:t>Phase 2 Tl Allowance</w:t>
      </w:r>
      <w:r>
        <w:rPr>
          <w:rFonts w:ascii="Times New Roman" w:cs="Times New Roman" w:eastAsia="Times New Roman" w:hAnsi="Times New Roman"/>
          <w:sz w:val="14"/>
          <w:szCs w:val="14"/>
          <w:color w:val="auto"/>
        </w:rPr>
        <w:t>”); and</w:t>
      </w:r>
    </w:p>
    <w:p>
      <w:pPr>
        <w:spacing w:after="0" w:line="40" w:lineRule="exact"/>
        <w:rPr>
          <w:rFonts w:ascii="Times New Roman" w:cs="Times New Roman" w:eastAsia="Times New Roman" w:hAnsi="Times New Roman"/>
          <w:sz w:val="14"/>
          <w:szCs w:val="14"/>
          <w:color w:val="auto"/>
        </w:rPr>
      </w:pPr>
    </w:p>
    <w:p>
      <w:pPr>
        <w:ind w:left="1140" w:right="80" w:firstLine="6"/>
        <w:spacing w:after="0" w:line="267" w:lineRule="auto"/>
        <w:tabs>
          <w:tab w:leader="none" w:pos="1385" w:val="left"/>
        </w:tabs>
        <w:numPr>
          <w:ilvl w:val="1"/>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Phase3, $185 per square foot of the Phase 3 Leasable Square Footage, plus (A) any Phase 1 Tl Allowance not allocated to Tenant for the Phase 1 Work pursuant to clause (i) above, plus (b) any Phase 2 Tl Allowance not allocated to Tenant for the Phase 2 Work pursuant to clause (ii) above, minus (C) the portion of the Phase 3 Infrastructure Tl Advance allocated to Tenant in Phase 1 pursuant to clause (ii) above.</w:t>
      </w:r>
    </w:p>
    <w:p>
      <w:pPr>
        <w:spacing w:after="0" w:line="51" w:lineRule="exact"/>
        <w:rPr>
          <w:rFonts w:ascii="Times New Roman" w:cs="Times New Roman" w:eastAsia="Times New Roman" w:hAnsi="Times New Roman"/>
          <w:sz w:val="14"/>
          <w:szCs w:val="14"/>
          <w:color w:val="auto"/>
        </w:rPr>
      </w:pPr>
    </w:p>
    <w:p>
      <w:pPr>
        <w:ind w:left="5060" w:hanging="88"/>
        <w:spacing w:after="0"/>
        <w:tabs>
          <w:tab w:leader="none" w:pos="5060" w:val="left"/>
        </w:tabs>
        <w:numPr>
          <w:ilvl w:val="2"/>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966" w:right="319" w:bottom="1440" w:gutter="0" w:footer="0" w:header="0"/>
        </w:sectPr>
      </w:pPr>
    </w:p>
    <w:bookmarkStart w:id="542" w:name="page543"/>
    <w:bookmarkEnd w:id="542"/>
    <w:p>
      <w:pPr>
        <w:ind w:right="60" w:firstLine="1162"/>
        <w:spacing w:after="0" w:line="267" w:lineRule="auto"/>
        <w:tabs>
          <w:tab w:leader="none" w:pos="1349"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or as otherwise agreed in writing by Landlord and Tenant, the portion of the Excess Allowance that shall be available for each of the Phase 1 Work, the Phase 2 Work and the Phase 3 Work shall be the lesser of (x) the amount of the Excess Allowance requested by Tenant and (y) $25 multiplied by the Leasable Square Footage of the applicable Phase.</w:t>
      </w:r>
    </w:p>
    <w:p>
      <w:pPr>
        <w:spacing w:after="0" w:line="135" w:lineRule="exact"/>
        <w:rPr>
          <w:rFonts w:ascii="Times New Roman" w:cs="Times New Roman" w:eastAsia="Times New Roman" w:hAnsi="Times New Roman"/>
          <w:sz w:val="14"/>
          <w:szCs w:val="14"/>
          <w:color w:val="auto"/>
        </w:rPr>
      </w:pPr>
    </w:p>
    <w:p>
      <w:pPr>
        <w:ind w:right="20" w:firstLine="1162"/>
        <w:spacing w:after="0" w:line="256" w:lineRule="auto"/>
        <w:tabs>
          <w:tab w:leader="none" w:pos="1333"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 long as no Event of Default is then existing, and subject to Tenant’s compliance with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but subject to the last sentence of this </w:t>
      </w:r>
      <w:r>
        <w:rPr>
          <w:rFonts w:ascii="Times New Roman" w:cs="Times New Roman" w:eastAsia="Times New Roman" w:hAnsi="Times New Roman"/>
          <w:sz w:val="14"/>
          <w:szCs w:val="14"/>
          <w:u w:val="single" w:color="auto"/>
          <w:color w:val="auto"/>
        </w:rPr>
        <w:t>Section 3.2(f)</w:t>
      </w:r>
      <w:r>
        <w:rPr>
          <w:rFonts w:ascii="Times New Roman" w:cs="Times New Roman" w:eastAsia="Times New Roman" w:hAnsi="Times New Roman"/>
          <w:sz w:val="14"/>
          <w:szCs w:val="14"/>
          <w:color w:val="auto"/>
        </w:rPr>
        <w:t xml:space="preserve">, (i) upon completion of Tenant’s Work for any Phase of the Work and payment in full of all of the Tenant’s Work Costs related thereto, the remaining, undisbursed balance, if any, of the Allowance and Excess Allowance allocated to such Phase of the Work pursuant to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as applicable, shall be made available to Tenant to be (A) reallocated to other Phases of the Work or (B) applied to reimburse Tenant for Excess Costs previously paid by Tenant and (ii) upon completion of all Tenant’s Work and payment of all of the Tenant Work Costs related thereto, Landlord shall disburse all of the remaining Allowance (and Excess Allowance, if applicable), if any, not previously disbursed to Tenant to the extent of any Excess Costs paid by Tenant in any Phase that have not been reimbursed to Tenant from the Allowance or Excess Allowance. Notwithstanding anything to the contrary contained herein, any portion of the Allowance and/or Excess Allowance for which Tenant has not duly requested and qualified for disbursement within eighteen (18) months after the Commencement Date shall be forfeited by Tenant.</w:t>
      </w:r>
    </w:p>
    <w:p>
      <w:pPr>
        <w:spacing w:after="0" w:line="143" w:lineRule="exact"/>
        <w:rPr>
          <w:rFonts w:ascii="Times New Roman" w:cs="Times New Roman" w:eastAsia="Times New Roman" w:hAnsi="Times New Roman"/>
          <w:sz w:val="14"/>
          <w:szCs w:val="14"/>
          <w:color w:val="auto"/>
        </w:rPr>
      </w:pPr>
    </w:p>
    <w:p>
      <w:pPr>
        <w:ind w:firstLine="1162"/>
        <w:spacing w:after="0" w:line="258" w:lineRule="auto"/>
        <w:tabs>
          <w:tab w:leader="none" w:pos="1357"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and notwithstanding anything to the contrary in this Lease, in no event shall Landlord have any obligation to disburse any amount on account of the Allowance or Excess Allowance (i) in excess of the total amount of the Allowance or available Excess Allowance, as applicable, or (ii) on account of any portion of the Premises that is not to be completed (either to the full extent needed for use for its intended purpose or to the full extent of the Infrastructure Work, as applicable) pursuant to the Tenant’s Work Plans for the applicable Phase. In the event that the Tenant’s Work Costs or any alterations and improvements to the Premises exceeds the amount of the Allowance (plus the Excess Allowance, if applicable) available therefor, Tenant shall be entirely responsible for such excess.</w:t>
      </w:r>
    </w:p>
    <w:p>
      <w:pPr>
        <w:spacing w:after="0" w:line="144"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3.3 Signs</w:t>
      </w:r>
      <w:r>
        <w:rPr>
          <w:rFonts w:ascii="Times New Roman" w:cs="Times New Roman" w:eastAsia="Times New Roman" w:hAnsi="Times New Roman"/>
          <w:sz w:val="14"/>
          <w:szCs w:val="14"/>
          <w:color w:val="auto"/>
        </w:rPr>
        <w:t xml:space="preserve">. Tenant shall have the right, at Landlord’s cost, to be identified on the tenant directory at the main entrance of the Building and on the monument signs at both entrances to the Project, in addition, subject to Landlord’s reasonable approval of the size, style, design, materials, method of attachment to the Building and placement, and subject to all applicable rules and regulations of the City of Cambridge, Tenant shall have the right, at its sole cost and expense, to install signage (i) at Tenant’s entrance to the Premises, which right shall be non-exclusive, and (ii) on the exterior </w:t>
      </w:r>
      <w:r>
        <w:rPr>
          <w:rFonts w:ascii="Times New Roman" w:cs="Times New Roman" w:eastAsia="Times New Roman" w:hAnsi="Times New Roman"/>
          <w:sz w:val="14"/>
          <w:szCs w:val="14"/>
          <w:u w:val="single" w:color="auto"/>
          <w:color w:val="auto"/>
        </w:rPr>
        <w:t>façade</w:t>
      </w:r>
      <w:r>
        <w:rPr>
          <w:rFonts w:ascii="Times New Roman" w:cs="Times New Roman" w:eastAsia="Times New Roman" w:hAnsi="Times New Roman"/>
          <w:sz w:val="14"/>
          <w:szCs w:val="14"/>
          <w:color w:val="auto"/>
        </w:rPr>
        <w:t xml:space="preserve"> of Tower 400, which right shall be exclusive with respect to the </w:t>
      </w:r>
      <w:r>
        <w:rPr>
          <w:rFonts w:ascii="Times New Roman" w:cs="Times New Roman" w:eastAsia="Times New Roman" w:hAnsi="Times New Roman"/>
          <w:sz w:val="14"/>
          <w:szCs w:val="14"/>
          <w:u w:val="single" w:color="auto"/>
          <w:color w:val="auto"/>
        </w:rPr>
        <w:t>façade</w:t>
      </w:r>
      <w:r>
        <w:rPr>
          <w:rFonts w:ascii="Times New Roman" w:cs="Times New Roman" w:eastAsia="Times New Roman" w:hAnsi="Times New Roman"/>
          <w:sz w:val="14"/>
          <w:szCs w:val="14"/>
          <w:color w:val="auto"/>
        </w:rPr>
        <w:t xml:space="preserve"> of Tower 400 (the “</w:t>
      </w:r>
      <w:r>
        <w:rPr>
          <w:rFonts w:ascii="Times New Roman" w:cs="Times New Roman" w:eastAsia="Times New Roman" w:hAnsi="Times New Roman"/>
          <w:sz w:val="14"/>
          <w:szCs w:val="14"/>
          <w:u w:val="single" w:color="auto"/>
          <w:color w:val="auto"/>
        </w:rPr>
        <w:t>Exterior Sign</w:t>
      </w:r>
      <w:r>
        <w:rPr>
          <w:rFonts w:ascii="Times New Roman" w:cs="Times New Roman" w:eastAsia="Times New Roman" w:hAnsi="Times New Roman"/>
          <w:sz w:val="14"/>
          <w:szCs w:val="14"/>
          <w:color w:val="auto"/>
        </w:rPr>
        <w:t xml:space="preserve">”). Except for the Exterior Sign permitted under this Section, Tenant shall not erect any signs which are visible from the exterior of the Building. Tenant shall not erect signs except in compliance with all applicable Legal Requirements, and Tenant shall be solely responsible for confirming that any proposed sign is in compliance with all such Legal Requirements. In addition, if the aggregate size of exterior signs on the </w:t>
      </w:r>
      <w:r>
        <w:rPr>
          <w:rFonts w:ascii="Times New Roman" w:cs="Times New Roman" w:eastAsia="Times New Roman" w:hAnsi="Times New Roman"/>
          <w:sz w:val="14"/>
          <w:szCs w:val="14"/>
          <w:u w:val="single" w:color="auto"/>
          <w:color w:val="auto"/>
        </w:rPr>
        <w:t>façade</w:t>
      </w:r>
      <w:r>
        <w:rPr>
          <w:rFonts w:ascii="Times New Roman" w:cs="Times New Roman" w:eastAsia="Times New Roman" w:hAnsi="Times New Roman"/>
          <w:sz w:val="14"/>
          <w:szCs w:val="14"/>
          <w:color w:val="auto"/>
        </w:rPr>
        <w:t xml:space="preserve"> of the Building is limited by applicable Legal Requirements, Tenant’s Exterior Sign shall not exceed Tenant’s Building Share of such aggregate size. Tenant shall maintain its signs in good repair and condition. Tenant shall remove any such signage permitted by the above provisions of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at its sole cost and expense, at the expiration of the Lease Term and shall be responsible for repairing (or the costs for Landlord’s repair of) any damage to the Building resulting from such removal. The rights, if any, of Tenant to install or erect any sign on the exterior or outside of the Building shall be personal to Fog Pharmaceuticals, Inc., and shall not inure to the benefit of any subtenant or assignee permitted hereunder other than with the prior written consent of Landlord to the assignment of such rights or to a Permitted Transferee; provided, that any replacement sign(s) for a Permitted Transferee shall be subject to the foregoing provisions of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right="100"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3.4 Rooftop Equipment</w:t>
      </w:r>
      <w:r>
        <w:rPr>
          <w:rFonts w:ascii="Times New Roman" w:cs="Times New Roman" w:eastAsia="Times New Roman" w:hAnsi="Times New Roman"/>
          <w:sz w:val="14"/>
          <w:szCs w:val="14"/>
          <w:color w:val="auto"/>
        </w:rPr>
        <w:t>. Tenant, at its sole cost and expense, shall have the right (it being understood that Landlord may grant, extend or renew similar rights to others) to install, maintain, repair, replace and use mechanical and communications equipment and an emergency generator on a portion of the roof of Tower 400 equal to Tenant’s Building Share of any space on such roof made available to tenants in the Building for such purposes or other similar purposes (collectively, the “</w:t>
      </w:r>
      <w:r>
        <w:rPr>
          <w:rFonts w:ascii="Times New Roman" w:cs="Times New Roman" w:eastAsia="Times New Roman" w:hAnsi="Times New Roman"/>
          <w:sz w:val="14"/>
          <w:szCs w:val="14"/>
          <w:u w:val="single" w:color="auto"/>
          <w:color w:val="auto"/>
        </w:rPr>
        <w:t>Rooftop Equipment</w:t>
      </w:r>
      <w:r>
        <w:rPr>
          <w:rFonts w:ascii="Times New Roman" w:cs="Times New Roman" w:eastAsia="Times New Roman" w:hAnsi="Times New Roman"/>
          <w:sz w:val="14"/>
          <w:szCs w:val="14"/>
          <w:color w:val="auto"/>
        </w:rPr>
        <w:t>”): provided, that (A) prior to commencing any installation or maintenance of the Rooftop Equipment, Tenant shall obtain Landlord’s prior written approval (in Landlord’s reasonable discretion) of the proposed size, weight, location and screening of the Rooftop Equipment, the method for fastening the same to the roof, the method and location and size of any cables, conduit, wiring and other equipment necessary for the Rooftop Equipment to serve the Premises, Tenant’s design and specifications of the foregoing and Tenant’s plan to provide power to the Rooftop Equipment, (B) such installation and/or replacement by Tenant shall comply strictly with all Legal Requirements and the conditions of any bond or warranty maintained by Landlord on the roof (the “</w:t>
      </w:r>
      <w:r>
        <w:rPr>
          <w:rFonts w:ascii="Times New Roman" w:cs="Times New Roman" w:eastAsia="Times New Roman" w:hAnsi="Times New Roman"/>
          <w:sz w:val="14"/>
          <w:szCs w:val="14"/>
          <w:u w:val="single" w:color="auto"/>
          <w:color w:val="auto"/>
        </w:rPr>
        <w:t>Roof Warranty</w:t>
      </w:r>
      <w:r>
        <w:rPr>
          <w:rFonts w:ascii="Times New Roman" w:cs="Times New Roman" w:eastAsia="Times New Roman" w:hAnsi="Times New Roman"/>
          <w:sz w:val="14"/>
          <w:szCs w:val="14"/>
          <w:color w:val="auto"/>
        </w:rPr>
        <w:t>”) and the Rules and Regulations, (C) Tenant and its Permitted Transferee(s) shall use all the Rooftop Equipment solely for its internal use, (D) Tenant shall not grant any right to use the Rooftop Equipment to any other party other than its Permitted Transferee(s),</w:t>
      </w:r>
    </w:p>
    <w:p>
      <w:pPr>
        <w:spacing w:after="0" w:line="3" w:lineRule="exact"/>
        <w:rPr>
          <w:sz w:val="20"/>
          <w:szCs w:val="20"/>
          <w:color w:val="auto"/>
        </w:rPr>
      </w:pPr>
    </w:p>
    <w:p>
      <w:pPr>
        <w:ind w:firstLine="4"/>
        <w:spacing w:after="0" w:line="254" w:lineRule="auto"/>
        <w:tabs>
          <w:tab w:leader="none" w:pos="214"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Rooftop Equipment shall not interfere with the use and enjoyment of the Building by any tenant thereof and shall not interfere with the use of any Rooftop Equipment installed by Landlord, and (F) Tenant shall obtain, at Tenant’s sole cost and expense, any necessary federal, state and municipal permits, licenses and approvals necessary for the installation and use of the Rooftop Equipment and deliver copies thereof to Landlord. The term “Rooftop Equipment” shall also include all cables, conduit, wiring and other equipment installed by Tenant in any portion of the Building to serve the same. Tenant shall install the Rooftop Equipment in a manner that does not void or</w:t>
      </w:r>
    </w:p>
    <w:p>
      <w:pPr>
        <w:spacing w:after="0" w:line="60"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43" w:name="page544"/>
    <w:bookmarkEnd w:id="543"/>
    <w:p>
      <w:pPr>
        <w:spacing w:after="0" w:line="256" w:lineRule="auto"/>
        <w:rPr>
          <w:sz w:val="20"/>
          <w:szCs w:val="20"/>
          <w:color w:val="auto"/>
        </w:rPr>
      </w:pPr>
      <w:r>
        <w:rPr>
          <w:rFonts w:ascii="Times New Roman" w:cs="Times New Roman" w:eastAsia="Times New Roman" w:hAnsi="Times New Roman"/>
          <w:sz w:val="14"/>
          <w:szCs w:val="14"/>
          <w:color w:val="auto"/>
        </w:rPr>
        <w:t xml:space="preserve">jeopardize the Roof Warranty and at Landlord’s request, Tenant shall obtain a written confirmation from the issuer of the Roof Warranty that any installation, repair, replacement and removal of the Rooftop Equipment has not voided the Roof Warranty and/or use a contractor for such installation specified by Landlord. Landlord may supervise or perform any roof penetration related to the installation of any Rooftop Equipment and Landlord may charge the cost thereof to Tenant. Tenant agrees that all installation, construction, maintenance and removal shall be performed in a neat, responsible and workmanlike manner, using generally acceptable construction standards, consistent with such requirements as shall be imposed by Landlord and consistent with the plans and specifications approved by Landlord for the installation of the Rooftop Equipment Tenant further agrees to label each cable, conduit, wiring and other equipment placed by Tenant in the Building, with identification information as required by Landlord. Tenant shall repair any damage to the Building caused by Tenant’s installation, maintenance, replacement, use or removal of the Rooftop Equipment. Tenant’s rights under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are also subject to the provisions of </w:t>
      </w:r>
      <w:r>
        <w:rPr>
          <w:rFonts w:ascii="Times New Roman" w:cs="Times New Roman" w:eastAsia="Times New Roman" w:hAnsi="Times New Roman"/>
          <w:sz w:val="14"/>
          <w:szCs w:val="14"/>
          <w:u w:val="single" w:color="auto"/>
          <w:color w:val="auto"/>
        </w:rPr>
        <w:t>Sections 3.5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7.5</w:t>
      </w:r>
      <w:r>
        <w:rPr>
          <w:rFonts w:ascii="Times New Roman" w:cs="Times New Roman" w:eastAsia="Times New Roman" w:hAnsi="Times New Roman"/>
          <w:sz w:val="14"/>
          <w:szCs w:val="14"/>
          <w:color w:val="auto"/>
        </w:rPr>
        <w:t xml:space="preserve"> below.</w:t>
      </w:r>
    </w:p>
    <w:p>
      <w:pPr>
        <w:spacing w:after="0" w:line="144"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4"/>
          <w:szCs w:val="14"/>
          <w:color w:val="auto"/>
        </w:rPr>
        <w:t xml:space="preserve">Notwithstanding anything to the contrary contained herein, the Landlord and Tenant acknowledge and agree that the Mechanical Penthouse Mezzanine which is located above the sixth floor of Tower 400 and is depicted on </w:t>
      </w:r>
      <w:r>
        <w:rPr>
          <w:rFonts w:ascii="Times New Roman" w:cs="Times New Roman" w:eastAsia="Times New Roman" w:hAnsi="Times New Roman"/>
          <w:sz w:val="14"/>
          <w:szCs w:val="14"/>
          <w:u w:val="single" w:color="auto"/>
          <w:color w:val="auto"/>
        </w:rPr>
        <w:t>Exhibit L</w:t>
      </w:r>
      <w:r>
        <w:rPr>
          <w:rFonts w:ascii="Times New Roman" w:cs="Times New Roman" w:eastAsia="Times New Roman" w:hAnsi="Times New Roman"/>
          <w:sz w:val="14"/>
          <w:szCs w:val="14"/>
          <w:color w:val="auto"/>
        </w:rPr>
        <w:t xml:space="preserve"> attached hereto is not included in the Premises and is not part of the roof. Therefore, Tenant does not have any right to use the Mechanical Penthouse Mezzanine for any purpose, nor the right to place equipment, materials or other property therein.</w:t>
      </w:r>
    </w:p>
    <w:p>
      <w:pPr>
        <w:spacing w:after="0" w:line="136"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color w:val="auto"/>
        </w:rPr>
        <w:t>The Rooftop Equipment shall remain the property of Tenant and Tenant may remove the Rooftop Equipment at its cost at any time during the Term; provided, that Tenant shall remove all of the Rooftop Equipment at Tenant’s cost and expense upon the expiration or termination of this Lease unless Landlord otherwise agrees in writing that such removal shall not be required. Tenant shall promptly repair and restore any damage to the Building, Project and any Common Areas and any Common Facilities caused by Tenant’s removal of the Rooftop Equipment. If Tenant does not so remove the Rooftop Equipment by the expiration or earlier termination of the Term, the same shall be an Event of Default, and at Landlord’s election, the Rooftop Equipment shall be deemed abandoned and at Landlord’s option in its sole and absolute discretion, shall thereupon become the property of Landlord, in which case Landlord may possess, use, dispose of (at Tenant’s sole cost and expense) and otherwise enjoy the beneficial incidents of the ownership thereof as Landlord deems appropriate. Landlord makes no warranty or representation that the Building or any portions thereof are suitable for the use of the Rooftop Equipment, it being assumed that Tenant shall satisfy itself thereof. Except to the extent arising from the gross negligence or willful misconduct of Landlord, Tenant shall protect, defend, indemnify and hold harmless Landlord from and against claims, damages, liabilities, losses, costs and expenses of every kind and nature, including attorneys’ fees, incurred by or asserted against Landlord arising out of Tenant’ installation, maintenance, repair, replacement, use or removal of the Rooftop Equipment, including without limitation, any voiding of the Roof Warranty caused by the installation, maintenance, repair, replacement, use or removal of the Rooftop Equipment, during the Term.</w:t>
      </w:r>
    </w:p>
    <w:p>
      <w:pPr>
        <w:spacing w:after="0" w:line="146"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3.5 Use of Union Labor</w:t>
      </w:r>
      <w:r>
        <w:rPr>
          <w:rFonts w:ascii="Times New Roman" w:cs="Times New Roman" w:eastAsia="Times New Roman" w:hAnsi="Times New Roman"/>
          <w:sz w:val="14"/>
          <w:szCs w:val="14"/>
          <w:color w:val="auto"/>
        </w:rPr>
        <w:t>. Tenant covenants and agrees that all contractors and subcontractors at any tier performing any construction, repair, refurbishment or restoration, including, without limitation, any Tenant’s Work, tenant improvements, build-out, alterations, additions, improvements, renovations, repairs, remodeling, painting and installations of fixtures, mechanical, electrical, plumbing, data, security, telecommunication, low voltage or elevator equipment or systems or other equipment, or with respect to any other construction work in, on, or to the Premises (including any such work performed by any person who contracts to provide services to any portion of the Premises, such as cable, DSL, communications, telecommunications or similar service) shall:</w:t>
      </w:r>
    </w:p>
    <w:p>
      <w:pPr>
        <w:spacing w:after="0" w:line="1" w:lineRule="exact"/>
        <w:rPr>
          <w:sz w:val="20"/>
          <w:szCs w:val="20"/>
          <w:color w:val="auto"/>
        </w:rPr>
      </w:pPr>
    </w:p>
    <w:p>
      <w:pPr>
        <w:ind w:firstLine="4"/>
        <w:spacing w:after="0" w:line="252" w:lineRule="auto"/>
        <w:tabs>
          <w:tab w:leader="none" w:pos="191"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bound by and signatory to a collective bargaining agreement with a labor organization (i) whose jurisdiction covers the type of work to be performed on the Premises, and (ii) who is an Approved Building Trades Department Contractor or Subcontractor (as hereinafter defined); and (b) observe area standards for wages and other terms and conditions of employment, including fringe benefits (collectively, the “</w:t>
      </w:r>
      <w:r>
        <w:rPr>
          <w:rFonts w:ascii="Times New Roman" w:cs="Times New Roman" w:eastAsia="Times New Roman" w:hAnsi="Times New Roman"/>
          <w:sz w:val="14"/>
          <w:szCs w:val="14"/>
          <w:u w:val="single" w:color="auto"/>
          <w:color w:val="auto"/>
        </w:rPr>
        <w:t>Union Labor Requirement</w:t>
      </w:r>
      <w:r>
        <w:rPr>
          <w:rFonts w:ascii="Times New Roman" w:cs="Times New Roman" w:eastAsia="Times New Roman" w:hAnsi="Times New Roman"/>
          <w:sz w:val="14"/>
          <w:szCs w:val="14"/>
          <w:color w:val="auto"/>
        </w:rPr>
        <w:t>”). For purposes hereof, an “</w:t>
      </w:r>
      <w:r>
        <w:rPr>
          <w:rFonts w:ascii="Times New Roman" w:cs="Times New Roman" w:eastAsia="Times New Roman" w:hAnsi="Times New Roman"/>
          <w:sz w:val="14"/>
          <w:szCs w:val="14"/>
          <w:u w:val="single" w:color="auto"/>
          <w:color w:val="auto"/>
        </w:rPr>
        <w:t>Approved Building Trades Department Contractor or Subcontractor</w:t>
      </w:r>
      <w:r>
        <w:rPr>
          <w:rFonts w:ascii="Times New Roman" w:cs="Times New Roman" w:eastAsia="Times New Roman" w:hAnsi="Times New Roman"/>
          <w:sz w:val="14"/>
          <w:szCs w:val="14"/>
          <w:color w:val="auto"/>
        </w:rPr>
        <w:t>” is a contractor or subcontractor who is currently affiliated with the Building and Construction Trades Department of the AFL- CIO (the “</w:t>
      </w:r>
      <w:r>
        <w:rPr>
          <w:rFonts w:ascii="Times New Roman" w:cs="Times New Roman" w:eastAsia="Times New Roman" w:hAnsi="Times New Roman"/>
          <w:sz w:val="14"/>
          <w:szCs w:val="14"/>
          <w:u w:val="single" w:color="auto"/>
          <w:color w:val="auto"/>
        </w:rPr>
        <w:t>BCTD</w:t>
      </w:r>
      <w:r>
        <w:rPr>
          <w:rFonts w:ascii="Times New Roman" w:cs="Times New Roman" w:eastAsia="Times New Roman" w:hAnsi="Times New Roman"/>
          <w:sz w:val="14"/>
          <w:szCs w:val="14"/>
          <w:color w:val="auto"/>
        </w:rPr>
        <w:t>”) or, if no such BCTD-affiliated contractor or subcontractor is available for a particular trade (e.g., carpentry work), a contractor or subcontractor which is affiliated with a national trade union which was formerly affiliated with the BCTD and which recognizes (and will recognize and respect, for its work on the Premises), the jurisdictional limitations established by the local BCTD.</w:t>
      </w:r>
    </w:p>
    <w:p>
      <w:pPr>
        <w:spacing w:after="0" w:line="149" w:lineRule="exact"/>
        <w:rPr>
          <w:sz w:val="20"/>
          <w:szCs w:val="20"/>
          <w:color w:val="auto"/>
        </w:rPr>
      </w:pPr>
    </w:p>
    <w:p>
      <w:pPr>
        <w:ind w:right="400" w:firstLine="511"/>
        <w:spacing w:after="0" w:line="283" w:lineRule="auto"/>
        <w:rPr>
          <w:sz w:val="20"/>
          <w:szCs w:val="20"/>
          <w:color w:val="auto"/>
        </w:rPr>
      </w:pPr>
      <w:r>
        <w:rPr>
          <w:rFonts w:ascii="Times New Roman" w:cs="Times New Roman" w:eastAsia="Times New Roman" w:hAnsi="Times New Roman"/>
          <w:sz w:val="14"/>
          <w:szCs w:val="14"/>
          <w:u w:val="single" w:color="auto"/>
          <w:color w:val="auto"/>
        </w:rPr>
        <w:t>Section 3.6 LEED Certification</w:t>
      </w:r>
      <w:r>
        <w:rPr>
          <w:rFonts w:ascii="Times New Roman" w:cs="Times New Roman" w:eastAsia="Times New Roman" w:hAnsi="Times New Roman"/>
          <w:sz w:val="14"/>
          <w:szCs w:val="14"/>
          <w:color w:val="auto"/>
        </w:rPr>
        <w:t>. Tenant acknowledges that Landlord has registered the Building with an application for LEED Certification at a level not lower than silver and may seek certification at a higher level. Tenant agrees to cooperate, at no material cost to Tenant, with Landlord’s reasonable request in connection with any such certification.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44" w:name="page545"/>
    <w:bookmarkEnd w:id="54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ARTICLE IV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BASE RENT; ADDITIONAL RENT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4.1 Base Rent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60" w:firstLine="1155"/>
        <w:spacing w:after="0" w:line="258" w:lineRule="auto"/>
        <w:tabs>
          <w:tab w:leader="none" w:pos="1341"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Building 100 Rent Credit (as defined below in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 Tenant shall pay Base Rent in the amounts set forth in Item 9 of the Summary of Basic Terms. Base Rent shall be payable in equal monthly installments of one-twelfth (1/12</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of the annual Base Rent then in effect and shall be paid without offset for any reason, in advance, on the first day of each calendar month during the Lease Term. Base Rent and Additional Rent shall be paid by an “electronic funds transfer” system arranged by and among Tenant, Tenant’s bank and Landlord by Tenant submitting to Landlord a completed electronic transfer form as set forth in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The parties acknowledge and agree that the obligations owing by Tenant under this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are rent reserved under this Lease, for all purposes hereunder, and are rent reserved within the meaning of Section 502(b)(6) of the Bankruptcy Code or any successor provision thereto.</w:t>
      </w:r>
    </w:p>
    <w:p>
      <w:pPr>
        <w:spacing w:after="0" w:line="143" w:lineRule="exact"/>
        <w:rPr>
          <w:rFonts w:ascii="Times New Roman" w:cs="Times New Roman" w:eastAsia="Times New Roman" w:hAnsi="Times New Roman"/>
          <w:sz w:val="14"/>
          <w:szCs w:val="14"/>
          <w:color w:val="auto"/>
        </w:rPr>
      </w:pPr>
    </w:p>
    <w:p>
      <w:pPr>
        <w:ind w:firstLine="1155"/>
        <w:spacing w:after="0" w:line="257" w:lineRule="auto"/>
        <w:tabs>
          <w:tab w:leader="none" w:pos="1349"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Base Rent per square foot for each Extension Term will be the then fair market rent per square foot for the Premises (the “</w:t>
      </w:r>
      <w:r>
        <w:rPr>
          <w:rFonts w:ascii="Times New Roman" w:cs="Times New Roman" w:eastAsia="Times New Roman" w:hAnsi="Times New Roman"/>
          <w:sz w:val="14"/>
          <w:szCs w:val="14"/>
          <w:u w:val="single" w:color="auto"/>
          <w:color w:val="auto"/>
        </w:rPr>
        <w:t>Market Rent</w:t>
      </w:r>
      <w:r>
        <w:rPr>
          <w:rFonts w:ascii="Times New Roman" w:cs="Times New Roman" w:eastAsia="Times New Roman" w:hAnsi="Times New Roman"/>
          <w:sz w:val="14"/>
          <w:szCs w:val="14"/>
          <w:color w:val="auto"/>
        </w:rPr>
        <w:t xml:space="preserve">”), determined in accordance with this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provided that in no event shall the Base Rent for (x) the First Extension Term be less than the Base Rent in effect immediately prior to the expiration of the Initial Term, and (y) the Second Extension Term be less than the Base Rent in effect immediately prior to the expiration of the First Extension Term. For a period of 30 days after Tenant gives to Landlord written notice of exercise of the extension option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(such period being called the “</w:t>
      </w:r>
      <w:r>
        <w:rPr>
          <w:rFonts w:ascii="Times New Roman" w:cs="Times New Roman" w:eastAsia="Times New Roman" w:hAnsi="Times New Roman"/>
          <w:sz w:val="14"/>
          <w:szCs w:val="14"/>
          <w:u w:val="single" w:color="auto"/>
          <w:color w:val="auto"/>
        </w:rPr>
        <w:t>Negotiation Period</w:t>
      </w:r>
      <w:r>
        <w:rPr>
          <w:rFonts w:ascii="Times New Roman" w:cs="Times New Roman" w:eastAsia="Times New Roman" w:hAnsi="Times New Roman"/>
          <w:sz w:val="14"/>
          <w:szCs w:val="14"/>
          <w:color w:val="auto"/>
        </w:rPr>
        <w:t xml:space="preserve">”). Landlord and Tenant shall negotiate in good faith to attempt to agree upon the Market Rent, and, in the course of such negotiations, each party may from time to time submit modified proposals to the other. If the parties agree upon the Market Rent prior to the determination of the arbitrator pursuant to </w:t>
      </w:r>
      <w:r>
        <w:rPr>
          <w:rFonts w:ascii="Times New Roman" w:cs="Times New Roman" w:eastAsia="Times New Roman" w:hAnsi="Times New Roman"/>
          <w:sz w:val="14"/>
          <w:szCs w:val="14"/>
          <w:u w:val="single" w:color="auto"/>
          <w:color w:val="auto"/>
        </w:rPr>
        <w:t>Section 4.1(b)(ii)</w:t>
      </w:r>
      <w:r>
        <w:rPr>
          <w:rFonts w:ascii="Times New Roman" w:cs="Times New Roman" w:eastAsia="Times New Roman" w:hAnsi="Times New Roman"/>
          <w:sz w:val="14"/>
          <w:szCs w:val="14"/>
          <w:color w:val="auto"/>
        </w:rPr>
        <w:t>, whether such agreement is reached during or after the Negotiation Period, the Market Rent shall be as so agreed.</w:t>
      </w:r>
    </w:p>
    <w:p>
      <w:pPr>
        <w:spacing w:after="0" w:line="143" w:lineRule="exact"/>
        <w:rPr>
          <w:rFonts w:ascii="Times New Roman" w:cs="Times New Roman" w:eastAsia="Times New Roman" w:hAnsi="Times New Roman"/>
          <w:sz w:val="14"/>
          <w:szCs w:val="14"/>
          <w:color w:val="auto"/>
        </w:rPr>
      </w:pPr>
    </w:p>
    <w:p>
      <w:pPr>
        <w:ind w:right="20" w:firstLine="1666"/>
        <w:spacing w:after="0" w:line="256" w:lineRule="auto"/>
        <w:tabs>
          <w:tab w:leader="none" w:pos="1868" w:val="left"/>
        </w:tabs>
        <w:numPr>
          <w:ilvl w:val="1"/>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parties are unable to agree upon the Market Rent within the Negotiation Period, then each party shall, upon selection of an arbitrator pursuant to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simultaneously submit to the arbitrator for binding arbitration a proposal as to the Market Rent. The Market Rent shall be determined as of the commencement of the applicable Extension Term at the then current arms-length negotiated base rents being charged for comparable space in comparable buildings located in the City of Cambridge, taking into consideration all relevant factors, including, but not limited to, location, building age and quality, amenities, parking, access to public transportation, permitted uses, condition of the Premises and lease term. The Market Rent may include escalations at various points during the applicable Extension Term. The arbitrator shall not have the right to modify any provision of the Lease except Base Rent. Within 30 days after both parties have submitted such proposals to the arbitrator, the arbitrator shall select one of the proposals as more closely approximating the Market Rent appropriate for the applicable Extension Term, and, unless the parties have then agreed upon the Market Rent, the proposed Market Rent set forth in such proposal selected by the arbitrator shall be deemed to be the Market Rent.</w:t>
      </w:r>
    </w:p>
    <w:p>
      <w:pPr>
        <w:spacing w:after="0" w:line="143" w:lineRule="exact"/>
        <w:rPr>
          <w:rFonts w:ascii="Times New Roman" w:cs="Times New Roman" w:eastAsia="Times New Roman" w:hAnsi="Times New Roman"/>
          <w:sz w:val="14"/>
          <w:szCs w:val="14"/>
          <w:color w:val="auto"/>
        </w:rPr>
      </w:pPr>
    </w:p>
    <w:p>
      <w:pPr>
        <w:ind w:right="20" w:firstLine="1658"/>
        <w:spacing w:after="0" w:line="254" w:lineRule="auto"/>
        <w:tabs>
          <w:tab w:leader="none" w:pos="1900" w:val="left"/>
        </w:tabs>
        <w:numPr>
          <w:ilvl w:val="1"/>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parties are unable to agree upon the Market Rent within the Negotiation Period, then the parties shall, within 15 Business Days after the end of the Negotiation Period (such 15 Business Day period being herein called the “</w:t>
      </w:r>
      <w:r>
        <w:rPr>
          <w:rFonts w:ascii="Times New Roman" w:cs="Times New Roman" w:eastAsia="Times New Roman" w:hAnsi="Times New Roman"/>
          <w:sz w:val="14"/>
          <w:szCs w:val="14"/>
          <w:u w:val="single" w:color="auto"/>
          <w:color w:val="auto"/>
        </w:rPr>
        <w:t>Selection Period</w:t>
      </w:r>
      <w:r>
        <w:rPr>
          <w:rFonts w:ascii="Times New Roman" w:cs="Times New Roman" w:eastAsia="Times New Roman" w:hAnsi="Times New Roman"/>
          <w:sz w:val="14"/>
          <w:szCs w:val="14"/>
          <w:color w:val="auto"/>
        </w:rPr>
        <w:t xml:space="preserve">”), attempt to agree upon an arbitrator to whom to submit the determination of Market Rent for binding arbitration pursuant to </w:t>
      </w:r>
      <w:r>
        <w:rPr>
          <w:rFonts w:ascii="Times New Roman" w:cs="Times New Roman" w:eastAsia="Times New Roman" w:hAnsi="Times New Roman"/>
          <w:sz w:val="14"/>
          <w:szCs w:val="14"/>
          <w:u w:val="single" w:color="auto"/>
          <w:color w:val="auto"/>
        </w:rPr>
        <w:t>Section 4.1(b)(ii)</w:t>
      </w:r>
      <w:r>
        <w:rPr>
          <w:rFonts w:ascii="Times New Roman" w:cs="Times New Roman" w:eastAsia="Times New Roman" w:hAnsi="Times New Roman"/>
          <w:sz w:val="14"/>
          <w:szCs w:val="14"/>
          <w:color w:val="auto"/>
        </w:rPr>
        <w:t xml:space="preserve">. If the parties are unable to agree upon an arbitrator within the Selection Period, then, at the end of the Selection Period, each party shall select an arbitrator and, within 15 Business Days after the end of the Selection Period, the arbitrators shall agree upon an arbitrator to whom the determination of Market Rent shall be submitted for binding arbitration pursuant to </w:t>
      </w:r>
      <w:r>
        <w:rPr>
          <w:rFonts w:ascii="Times New Roman" w:cs="Times New Roman" w:eastAsia="Times New Roman" w:hAnsi="Times New Roman"/>
          <w:sz w:val="14"/>
          <w:szCs w:val="14"/>
          <w:u w:val="single" w:color="auto"/>
          <w:color w:val="auto"/>
        </w:rPr>
        <w:t>Section 4.1(b)(ii)</w:t>
      </w:r>
      <w:r>
        <w:rPr>
          <w:rFonts w:ascii="Times New Roman" w:cs="Times New Roman" w:eastAsia="Times New Roman" w:hAnsi="Times New Roman"/>
          <w:sz w:val="14"/>
          <w:szCs w:val="14"/>
          <w:color w:val="auto"/>
        </w:rPr>
        <w:t xml:space="preserve">. If such arbitrators are unable to agree promptly upon an arbitrator, an arbitrator shall be selected by the American Arbitration Association. Any arbitrator selected by either party, by the arbitrators selected by the parties or by the American Arbitration Association shall be independent of both parties and shall have such experience, either as a licensed real estate broker or as an appraiser for at least ten years, as would qualify such arbitrator as an expert with respect to leasing terms in the market area of the Project. Such arbitrator shall make the determination required pursuant to </w:t>
      </w:r>
      <w:r>
        <w:rPr>
          <w:rFonts w:ascii="Times New Roman" w:cs="Times New Roman" w:eastAsia="Times New Roman" w:hAnsi="Times New Roman"/>
          <w:sz w:val="14"/>
          <w:szCs w:val="14"/>
          <w:u w:val="single" w:color="auto"/>
          <w:color w:val="auto"/>
        </w:rPr>
        <w:t>Section 4.1(b)(ii)</w:t>
      </w:r>
      <w:r>
        <w:rPr>
          <w:rFonts w:ascii="Times New Roman" w:cs="Times New Roman" w:eastAsia="Times New Roman" w:hAnsi="Times New Roman"/>
          <w:sz w:val="14"/>
          <w:szCs w:val="14"/>
          <w:color w:val="auto"/>
        </w:rPr>
        <w:t xml:space="preserve"> within 30 days after selection. The parties shall share equally the fees and expenses of the arbitrator to whom the determination of Market Rent is submitted. Landlord and Tenant shall each pay the fee of the arbitrator selected by it.</w:t>
      </w:r>
    </w:p>
    <w:p>
      <w:pPr>
        <w:spacing w:after="0" w:line="149"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4.2 Certain Additional Rent</w:t>
      </w:r>
      <w:r>
        <w:rPr>
          <w:rFonts w:ascii="Times New Roman" w:cs="Times New Roman" w:eastAsia="Times New Roman" w:hAnsi="Times New Roman"/>
          <w:sz w:val="14"/>
          <w:szCs w:val="14"/>
          <w:color w:val="auto"/>
        </w:rPr>
        <w:t>. Tenant shall pay, without offset for any reason, all payments of Additional Rent payable by Tenant to Landlord hereunder. If Tenant fails to pay any Additional Rent, Landlord shall have all the rights and remedies available for failure to pay Base Rent. The parties acknowledge and agree that the obligations owing by Tenant under this Section are rent reserved under this Lease, for all purposes hereunder, and are rent reserved within the meaning of Section 502(b)(6) of the Bankruptcy Code or any successor provision thereto.</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1133" w:right="359" w:bottom="1440" w:gutter="0" w:footer="0" w:header="0"/>
        </w:sectPr>
      </w:pPr>
    </w:p>
    <w:bookmarkStart w:id="545" w:name="page546"/>
    <w:bookmarkEnd w:id="545"/>
    <w:p>
      <w:pPr>
        <w:ind w:left="520"/>
        <w:spacing w:after="0"/>
        <w:rPr>
          <w:sz w:val="20"/>
          <w:szCs w:val="20"/>
          <w:color w:val="auto"/>
        </w:rPr>
      </w:pPr>
      <w:r>
        <w:rPr>
          <w:rFonts w:ascii="Times New Roman" w:cs="Times New Roman" w:eastAsia="Times New Roman" w:hAnsi="Times New Roman"/>
          <w:sz w:val="14"/>
          <w:szCs w:val="14"/>
          <w:u w:val="single" w:color="auto"/>
          <w:color w:val="auto"/>
        </w:rPr>
        <w:t>Section 4.3 Taxes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62"/>
        <w:spacing w:after="0" w:line="256" w:lineRule="auto"/>
        <w:tabs>
          <w:tab w:leader="none" w:pos="1349"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pay to Landlord, as Additional Rent, an amount equal to Tenant’s Share of Taxes (being Tenant’s Building Share of Building Taxes and Tenant’s Project Share of Project Taxes). Such amounts shall be estimated in good faith by Landlord at the end of each Tax Fiscal Year, and shall be payable to Landlord in equal estimated monthly installments on the first day of each calendar month during the Lease Term (prorated for any partial months), subject to readjustment from time to time as reasonably determined by Landlord and when the actual amounts are determined. After readjustment, any shortage shall be due and payable by Tenant within thirty (30) days of demand by Landlord and any excess shall, unless an Event of Default then exists, be credited against future Additional Rent obligations, or refunded if the Lease Term has ended and Tenant has no further obligations to Landlord. If the taxing authority provides an estimated tax bill, then monthly installments of Taxes shall be based thereon until the final tax bill is ascertained. Landlord shall furnish to Tenant, upon Tenant’s request, but not more than once in any year, a copy of the most recent tax bill and any estimated tax bill.</w:t>
      </w:r>
    </w:p>
    <w:p>
      <w:pPr>
        <w:spacing w:after="0" w:line="143" w:lineRule="exact"/>
        <w:rPr>
          <w:rFonts w:ascii="Times New Roman" w:cs="Times New Roman" w:eastAsia="Times New Roman" w:hAnsi="Times New Roman"/>
          <w:sz w:val="14"/>
          <w:szCs w:val="14"/>
          <w:color w:val="auto"/>
        </w:rPr>
      </w:pPr>
    </w:p>
    <w:p>
      <w:pPr>
        <w:ind w:right="140" w:firstLine="1162"/>
        <w:spacing w:after="0" w:line="261" w:lineRule="auto"/>
        <w:tabs>
          <w:tab w:leader="none" w:pos="1357"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after Tenant shall have made any payment under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Landlord shall receive a refund (the “</w:t>
      </w:r>
      <w:r>
        <w:rPr>
          <w:rFonts w:ascii="Times New Roman" w:cs="Times New Roman" w:eastAsia="Times New Roman" w:hAnsi="Times New Roman"/>
          <w:sz w:val="14"/>
          <w:szCs w:val="14"/>
          <w:u w:val="single" w:color="auto"/>
          <w:color w:val="auto"/>
        </w:rPr>
        <w:t>Refund</w:t>
      </w:r>
      <w:r>
        <w:rPr>
          <w:rFonts w:ascii="Times New Roman" w:cs="Times New Roman" w:eastAsia="Times New Roman" w:hAnsi="Times New Roman"/>
          <w:sz w:val="14"/>
          <w:szCs w:val="14"/>
          <w:color w:val="auto"/>
        </w:rPr>
        <w:t>”) of any portion of the Taxes paid on account of any Tax Fiscal Year in which such payments shall have been made as a result of an abatement of such Taxes, by final determination of legal proceedings, settlement or otherwise, Landlord shall, within thirty</w:t>
      </w:r>
    </w:p>
    <w:p>
      <w:pPr>
        <w:ind w:right="100" w:firstLine="4"/>
        <w:spacing w:after="0" w:line="256" w:lineRule="auto"/>
        <w:tabs>
          <w:tab w:leader="none" w:pos="269"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receiving the Refund, pay to Tenant (unless an Event of Default then exists) an amount equal to (i) Tenant’s Share of the Refund, which payment to Tenant shall be appropriately adjusted if Tenant’s Share of Taxes covered a shorter period than covered by the Refund, less (ii) Tenant’s Share of all expenses incurred by Landlord in connection with such proceedings (including, but not limited to, attorneys’ fees, costs and appraisers’ fees). Landlord shall have sole control of all tax abatement proceedings.</w:t>
      </w:r>
    </w:p>
    <w:p>
      <w:pPr>
        <w:spacing w:after="0" w:line="142" w:lineRule="exact"/>
        <w:rPr>
          <w:rFonts w:ascii="Times New Roman" w:cs="Times New Roman" w:eastAsia="Times New Roman" w:hAnsi="Times New Roman"/>
          <w:sz w:val="14"/>
          <w:szCs w:val="14"/>
          <w:color w:val="auto"/>
        </w:rPr>
      </w:pPr>
    </w:p>
    <w:p>
      <w:pPr>
        <w:ind w:right="40" w:firstLine="1162"/>
        <w:spacing w:after="0" w:line="267" w:lineRule="auto"/>
        <w:tabs>
          <w:tab w:leader="none" w:pos="1349" w:val="left"/>
        </w:tabs>
        <w:numPr>
          <w:ilvl w:val="1"/>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Tenant’s obligation in respect of Taxes shall be prorated for any partial Tax Fiscal Year at the beginning or end of the Lease Term. If the final tax bill for the Tax Fiscal Year in which such expiration or termination of this Lease occurs shall not have been received by Landlord, then within thirty (30) days after the receipt of the tax bill for such Tax Fiscal Year, Landlord and Tenant shall make appropriate adjustments of estimated payments.</w:t>
      </w:r>
    </w:p>
    <w:p>
      <w:pPr>
        <w:spacing w:after="0" w:line="135" w:lineRule="exact"/>
        <w:rPr>
          <w:rFonts w:ascii="Times New Roman" w:cs="Times New Roman" w:eastAsia="Times New Roman" w:hAnsi="Times New Roman"/>
          <w:sz w:val="14"/>
          <w:szCs w:val="14"/>
          <w:color w:val="auto"/>
        </w:rPr>
      </w:pPr>
    </w:p>
    <w:p>
      <w:pPr>
        <w:ind w:right="180" w:firstLine="1162"/>
        <w:spacing w:after="0" w:line="283" w:lineRule="auto"/>
        <w:tabs>
          <w:tab w:leader="none" w:pos="1357" w:val="left"/>
        </w:tabs>
        <w:numPr>
          <w:ilvl w:val="1"/>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Tenant shall pay all rent and personal property taxes attributable to its signs or any other personal property including but not limited to its trade fixtures, the existing or any future floor coverings, wall treatments and light fixtures in the Premises.</w:t>
      </w:r>
    </w:p>
    <w:p>
      <w:pPr>
        <w:spacing w:after="0" w:line="125"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4.4 Insurance Costs</w:t>
      </w:r>
      <w:r>
        <w:rPr>
          <w:rFonts w:ascii="Times New Roman" w:cs="Times New Roman" w:eastAsia="Times New Roman" w:hAnsi="Times New Roman"/>
          <w:sz w:val="14"/>
          <w:szCs w:val="14"/>
          <w:color w:val="auto"/>
        </w:rPr>
        <w:t>. Tenant shall pay to Landlord, as Additional Rent, amounts equal to Tenant’s Project Share of Project Insurance Costs and Tenant’s Building Share of Building Insurance Costs. Tenant’s Project Share of Project Insurance Costs and Tenant’s Building Share of Building Insurance Costs shall be estimated in good faith by Landlord at the end of each calendar year, and shall be payable in equal estimated monthly installments on the first day of each calendar month during the Lease Term (prorated for any partial months), subject to readjustment from time to time as reasonably determined by Landlord and also when actual Project Insurance Costs and Building Insurance Costs are determined. After a readjustment, any shortage shall be due and payable by Tenant within thirty (30) days of demand by Landlord and any excess shall, unless an Event of Default then exists, be credited against future Additional Rent obligations, or refunded promptly if the Lease Term has ended and Tenant has no further obligations to Landlord. Landlord shall provide Tenant upon request with reasonable supporting documentation for the Insurance Costs.</w:t>
      </w:r>
    </w:p>
    <w:p>
      <w:pPr>
        <w:spacing w:after="0" w:line="143"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4.5 Operating Costs</w:t>
      </w:r>
      <w:r>
        <w:rPr>
          <w:rFonts w:ascii="Times New Roman" w:cs="Times New Roman" w:eastAsia="Times New Roman" w:hAnsi="Times New Roman"/>
          <w:sz w:val="14"/>
          <w:szCs w:val="14"/>
          <w:color w:val="auto"/>
        </w:rPr>
        <w:t xml:space="preserve">. Tenant shall pay to Landlord, as Additional Rent, amounts equal to Tenant’s Project Share of Project Operating Costs and Tenant’s Building Share of Building Operating Costs. For purposes of determining Tenant’s Project Share of Project Operating Costs for any year during which the Project is less than ninety-five percent (95%) occupied, the actual Project Operating Costs shall be equitably adjusted to reflect ninety-five percent (95%) occupancy and normal, ongoing operation. For purposes of determining Tenant’s Building Share of Building Operating Costs for any year during which the Building is less than ninety-five percent (95%) occupied, the actual Building Operating Costs shall be equitably adjusted to reflect ninety-five percent (95%) occupancy and normal, ongoing operation. Tenant’s Project Share of Project Operating Costs and Tenant’s Building Share of Building Operating Costs shall be estimated in good faith by Landlord at the end of each calendar year, and shall be payable in equal estimated monthly installments on the first day of each calendar month during the Lease Term (prorated for any partial months), subject to readjustment from time to time as determined by Landlord and also when actual Project Operating Costs and Building Operating Costs are determined. After a readjustment, any shortage shall be due and payable by Tenant within thirty (30) days of demand by Landlord and any excess shall, unless an Event of Default then exists, be credited against future Additional Rent obligations, or refunded promptly if the Lease Term has ended and Tenant has no further obligations to Landlord. Landlord shall provide Tenant upon request with reasonable supporting documentation for the Operating Costs and access to Landlord’s books and records in the event of an audit as provided in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46" w:name="page547"/>
    <w:bookmarkEnd w:id="546"/>
    <w:p>
      <w:pPr>
        <w:jc w:val="both"/>
        <w:ind w:right="6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4.6 Tenant’s Utility Costs</w:t>
      </w:r>
      <w:r>
        <w:rPr>
          <w:rFonts w:ascii="Times New Roman" w:cs="Times New Roman" w:eastAsia="Times New Roman" w:hAnsi="Times New Roman"/>
          <w:sz w:val="14"/>
          <w:szCs w:val="14"/>
          <w:color w:val="auto"/>
        </w:rPr>
        <w:t>. Landlord shall, to the extent practical and at its sole expense, cause the Premises to be separately metered or submetered for electric and gas use, including, without limitation, with respect to all variable air volume (“</w:t>
      </w:r>
      <w:r>
        <w:rPr>
          <w:rFonts w:ascii="Times New Roman" w:cs="Times New Roman" w:eastAsia="Times New Roman" w:hAnsi="Times New Roman"/>
          <w:sz w:val="14"/>
          <w:szCs w:val="14"/>
          <w:u w:val="single" w:color="auto"/>
          <w:color w:val="auto"/>
        </w:rPr>
        <w:t>VAV</w:t>
      </w:r>
      <w:r>
        <w:rPr>
          <w:rFonts w:ascii="Times New Roman" w:cs="Times New Roman" w:eastAsia="Times New Roman" w:hAnsi="Times New Roman"/>
          <w:sz w:val="14"/>
          <w:szCs w:val="14"/>
          <w:color w:val="auto"/>
        </w:rPr>
        <w:t>”) boxes and pre-heaters, HVAC equipment and systems, lighting and outlets serving the Premises, such that Tenant’s Utility Costs are allocated based on the actual use of such utilities within the Premises. If the Premises are separately metered or submetered such that the utility provider bills Tenant directly for Tenant’s Utility Costs, Tenant shall pay Tenant’s Utility Costs directly to the utility provider promptly as due and payable. If the Premises are separately metered or submetered such that the utility provider bills Landlord for electric service provided to the Building and Landlord bills Tenant for Tenant’s Utility Costs, Tenant shall pay such bills for Tenant’s Utility Costs within thirty (30) days after receipt.</w:t>
      </w:r>
    </w:p>
    <w:p>
      <w:pPr>
        <w:spacing w:after="0" w:line="144"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4.7 Tenant’s Audit Rights</w:t>
      </w:r>
      <w:r>
        <w:rPr>
          <w:rFonts w:ascii="Times New Roman" w:cs="Times New Roman" w:eastAsia="Times New Roman" w:hAnsi="Times New Roman"/>
          <w:sz w:val="14"/>
          <w:szCs w:val="14"/>
          <w:color w:val="auto"/>
        </w:rPr>
        <w:t>. Annually, Landlord shall furnish to Tenant a report setting forth in reasonable detail the Project Operating Costs, Building Operating Costs, Project Insurance Costs, Building Insurance Costs, Project Taxes and Building Taxes for the immediately preceding calendar year (in the case of Operating Costs and Insurance Costs) or Tax Fiscal Year (in the case of Taxes). Tenant shall have the right to audit Landlord’s books and records relating to Operating Costs, Insurance Costs and/or Taxes with respect to the period covered by each such report by delivering a notice of its intention to perform such audit to Landlord within sixty (60) days after Tenant’s receipt of such report, in which event Tenant shall perform such audit within ninety (90) days after Tenant’s receipt of such report. If, as a result of such audit, Tenant believes that it is entitled to receive a refund of any Additional Rent paid by Tenant in respect of Operating Costs, Insurance Costs and/or Taxes, Tenant shall deliver to Landlord, no later than ninety (90) days after Tenant’s receipt of the aforesaid report, a notice demanding such a refund, together with a statement of the grounds for each such demand and the amount of each proposed refund. The cost of any such audit shall be paid by Tenant, except that, if it is established that the Additional Rent in respect of Operating Costs, Insurance Costs and Taxes charged to Tenant for the period in question was overstated by more than five percent (5.0%), the reasonable out-of-pocket cost of such audit paid to a third party other than an employee of Tenant up to a maximum of $5,000.00, shall be paid or reimbursed to Tenant by Landlord. An overstatement shall not be deemed to exist due to a Refund. Any audit shall be performed by either (a) Tenant’s regular employees or (b) a reputable certified public accountant reasonably acceptable to Landlord whose compensation is not, directly or indirectly, contingent in whole or in part on the results of the audit. If Landlord determines that a report previously furnished by Landlord was in error, Landlord may furnish a corrective or supplemental report to Tenant within two years after the original report was furnished, and if such corrective or supplemental report results in increased Additional Rent, the periods for Tenant to request and perform an audit of Landlord’s books and records relating to Operating Costs, Insurance Costs and/or Taxes with respect to the period covered by the corrective or supplemental report shall be reinstated and commence as of Tenant’s receipt of such corrective or supplemental report.</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V</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USE OF PREMISES</w:t>
      </w:r>
    </w:p>
    <w:p>
      <w:pPr>
        <w:spacing w:after="0" w:line="161" w:lineRule="exact"/>
        <w:rPr>
          <w:sz w:val="20"/>
          <w:szCs w:val="20"/>
          <w:color w:val="auto"/>
        </w:rPr>
      </w:pPr>
    </w:p>
    <w:p>
      <w:pPr>
        <w:ind w:right="280" w:firstLine="511"/>
        <w:spacing w:after="0" w:line="283" w:lineRule="auto"/>
        <w:rPr>
          <w:sz w:val="20"/>
          <w:szCs w:val="20"/>
          <w:color w:val="auto"/>
        </w:rPr>
      </w:pPr>
      <w:r>
        <w:rPr>
          <w:rFonts w:ascii="Times New Roman" w:cs="Times New Roman" w:eastAsia="Times New Roman" w:hAnsi="Times New Roman"/>
          <w:sz w:val="14"/>
          <w:szCs w:val="14"/>
          <w:u w:val="single" w:color="auto"/>
          <w:color w:val="auto"/>
        </w:rPr>
        <w:t>Section 5.1 Permitted Use</w:t>
      </w:r>
      <w:r>
        <w:rPr>
          <w:rFonts w:ascii="Times New Roman" w:cs="Times New Roman" w:eastAsia="Times New Roman" w:hAnsi="Times New Roman"/>
          <w:sz w:val="14"/>
          <w:szCs w:val="14"/>
          <w:color w:val="auto"/>
        </w:rPr>
        <w:t>. Tenant shall use and occupy the Premises only for the Permitted Use. Landlord does not make any representation or warranty to Tenant that Tenant’s use of the Premises for the Permitted Use will comply with Legal Requirements, and Tenant is responsible for confirming such compliance.</w:t>
      </w:r>
    </w:p>
    <w:p>
      <w:pPr>
        <w:spacing w:after="0" w:line="125"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5.2 Restrictions on Use</w:t>
      </w:r>
      <w:r>
        <w:rPr>
          <w:rFonts w:ascii="Times New Roman" w:cs="Times New Roman" w:eastAsia="Times New Roman" w:hAnsi="Times New Roman"/>
          <w:sz w:val="14"/>
          <w:szCs w:val="14"/>
          <w:color w:val="auto"/>
        </w:rPr>
        <w:t xml:space="preserve">. Tenant shall use the Premises in a careful, safe and proper manner, shall not commit or suffer any waste on or about the Project, and shall not make any use of the Project which is prohibited by or contrary to any Legal Requirements (including, but not limited to, the Master Special Permit) or the Declaration, or which would cause a public or private nuisance. Tenant, at its own expense, shall obtain any and all permits, approvals and licenses necessary for use of the Premises for the business and activities of Tenant and/or Tenant’s Invitees. Tenant shall not overload the floors or other structural parts of the Building; and shall not commit or suffer any act or thing on the Project which is illegal, dangerous, or which unreasonably disturbs other tenants. Tenant shall not do or permit to be done any act or thing on the Project which will invalidate or be in conflict with any insurance policies, or which will increase the rate of any insurance, covering the Building or any of the Other Buildings. If, because of Tenant’s failure to comply with the provisions of this Section or due to any use of the Premises or activity of Tenant or any Tenant’s Invitees in or about the Project, the Insurance Costs are increased, Tenant shall pay Landlord the amount of such increase. Tenant shall cause any fire lanes located within the Project to be kept free of all parking associated with its business or occupancy. Tenant and each of Tenant’s Invitees shall conduct its business at all times so as not to unreasonably annoy or be offensive to other tenants and occupants of the Project. Tenant shall not permit the emission of any objectionable noise or odor from the Premises and shall at its own cost install such extra sound-proofing or noise control systems and odor control systems, as may be needed to eliminate noise, vibrations and odors, if any, emanating from the Premises being heard, felt or smelled outside the Premises. Tenant shall not place any file cabinets, bookcases, partitions, shelves or other furnishings or equipment in a location which blocks any windows. Landlord shall use commercially reasonable efforts to include provisions similar to those set forth above in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in leases with other tenants of the Project, subject to such changes as Landlord may negotiate in good faith.</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47" w:name="page548"/>
    <w:bookmarkEnd w:id="547"/>
    <w:p>
      <w:pPr>
        <w:ind w:left="520"/>
        <w:spacing w:after="0"/>
        <w:rPr>
          <w:sz w:val="20"/>
          <w:szCs w:val="20"/>
          <w:color w:val="auto"/>
        </w:rPr>
      </w:pPr>
      <w:r>
        <w:rPr>
          <w:rFonts w:ascii="Times New Roman" w:cs="Times New Roman" w:eastAsia="Times New Roman" w:hAnsi="Times New Roman"/>
          <w:sz w:val="14"/>
          <w:szCs w:val="14"/>
          <w:u w:val="single" w:color="auto"/>
          <w:color w:val="auto"/>
        </w:rPr>
        <w:t>Section 5.3 Hazardous Materials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firstLine="1155"/>
        <w:spacing w:after="0" w:line="252" w:lineRule="auto"/>
        <w:tabs>
          <w:tab w:leader="none" w:pos="1341"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(i) will not conduct any activity on or in the Premises or the Project that will use, store, dispose of, generate, release or produce any Hazardous Materials, except for such activities that are both (1) part of the ordinary course of Tenant’s business activities and (2) conducted in accordance with all Environmental Laws and Legal Requirements and with good scientific and laboratory practices; (ii) will not use the Premises in any manner for the storage of any Hazardous Materials except for storage of such materials that are both (1) used in the ordinary course of Tenant’s business and (2) properly stored in a manner and location satisfying all Environmental Laws and Legal Requirements and with good scientific and laboratory practices; (iii) will not install any underground tanks of any type; (iv) will not permit any Hazardous Materials to be brought onto the Premises, except in the ordinary course of Tenant’s business and in compliance with all Environmental Laws and Legal Requirements, with good scientific and laboratory practices and otherwise subject to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 xml:space="preserve"> below, and (v) will obtain and maintain all licenses, permits, registrations and consents required by applicable law (including, without limitation, Environmental Laws) (collectively, the “</w:t>
      </w:r>
      <w:r>
        <w:rPr>
          <w:rFonts w:ascii="Times New Roman" w:cs="Times New Roman" w:eastAsia="Times New Roman" w:hAnsi="Times New Roman"/>
          <w:sz w:val="14"/>
          <w:szCs w:val="14"/>
          <w:u w:val="single" w:color="auto"/>
          <w:color w:val="auto"/>
        </w:rPr>
        <w:t>Required Permits</w:t>
      </w:r>
      <w:r>
        <w:rPr>
          <w:rFonts w:ascii="Times New Roman" w:cs="Times New Roman" w:eastAsia="Times New Roman" w:hAnsi="Times New Roman"/>
          <w:sz w:val="14"/>
          <w:szCs w:val="14"/>
          <w:color w:val="auto"/>
        </w:rPr>
        <w:t>”) to use or store any Hazardous Materials in the Premises and to dispose of the same and will promptly provide each Required Permit to Landlord upon Tenant’s receipt thereof. If there is a release of any Hazardous Materials at the Premises or any Hazardous Materials are brought or found on the Premises in violation of the provisions of this Section, Tenant shall immediately notify Landlord in writing of the same and the same shall be immediately removed by Tenant, with proper disposal, and all required cleanup procedures shall be diligently undertaken pursuant to all Environmental Laws and Legal Requirements and with good scientific and laboratory practices. Tenant will maintain on the Premises a list of all materials stored at the Premises for which a safety data sheet (an “</w:t>
      </w:r>
      <w:r>
        <w:rPr>
          <w:rFonts w:ascii="Times New Roman" w:cs="Times New Roman" w:eastAsia="Times New Roman" w:hAnsi="Times New Roman"/>
          <w:sz w:val="14"/>
          <w:szCs w:val="14"/>
          <w:u w:val="single" w:color="auto"/>
          <w:color w:val="auto"/>
        </w:rPr>
        <w:t>SDS</w:t>
      </w:r>
      <w:r>
        <w:rPr>
          <w:rFonts w:ascii="Times New Roman" w:cs="Times New Roman" w:eastAsia="Times New Roman" w:hAnsi="Times New Roman"/>
          <w:sz w:val="14"/>
          <w:szCs w:val="14"/>
          <w:color w:val="auto"/>
        </w:rPr>
        <w:t xml:space="preserve">”) was issued by the producers or manufacturers thereof, together with copies of the SDS’s for such materials, and shall deliver such list and SDS copies to Landlord upon Landlord’s request therefor. Except for Hazardous Materials that existed in or on the Premises as of the Commencement Date and which were not brought onto the Premises by Tenant or any of Tenant’s Invitees, Tenant shall remove all Hazardous Materials from the Premises in a manner acceptable to Landlord before the earlier of the date Tenant vacates the Premises and the date Tenant’s right to possess the Premises ends. Landlord may enter the Premises and conduct environmental inspections and tests therein as it may require from time to time, provided that Landlord shall not unreasonably interfere with Tenant’s business and shall use reasonable efforts to minimize the interference with Tenant’s business. Such inspections and tests shall be conducted at Landlord’s expense, unless they reveal the presence of Hazardous Materials in violation of the above provisions of this Section or that Tenant has not complied with the requirements of this Section, in which case Tenant shall reimburse Landlord for the cost thereof within 30 days after Landlord’s request therefor. Tenant shall indemnify, defend upon demand with counsel reasonably acceptable to Landlord, and hold the Landlord Parties harmless from and against, any liabilities, losses, claims, damages, interest, penalties, fines, reasonable attorneys’ fees, experts’ fees, court costs, remediation costs, and other expenses which result from the (i) use, storage, handling, treatment, transportation, release, threat of release or disposal of Hazardous Materials in or about the Premises or the Project by Tenant or Tenant’s Invitees, (ii) any failure by Tenant or any of Tenant’s Invitees to comply with applicable Environmental Laws and/or Required Permits (including without limitation, the failure to obtain any Required Permit), or (iii) any failure by Tenant or any of Tenant’s Invitees to comply with the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including without limitation any contamination to the Project arising from any such failure by Tenant or any of Tenant’s Invitees.</w:t>
      </w:r>
    </w:p>
    <w:p>
      <w:pPr>
        <w:spacing w:after="0" w:line="149" w:lineRule="exact"/>
        <w:rPr>
          <w:rFonts w:ascii="Times New Roman" w:cs="Times New Roman" w:eastAsia="Times New Roman" w:hAnsi="Times New Roman"/>
          <w:sz w:val="14"/>
          <w:szCs w:val="14"/>
          <w:color w:val="auto"/>
        </w:rPr>
      </w:pPr>
    </w:p>
    <w:p>
      <w:pPr>
        <w:ind w:right="100" w:firstLine="1155"/>
        <w:spacing w:after="0" w:line="254" w:lineRule="auto"/>
        <w:tabs>
          <w:tab w:leader="none" w:pos="1349"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Attached hereto as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is a complete list of all Hazardous Materials and quantities intended by Tenant to be used and stored by Tenant in the Premises as of the Commencement Date. Tenant shall not use or permit to exist in the Premises any Hazardous Materials other than those listed on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and only in such quantities permitted by applicable Legal Requirements (the “</w:t>
      </w:r>
      <w:r>
        <w:rPr>
          <w:rFonts w:ascii="Times New Roman" w:cs="Times New Roman" w:eastAsia="Times New Roman" w:hAnsi="Times New Roman"/>
          <w:sz w:val="14"/>
          <w:szCs w:val="14"/>
          <w:u w:val="single" w:color="auto"/>
          <w:color w:val="auto"/>
        </w:rPr>
        <w:t>Permitted Hazardous Materials and Quantities</w:t>
      </w:r>
      <w:r>
        <w:rPr>
          <w:rFonts w:ascii="Times New Roman" w:cs="Times New Roman" w:eastAsia="Times New Roman" w:hAnsi="Times New Roman"/>
          <w:sz w:val="14"/>
          <w:szCs w:val="14"/>
          <w:color w:val="auto"/>
        </w:rPr>
        <w:t xml:space="preserve">”) Tenant shall provide Landlord with an updated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within five (5) Business Days of written request therefor; provided, however, that, subject to the following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Tenant may make reasonable adjustments to the types of Hazardous Materials and quantities used or stored in the Premises, as required by Tenant’s business operations, so long as (i) such types and quantities are materially consistent with the types, risk level and quantities of the Permitted Hazardous Materials and Quantities and are not any of the types of Hazardous Materials listed on </w:t>
      </w:r>
      <w:r>
        <w:rPr>
          <w:rFonts w:ascii="Times New Roman" w:cs="Times New Roman" w:eastAsia="Times New Roman" w:hAnsi="Times New Roman"/>
          <w:sz w:val="14"/>
          <w:szCs w:val="14"/>
          <w:u w:val="single" w:color="auto"/>
          <w:color w:val="auto"/>
        </w:rPr>
        <w:t>Exhibit K-1</w:t>
      </w:r>
      <w:r>
        <w:rPr>
          <w:rFonts w:ascii="Times New Roman" w:cs="Times New Roman" w:eastAsia="Times New Roman" w:hAnsi="Times New Roman"/>
          <w:sz w:val="14"/>
          <w:szCs w:val="14"/>
          <w:color w:val="auto"/>
        </w:rPr>
        <w:t xml:space="preserve"> (and if any such Hazardous Materials are of the types listed on </w:t>
      </w:r>
      <w:r>
        <w:rPr>
          <w:rFonts w:ascii="Times New Roman" w:cs="Times New Roman" w:eastAsia="Times New Roman" w:hAnsi="Times New Roman"/>
          <w:sz w:val="14"/>
          <w:szCs w:val="14"/>
          <w:u w:val="single" w:color="auto"/>
          <w:color w:val="auto"/>
        </w:rPr>
        <w:t>Exhibit K-2</w:t>
      </w:r>
      <w:r>
        <w:rPr>
          <w:rFonts w:ascii="Times New Roman" w:cs="Times New Roman" w:eastAsia="Times New Roman" w:hAnsi="Times New Roman"/>
          <w:sz w:val="14"/>
          <w:szCs w:val="14"/>
          <w:color w:val="auto"/>
        </w:rPr>
        <w:t>, Tenant shall provide Landlord with at least ten</w:t>
      </w:r>
    </w:p>
    <w:p>
      <w:pPr>
        <w:spacing w:after="0" w:line="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prior written notice prior to using or storing the same in the Premises and shall permit Landlord to review any application for any Required Permit required for the same at least ten</w:t>
      </w:r>
    </w:p>
    <w:p>
      <w:pPr>
        <w:spacing w:after="0" w:line="7" w:lineRule="exact"/>
        <w:rPr>
          <w:rFonts w:ascii="Times New Roman" w:cs="Times New Roman" w:eastAsia="Times New Roman" w:hAnsi="Times New Roman"/>
          <w:sz w:val="14"/>
          <w:szCs w:val="14"/>
          <w:color w:val="auto"/>
        </w:rPr>
      </w:pPr>
    </w:p>
    <w:p>
      <w:pPr>
        <w:ind w:firstLine="4"/>
        <w:spacing w:after="0" w:line="252" w:lineRule="auto"/>
        <w:tabs>
          <w:tab w:leader="none" w:pos="269"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to filing the same and permit Landlord to attend any hearing or meeting with any governmental entity responsible for issuing any Required Permit), and (ii) to the extent that any portion of the Premises are included in a “control area” under 527 CMR that includes an area larger than such portion of the Premises, such types and quantities of Hazardous Materials subject to regulation under 780 CMR 307 to be used (or for which Tenant obtains or seeks to obtain Required Permits to use) in each such portion of the Premises do not exceed the proportionate share that such portion of the Premises bears to such control area. In addition, Tenant shall complete and deliver to Landlord a Hazardous Materials audit checklist, in a form reasonably acceptable to Landlord, at least annually within thirty (30) days of each anniversary of the Commencement Date or at sooner intervals upon Landlord’s written request if Landlord has reason to believe that Tenant has violated the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or other provisions of the Lease governing Hazardous Materials. In addition to the foregoing, Tenant shall comply with all terms, conditions and guidelines contained in any MWRA permit applicable to the Premises and agrees to further acknowledge such agreement to so comply in writing upon request of Landlord.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shall survive the expiration or earlier termination of this Lease.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5" w:right="339" w:bottom="1440" w:gutter="0" w:footer="0" w:header="0"/>
        </w:sectPr>
      </w:pPr>
    </w:p>
    <w:bookmarkStart w:id="548" w:name="page549"/>
    <w:bookmarkEnd w:id="548"/>
    <w:p>
      <w:pPr>
        <w:ind w:right="20" w:firstLine="511"/>
        <w:spacing w:after="0" w:line="252" w:lineRule="auto"/>
        <w:rPr>
          <w:sz w:val="20"/>
          <w:szCs w:val="20"/>
          <w:color w:val="auto"/>
        </w:rPr>
      </w:pPr>
      <w:r>
        <w:rPr>
          <w:rFonts w:ascii="Times New Roman" w:cs="Times New Roman" w:eastAsia="Times New Roman" w:hAnsi="Times New Roman"/>
          <w:sz w:val="14"/>
          <w:szCs w:val="14"/>
          <w:u w:val="single" w:color="auto"/>
          <w:color w:val="auto"/>
        </w:rPr>
        <w:t>Section 5.4 Tenant’s Operation of A Vivarium</w:t>
      </w:r>
      <w:r>
        <w:rPr>
          <w:rFonts w:ascii="Times New Roman" w:cs="Times New Roman" w:eastAsia="Times New Roman" w:hAnsi="Times New Roman"/>
          <w:sz w:val="14"/>
          <w:szCs w:val="14"/>
          <w:color w:val="auto"/>
        </w:rPr>
        <w:t xml:space="preserve"> . Tenant may operate a vivarium within a specific portion of the Premises that is approved as to location and size in advance in writing by Landlord, such approval not to be unreasonably withheld, conditioned or delayed. Subject to </w:t>
      </w:r>
      <w:r>
        <w:rPr>
          <w:rFonts w:ascii="Times New Roman" w:cs="Times New Roman" w:eastAsia="Times New Roman" w:hAnsi="Times New Roman"/>
          <w:sz w:val="14"/>
          <w:szCs w:val="14"/>
          <w:u w:val="single" w:color="auto"/>
          <w:color w:val="auto"/>
        </w:rPr>
        <w:t>Sections 3.5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7.5</w:t>
      </w:r>
      <w:r>
        <w:rPr>
          <w:rFonts w:ascii="Times New Roman" w:cs="Times New Roman" w:eastAsia="Times New Roman" w:hAnsi="Times New Roman"/>
          <w:sz w:val="14"/>
          <w:szCs w:val="14"/>
          <w:color w:val="auto"/>
        </w:rPr>
        <w:t>, the vivarium shall be constructed in accordance with all applicable Legal Requirements (including without limitation, Environmental Laws) and in accordance with plans and specifications approved in writing by Landlord and shall include a vacuum-enabled disposal facility for bedding waste and any other noxious wastes. The vivarium shall be used for biopharmaceutical research and development and the handling and testing of animals approved in advance in writing by Landlord (the “</w:t>
      </w:r>
      <w:r>
        <w:rPr>
          <w:rFonts w:ascii="Times New Roman" w:cs="Times New Roman" w:eastAsia="Times New Roman" w:hAnsi="Times New Roman"/>
          <w:sz w:val="14"/>
          <w:szCs w:val="14"/>
          <w:u w:val="single" w:color="auto"/>
          <w:color w:val="auto"/>
        </w:rPr>
        <w:t>Permitted Animals</w:t>
      </w:r>
      <w:r>
        <w:rPr>
          <w:rFonts w:ascii="Times New Roman" w:cs="Times New Roman" w:eastAsia="Times New Roman" w:hAnsi="Times New Roman"/>
          <w:sz w:val="14"/>
          <w:szCs w:val="14"/>
          <w:color w:val="auto"/>
        </w:rPr>
        <w:t xml:space="preserve">”). If Tenant proposes to use any animals other than the Permitted Animals in its operations, it shall first obtain the prior written consent of Landlord, which consent shall not be unreasonably withheld, conditioned or delayed. Animal testing, solely of Permitted Animals, shall be permitted subject to the following: (i) all testing shall be conducted in strict compliance with all applicable Legal Requirements (including without limitation, Environmental Laws), best scientific and medical practices and in a manner consistent with the highest standards of the industry; (ii) all animals carcasses or any waste product related thereto (including, without limitation, any cages or other containers of the Permitted Animals), shall be disposed of, at Tenant’s sole cost and expense, by a qualified and licensed waste disposal company engaged by Tenant, and not in any common disposal receptacles at the Project, and in strict compliance with all applicable Legal Requirements (including without limitation, Environmental Laws), best scientific and medical practices and in a manner consistent with the highest standards of the industry; (iii) no odors, noises or any similar nuisance shall be permitted to emanate from or permeate outside the vivarium; (iv) Tenant’s use of the vivarium shall not interfere with the quiet use and enjoyment by other tenants or occupants of the Building or their respective premises in the Building; and (v) Tenant shall be solely responsible for obtaining any permits, approvals, licenses or the like to install and use the vivarium. Tenant shall keep the Permitted Animals solely within the vivarium and shall be responsible, at Tenant’s sole cost and expense, for all vermin control relating in any way to the vivarium. Tenant shall procure and deliver to Landlord copies of all necessary permits and approvals necessary for the use and operation of the vivarium before allowing any Permitted Animals into the Premises and shall maintain such permits and approvals during the Lease Term and deliver to Landlord copies thereof from time-to-time upon Landlord’s written request. All deliveries of the Permitted Animals to the Premises shall be made through the freight elevator in the Building and shall not interfere with, damage or adversely affect any items being delivered or any deliveries being made to Landlord or any other tenants or occupants. Prior to the expiration or earlier termination of the Lease, Tenant shall remove the vivarium and all contents of the vivarium, including without limitation all animals, from the Premises and shall repair any damage caused by such removal at its sole cost and expense. Tenant shall protect, defend, indemnify and hold harmless Landlord from and against claims, damages, liabilities, losses, costs and expenses of every kind and nature, including reasonable attorneys’ fees, incurred by or asserted against Landlord arising out of Tenant’ installation, maintenance, repair, replacement, use or removal of the vivarium, except to the extent arising from the gross negligence or willful misconduct of Landlord. In addition, for the avoidance of doubt, Tenant’s rights with respect to the vivarium shall be subject to the provisions of </w:t>
      </w:r>
      <w:r>
        <w:rPr>
          <w:rFonts w:ascii="Times New Roman" w:cs="Times New Roman" w:eastAsia="Times New Roman" w:hAnsi="Times New Roman"/>
          <w:sz w:val="14"/>
          <w:szCs w:val="14"/>
          <w:u w:val="single" w:color="auto"/>
          <w:color w:val="auto"/>
        </w:rPr>
        <w:t>Sections 3.5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7.5</w:t>
      </w:r>
      <w:r>
        <w:rPr>
          <w:rFonts w:ascii="Times New Roman" w:cs="Times New Roman" w:eastAsia="Times New Roman" w:hAnsi="Times New Roman"/>
          <w:sz w:val="14"/>
          <w:szCs w:val="14"/>
          <w:color w:val="auto"/>
        </w:rPr>
        <w:t xml:space="preserve"> hereof.</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VI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LANDLORD’S SERVICES</w:t>
      </w:r>
    </w:p>
    <w:p>
      <w:pPr>
        <w:spacing w:after="0" w:line="161" w:lineRule="exact"/>
        <w:rPr>
          <w:sz w:val="20"/>
          <w:szCs w:val="20"/>
          <w:color w:val="auto"/>
        </w:rPr>
      </w:pPr>
    </w:p>
    <w:p>
      <w:pPr>
        <w:jc w:val="both"/>
        <w:ind w:right="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6.1 Landlord’s Services</w:t>
      </w:r>
      <w:r>
        <w:rPr>
          <w:rFonts w:ascii="Times New Roman" w:cs="Times New Roman" w:eastAsia="Times New Roman" w:hAnsi="Times New Roman"/>
          <w:sz w:val="14"/>
          <w:szCs w:val="14"/>
          <w:color w:val="auto"/>
        </w:rPr>
        <w:t>. Landlord shall furnish to the Building the services set forth below in this Section, subject to the conditions stated in this Lease and in a manner consistent with other Class A buildings in the same Cambridge sub-market area as the Building. The cost of certain of these services are to be (i) paid by Tenant, as provided in this Lease, or (ii) included in Operating Costs, Insurance Costs or Taxes, as applicable.</w:t>
      </w:r>
    </w:p>
    <w:p>
      <w:pPr>
        <w:spacing w:after="0" w:line="136" w:lineRule="exact"/>
        <w:rPr>
          <w:sz w:val="20"/>
          <w:szCs w:val="20"/>
          <w:color w:val="auto"/>
        </w:rPr>
      </w:pPr>
    </w:p>
    <w:p>
      <w:pPr>
        <w:ind w:right="160" w:firstLine="1155"/>
        <w:spacing w:after="0" w:line="283" w:lineRule="auto"/>
        <w:tabs>
          <w:tab w:leader="none" w:pos="1341"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Building</w:t>
      </w:r>
      <w:r>
        <w:rPr>
          <w:rFonts w:ascii="Times New Roman" w:cs="Times New Roman" w:eastAsia="Times New Roman" w:hAnsi="Times New Roman"/>
          <w:sz w:val="14"/>
          <w:szCs w:val="14"/>
          <w:color w:val="auto"/>
        </w:rPr>
        <w:t>. Landlord shall maintain and keep in good condition and repair the exterior and structure of the Building and mechanical elements of the Building, including the roof and roof structure, and the utility lines and systems outside the Building (except to the extent those utility lines or systems are the property or responsibility of the applicable utility company).</w:t>
      </w:r>
    </w:p>
    <w:p>
      <w:pPr>
        <w:spacing w:after="0" w:line="124" w:lineRule="exact"/>
        <w:rPr>
          <w:rFonts w:ascii="Times New Roman" w:cs="Times New Roman" w:eastAsia="Times New Roman" w:hAnsi="Times New Roman"/>
          <w:sz w:val="14"/>
          <w:szCs w:val="14"/>
          <w:color w:val="auto"/>
        </w:rPr>
      </w:pPr>
    </w:p>
    <w:p>
      <w:pPr>
        <w:ind w:firstLine="1155"/>
        <w:spacing w:after="0" w:line="256" w:lineRule="auto"/>
        <w:tabs>
          <w:tab w:leader="none" w:pos="1349"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xml:space="preserve">. Subject to Tenant’s obligations under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Landlord shall operate, maintain and repair the heating, ventilating and air conditioning system, the plumbing system and the electrical system of the Building. Landlord shall provide heating and air conditioning services to the Premises to heat and cool the Premises at temperatures in accordance with ASHRAE standards from 8:00 a.m. to 6:00 p.m., Monday through Friday, and 9:00 a.m. to 1:00 p.m., on Saturdays, excluding holidays (such hours, the “</w:t>
      </w:r>
      <w:r>
        <w:rPr>
          <w:rFonts w:ascii="Times New Roman" w:cs="Times New Roman" w:eastAsia="Times New Roman" w:hAnsi="Times New Roman"/>
          <w:sz w:val="14"/>
          <w:szCs w:val="14"/>
          <w:u w:val="single" w:color="auto"/>
          <w:color w:val="auto"/>
        </w:rPr>
        <w:t>Business Hours</w:t>
      </w:r>
      <w:r>
        <w:rPr>
          <w:rFonts w:ascii="Times New Roman" w:cs="Times New Roman" w:eastAsia="Times New Roman" w:hAnsi="Times New Roman"/>
          <w:sz w:val="14"/>
          <w:szCs w:val="14"/>
          <w:color w:val="auto"/>
        </w:rPr>
        <w:t>”). If Tenant desires heating or air conditioning services at the Premises at any time other than Business Hours, Landlord shall use reasonable efforts to arrange for such “after hours” heating or air conditioning service, and Tenant shall pay for such service as Additional Rent at a flat rate of $150.00 per hour per floor or portion thereof, subject to reasonable adjustment by Landlord from time to time on the basis of changes in Landlord’s costs of providing the service. Notwithstanding the foregoing, Tenant shall be responsible for operating, maintaining and repairing any laboratory systems serving the Premises or any other systems installed by Tenant.</w:t>
      </w:r>
    </w:p>
    <w:p>
      <w:pPr>
        <w:spacing w:after="0" w:line="143" w:lineRule="exact"/>
        <w:rPr>
          <w:rFonts w:ascii="Times New Roman" w:cs="Times New Roman" w:eastAsia="Times New Roman" w:hAnsi="Times New Roman"/>
          <w:sz w:val="14"/>
          <w:szCs w:val="14"/>
          <w:color w:val="auto"/>
        </w:rPr>
      </w:pPr>
    </w:p>
    <w:p>
      <w:pPr>
        <w:ind w:right="20" w:firstLine="1155"/>
        <w:spacing w:after="0" w:line="283" w:lineRule="auto"/>
        <w:tabs>
          <w:tab w:leader="none" w:pos="1341"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Water and Sewer</w:t>
      </w:r>
      <w:r>
        <w:rPr>
          <w:rFonts w:ascii="Times New Roman" w:cs="Times New Roman" w:eastAsia="Times New Roman" w:hAnsi="Times New Roman"/>
          <w:sz w:val="14"/>
          <w:szCs w:val="14"/>
          <w:color w:val="auto"/>
        </w:rPr>
        <w:t>. Cold and hot water at standard Building temperatures will be available for ordinary drinking, cleaning, sanitary, lavatory and laboratory purposes. Landlord may install a water meter at Tenant’s expense and thereby measure Tenant’s water consumption. Tenant shall pay Landlord, as Additional Rent, within thirty (30) days after invoice the cost of all water</w:t>
      </w:r>
    </w:p>
    <w:p>
      <w:pPr>
        <w:spacing w:after="0" w:line="40"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1"/>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49" w:name="page550"/>
    <w:bookmarkEnd w:id="549"/>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consumption so metered, including without limitation any and all sewer rents, taxes or levies assessed by any governmental authority or utility in connection with metered consumption. Such meter and installation equipment shall be maintained in good working order and repair at Tenant’s expense. Any water or sewer services charged directly to Tenant or to other tenants of the Building shall not be included in Operating Costs.</w:t>
      </w:r>
    </w:p>
    <w:p>
      <w:pPr>
        <w:spacing w:after="0" w:line="136" w:lineRule="exact"/>
        <w:rPr>
          <w:sz w:val="20"/>
          <w:szCs w:val="20"/>
          <w:color w:val="auto"/>
        </w:rPr>
      </w:pPr>
    </w:p>
    <w:p>
      <w:pPr>
        <w:ind w:right="180" w:firstLine="1155"/>
        <w:spacing w:after="0" w:line="283" w:lineRule="auto"/>
        <w:tabs>
          <w:tab w:leader="none" w:pos="1349"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Elevators</w:t>
      </w:r>
      <w:r>
        <w:rPr>
          <w:rFonts w:ascii="Times New Roman" w:cs="Times New Roman" w:eastAsia="Times New Roman" w:hAnsi="Times New Roman"/>
          <w:sz w:val="14"/>
          <w:szCs w:val="14"/>
          <w:color w:val="auto"/>
        </w:rPr>
        <w:t>. Landlord will provide automatic, operator-less elevators in the Building; provided, that Landlord may restrict Tenant from accessing elevators that do not serve the portions of the Building in which the Premises are located.</w:t>
      </w:r>
    </w:p>
    <w:p>
      <w:pPr>
        <w:spacing w:after="0" w:line="124" w:lineRule="exact"/>
        <w:rPr>
          <w:rFonts w:ascii="Times New Roman" w:cs="Times New Roman" w:eastAsia="Times New Roman" w:hAnsi="Times New Roman"/>
          <w:sz w:val="14"/>
          <w:szCs w:val="14"/>
          <w:color w:val="auto"/>
        </w:rPr>
      </w:pPr>
    </w:p>
    <w:p>
      <w:pPr>
        <w:ind w:right="140" w:firstLine="1155"/>
        <w:spacing w:after="0" w:line="261" w:lineRule="auto"/>
        <w:tabs>
          <w:tab w:leader="none" w:pos="1341"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Common Areas</w:t>
      </w:r>
      <w:r>
        <w:rPr>
          <w:rFonts w:ascii="Times New Roman" w:cs="Times New Roman" w:eastAsia="Times New Roman" w:hAnsi="Times New Roman"/>
          <w:sz w:val="14"/>
          <w:szCs w:val="14"/>
          <w:color w:val="auto"/>
        </w:rPr>
        <w:t>. Landlord shall provide heating and air conditioning for the Common Areas inside the Building during business hours. Landlord shall clean, provide lighting, repair, maintain and provide janitorial services for the Common Areas including, to the extent reasonable, the Parking Areas, in order to maintain the Common Areas in a manner substantially similar to the manner and standard that Landlord provided such services prior to the date of this Lease. Notwithstanding the above, any damage to the Common Areas or Common Facilities caused by any of Tenant’s Invitees shall be the sole responsibility of Tenant.</w:t>
      </w:r>
    </w:p>
    <w:p>
      <w:pPr>
        <w:spacing w:after="0" w:line="140" w:lineRule="exact"/>
        <w:rPr>
          <w:rFonts w:ascii="Times New Roman" w:cs="Times New Roman" w:eastAsia="Times New Roman" w:hAnsi="Times New Roman"/>
          <w:sz w:val="14"/>
          <w:szCs w:val="14"/>
          <w:color w:val="auto"/>
        </w:rPr>
      </w:pPr>
    </w:p>
    <w:p>
      <w:pPr>
        <w:ind w:right="40" w:firstLine="1155"/>
        <w:spacing w:after="0" w:line="261" w:lineRule="auto"/>
        <w:tabs>
          <w:tab w:leader="none" w:pos="1325"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Waste Removal</w:t>
      </w:r>
      <w:r>
        <w:rPr>
          <w:rFonts w:ascii="Times New Roman" w:cs="Times New Roman" w:eastAsia="Times New Roman" w:hAnsi="Times New Roman"/>
          <w:sz w:val="14"/>
          <w:szCs w:val="14"/>
          <w:color w:val="auto"/>
        </w:rPr>
        <w:t xml:space="preserve">. Subject to the provisions of (i)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with respect to Lab Areas (as defined therein) and (ii) </w:t>
      </w:r>
      <w:r>
        <w:rPr>
          <w:rFonts w:ascii="Times New Roman" w:cs="Times New Roman" w:eastAsia="Times New Roman" w:hAnsi="Times New Roman"/>
          <w:sz w:val="14"/>
          <w:szCs w:val="14"/>
          <w:u w:val="single" w:color="auto"/>
          <w:color w:val="auto"/>
        </w:rPr>
        <w:t>Sections 5.3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Landlord shall provide or arrange for ordinary and reasonable waste removal services for the Building. In the event that Landlord determines that Tenant’s quantity of waste is excessive in comparison to other tenants of the Building, or, in the event that Landlord determines that Tenant’s waste is other than waste generated by typical office use, Landlord may bill Tenant directly as Additional Rent for any such additional cost therefor or require that Tenant be responsible for disposing of its own waste.</w:t>
      </w:r>
    </w:p>
    <w:p>
      <w:pPr>
        <w:spacing w:after="0" w:line="140" w:lineRule="exact"/>
        <w:rPr>
          <w:rFonts w:ascii="Times New Roman" w:cs="Times New Roman" w:eastAsia="Times New Roman" w:hAnsi="Times New Roman"/>
          <w:sz w:val="14"/>
          <w:szCs w:val="14"/>
          <w:color w:val="auto"/>
        </w:rPr>
      </w:pPr>
    </w:p>
    <w:p>
      <w:pPr>
        <w:ind w:right="360" w:firstLine="1162"/>
        <w:spacing w:after="0" w:line="283" w:lineRule="auto"/>
        <w:tabs>
          <w:tab w:leader="none" w:pos="1356"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Janitorial Services</w:t>
      </w:r>
      <w:r>
        <w:rPr>
          <w:rFonts w:ascii="Times New Roman" w:cs="Times New Roman" w:eastAsia="Times New Roman" w:hAnsi="Times New Roman"/>
          <w:sz w:val="14"/>
          <w:szCs w:val="14"/>
          <w:color w:val="auto"/>
        </w:rPr>
        <w:t xml:space="preserve">. Subject to the provisions of (i)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and (ii) </w:t>
      </w:r>
      <w:r>
        <w:rPr>
          <w:rFonts w:ascii="Times New Roman" w:cs="Times New Roman" w:eastAsia="Times New Roman" w:hAnsi="Times New Roman"/>
          <w:sz w:val="14"/>
          <w:szCs w:val="14"/>
          <w:u w:val="single" w:color="auto"/>
          <w:color w:val="auto"/>
        </w:rPr>
        <w:t>Sections 5.3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Landlord shall supply or cause to be supplied routine janitorial services for the Common Areas. Such services may be revised from time to time by Landlord in its sole discretion.</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Landlord shall pay or cause to be paid all Taxes levied upon or with respect to the Project, subject to Tenant’s obligations with respect to Taxes pursuant to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right="40" w:firstLine="1155"/>
        <w:spacing w:after="0" w:line="258" w:lineRule="auto"/>
        <w:tabs>
          <w:tab w:leader="none" w:pos="1318"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Landlord shall procure and maintain, or cause to be procured and maintained, in full force and effect, fire, casualty and extended coverage insurance with respect to the Project, with vandalism and malicious mischief endorsements, liability insurance with respect to the Common Areas, rent loss insurance and such other insurance upon or with respect to the Project as Landlord and/or Other Landlords determine to be necessary, appropriate and/or desirable (comparable to other similar properties in the City of Cambridge) or is required by Landlord’s and/or Other Landlords’ lender, all with such limits of coverage as Landlord, Other Landlords or their lender may deem necessary, appropriate and/or desirable, subject to Tenant’s obligations with respect to Insurance Costs pursuant to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right="60" w:firstLine="1155"/>
        <w:spacing w:after="0" w:line="267" w:lineRule="auto"/>
        <w:tabs>
          <w:tab w:leader="none" w:pos="1318"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Shuttle Service</w:t>
      </w:r>
      <w:r>
        <w:rPr>
          <w:rFonts w:ascii="Times New Roman" w:cs="Times New Roman" w:eastAsia="Times New Roman" w:hAnsi="Times New Roman"/>
          <w:sz w:val="14"/>
          <w:szCs w:val="14"/>
          <w:color w:val="auto"/>
        </w:rPr>
        <w:t>. Landlord and/or the Other Landlords shall provide or cause to be provided shuttle service to and from the Project and Alewife Station in Cambridge, Massachusetts in accordance with the transportation management plan for the Project. In addition, shuttle service beyond what is required by the transportation management plan may be provided. The costs of all shuttle service provided pursuant hereto shall be included in Operating Costs.</w:t>
      </w:r>
    </w:p>
    <w:p>
      <w:pPr>
        <w:spacing w:after="0" w:line="136"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6.2 Extraordinary Use</w:t>
      </w:r>
      <w:r>
        <w:rPr>
          <w:rFonts w:ascii="Times New Roman" w:cs="Times New Roman" w:eastAsia="Times New Roman" w:hAnsi="Times New Roman"/>
          <w:sz w:val="14"/>
          <w:szCs w:val="14"/>
          <w:color w:val="auto"/>
        </w:rPr>
        <w:t>. Tenant acknowledges that the services to be supplied by Landlord after occupancy by Tenant will be sufficient only for ordinary office and laboratory uses. Any additional capacity or structural support, as determined by Landlord, needed for uses beyond such uses, shall be subject to Landlord’s prior written approval, which approval shall not be unreasonably withheld.</w:t>
      </w:r>
    </w:p>
    <w:p>
      <w:pPr>
        <w:spacing w:after="0" w:line="136"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6.3 Interruption; Delay</w:t>
      </w:r>
      <w:r>
        <w:rPr>
          <w:rFonts w:ascii="Times New Roman" w:cs="Times New Roman" w:eastAsia="Times New Roman" w:hAnsi="Times New Roman"/>
          <w:sz w:val="14"/>
          <w:szCs w:val="14"/>
          <w:color w:val="auto"/>
        </w:rPr>
        <w:t xml:space="preserve">. Landlord shall have no responsibility or liability for failure or interruption of any such repairs or services referred to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for any interruption in utility services, caused by breakage, accident, strikes, repairs, inability after exercise of reasonable diligence to obtain supplies or otherwise furnish services, or for any cause or causes beyond the reasonable control of Landlord (but Landlord, in respect of those matters for which Landlord is responsible, will promptly commence and use diligent efforts to restore such services or make such repairs as soon as possible), nor in any event for any indirect or consequential damages; and failure or omission on the part of Landlord to furnish such service or make such repair shall not be construed as an eviction of Tenant, nor render Landlord liable in damages, nor entitle Tenant to an abatement of Base Rent or Additional Rent, nor release Tenant from the obligation to fulfill any of its covenants under this Lease, except as provided in </w:t>
      </w:r>
      <w:r>
        <w:rPr>
          <w:rFonts w:ascii="Times New Roman" w:cs="Times New Roman" w:eastAsia="Times New Roman" w:hAnsi="Times New Roman"/>
          <w:sz w:val="14"/>
          <w:szCs w:val="14"/>
          <w:u w:val="single" w:color="auto"/>
          <w:color w:val="auto"/>
        </w:rPr>
        <w:t>Articles 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XI</w:t>
      </w:r>
      <w:r>
        <w:rPr>
          <w:rFonts w:ascii="Times New Roman" w:cs="Times New Roman" w:eastAsia="Times New Roman" w:hAnsi="Times New Roman"/>
          <w:sz w:val="14"/>
          <w:szCs w:val="14"/>
          <w:color w:val="auto"/>
        </w:rPr>
        <w:t xml:space="preserve"> with respect to eminent domain and damage by fire or other casualty. If any of such services are interrupted by a cause or causes within the reasonable control of Landlord so as to render the Premises, or a significant portion thereof, untenantable and such interruption of services continues for five (5) consecutive Business Days after Tenant gives Landlord written notice thereof, Tenant shall be entitled to an abatement of Base Rent in proportion to the portion of the Premises rendered untenantable for each day after such fifth (5th) Business Day that such untenantable condition continues by reason of such interruption in services and such interruption.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50" w:name="page551"/>
    <w:bookmarkEnd w:id="550"/>
    <w:p>
      <w:pPr>
        <w:ind w:right="440" w:firstLine="511"/>
        <w:spacing w:after="0" w:line="283" w:lineRule="auto"/>
        <w:rPr>
          <w:sz w:val="20"/>
          <w:szCs w:val="20"/>
          <w:color w:val="auto"/>
        </w:rPr>
      </w:pPr>
      <w:r>
        <w:rPr>
          <w:rFonts w:ascii="Times New Roman" w:cs="Times New Roman" w:eastAsia="Times New Roman" w:hAnsi="Times New Roman"/>
          <w:sz w:val="14"/>
          <w:szCs w:val="14"/>
          <w:u w:val="single" w:color="auto"/>
          <w:color w:val="auto"/>
        </w:rPr>
        <w:t>Section 6.4 Additional Services</w:t>
      </w:r>
      <w:r>
        <w:rPr>
          <w:rFonts w:ascii="Times New Roman" w:cs="Times New Roman" w:eastAsia="Times New Roman" w:hAnsi="Times New Roman"/>
          <w:sz w:val="14"/>
          <w:szCs w:val="14"/>
          <w:color w:val="auto"/>
        </w:rPr>
        <w:t>. Should Tenant request any additional services, Tenant agrees to pay to Landlord as Additional Rent therefor Landlord’s actual costs for providing such service, plus an additional fifteen (15%) percent of such costs as an administrative fee, within thirty (30) days of Landlord’s billing Tenant therefor.</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VII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CERTAIN OBLIGATIONS OF TENANT</w:t>
      </w:r>
    </w:p>
    <w:p>
      <w:pPr>
        <w:spacing w:after="0" w:line="161" w:lineRule="exact"/>
        <w:rPr>
          <w:sz w:val="20"/>
          <w:szCs w:val="20"/>
          <w:color w:val="auto"/>
        </w:rPr>
      </w:pPr>
    </w:p>
    <w:p>
      <w:pPr>
        <w:ind w:right="20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7.1 Rent</w:t>
      </w:r>
      <w:r>
        <w:rPr>
          <w:rFonts w:ascii="Times New Roman" w:cs="Times New Roman" w:eastAsia="Times New Roman" w:hAnsi="Times New Roman"/>
          <w:sz w:val="14"/>
          <w:szCs w:val="14"/>
          <w:color w:val="auto"/>
        </w:rPr>
        <w:t>. Tenant will promptly pay the Base Rent and Additional Rent, including without limitation any and all fees, charges, expenses, fines, assessments or other sums payable by Tenant to Landlord (or to the applicable provider of utilities) at the time and in the manner provided for in this Lease, all of which shall be deemed to be obligations to pay Base Rent or Additional Rent.</w:t>
      </w:r>
    </w:p>
    <w:p>
      <w:pPr>
        <w:spacing w:after="0" w:line="136"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7.2 Utilities</w:t>
      </w:r>
      <w:r>
        <w:rPr>
          <w:rFonts w:ascii="Times New Roman" w:cs="Times New Roman" w:eastAsia="Times New Roman" w:hAnsi="Times New Roman"/>
          <w:sz w:val="14"/>
          <w:szCs w:val="14"/>
          <w:color w:val="auto"/>
        </w:rPr>
        <w:t xml:space="preserve">. In addition to gas and electricity which is the subject of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and water and sewer which is the subject of </w:t>
      </w:r>
      <w:r>
        <w:rPr>
          <w:rFonts w:ascii="Times New Roman" w:cs="Times New Roman" w:eastAsia="Times New Roman" w:hAnsi="Times New Roman"/>
          <w:sz w:val="14"/>
          <w:szCs w:val="14"/>
          <w:u w:val="single" w:color="auto"/>
          <w:color w:val="auto"/>
        </w:rPr>
        <w:t>Section 6.1(c)</w:t>
      </w:r>
      <w:r>
        <w:rPr>
          <w:rFonts w:ascii="Times New Roman" w:cs="Times New Roman" w:eastAsia="Times New Roman" w:hAnsi="Times New Roman"/>
          <w:sz w:val="14"/>
          <w:szCs w:val="14"/>
          <w:color w:val="auto"/>
        </w:rPr>
        <w:t>, Landlord reserves the right at its expense to cause any or all of Tenant’s other utilities to be separately metered or submetered. In the event that Tenant is billed directly by a utility provider, then Tenant shall pay such bills directly to such utility provider prior to their due dates. In the event Tenant’s utility usage is separately metered or sub-metered by Landlord, Tenant shall pay the billed charges therefor to Landlord as Additional Rent within thirty (30) days of Landlord’s billing therefor. In the event Tenant’s utility usage is not separately metered, then, except for Tenant’s Utility Costs, Tenant shall pay for such usage as a part of the Operating Costs. Tenant agrees that its use of electric current shall never exceed the capacity of existing feeders, risers and wiring installations in the Building. Tenant shall not make or perform any alterations to wiring, installations, lighting fixtures or other electrical facilities in any manner without the prior written consent of Landlord, which Landlord will not unreasonably withhold or delay. Any risers or wiring to meet Tenant’s excess electrical requirements, if requested by Tenant and approved by Landlord, will be installed by Landlord at Tenant’s expense.</w:t>
      </w:r>
    </w:p>
    <w:p>
      <w:pPr>
        <w:spacing w:after="0" w:line="144" w:lineRule="exact"/>
        <w:rPr>
          <w:sz w:val="20"/>
          <w:szCs w:val="20"/>
          <w:color w:val="auto"/>
        </w:rPr>
      </w:pPr>
    </w:p>
    <w:p>
      <w:pPr>
        <w:ind w:right="10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7.3 No Waste</w:t>
      </w:r>
      <w:r>
        <w:rPr>
          <w:rFonts w:ascii="Times New Roman" w:cs="Times New Roman" w:eastAsia="Times New Roman" w:hAnsi="Times New Roman"/>
          <w:sz w:val="14"/>
          <w:szCs w:val="14"/>
          <w:color w:val="auto"/>
        </w:rPr>
        <w:t>. Tenant shall not overload, damage or deface the Premises nor shall it suffer or permit the same to be done, nor shall it commit any waste. Notwithstanding the foregoing, with respect to any portion of the Premises used for laboratory (including without limitation, for vivarium purposes), research and development or manufacturing purposes (collectively, the “</w:t>
      </w:r>
      <w:r>
        <w:rPr>
          <w:rFonts w:ascii="Times New Roman" w:cs="Times New Roman" w:eastAsia="Times New Roman" w:hAnsi="Times New Roman"/>
          <w:sz w:val="14"/>
          <w:szCs w:val="14"/>
          <w:u w:val="single" w:color="auto"/>
          <w:color w:val="auto"/>
        </w:rPr>
        <w:t>Lab Areas</w:t>
      </w:r>
      <w:r>
        <w:rPr>
          <w:rFonts w:ascii="Times New Roman" w:cs="Times New Roman" w:eastAsia="Times New Roman" w:hAnsi="Times New Roman"/>
          <w:sz w:val="14"/>
          <w:szCs w:val="14"/>
          <w:color w:val="auto"/>
        </w:rPr>
        <w:t>”), Tenant shall be responsible, at its sole cost and expense, for providing cleaning and janitorial services thereto in a neat and first-class manner consistent with the cleaning standards generally prevailing in comparable buildings in and around the Greater Boston area for laboratory space or as otherwise reasonably established by Landlord in writing from time to time, using an insured contractor or contractors selected by Tenant and approved in writing by Landlord and such provider shall not interfere with the use and operation of the Building or Project by Landlord or any other tenant or occupant thereof. Tenant shall also be responsible to arrange for, at Tenant’s sole cost and expense, any waste (including laboratory waste) and refuse removal services for Tenant’s laboratory operations at the Premises. All such waste (including laboratory waste) and refuse removal shall be performed in compliance with applicable Environmental Laws and Legal Requirements using licensed laboratory waste disposal companies. All waste (including laboratory waste) and refuse that Tenant is responsible to remove per the provisions above in this paragraph shall be stored in the Premises and shall be removed on a daily basis.</w:t>
      </w:r>
    </w:p>
    <w:p>
      <w:pPr>
        <w:spacing w:after="0" w:line="149"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7.4 Maintenance; Repairs; and Yield-Up; Decommissioning</w:t>
      </w:r>
      <w:r>
        <w:rPr>
          <w:rFonts w:ascii="Times New Roman" w:cs="Times New Roman" w:eastAsia="Times New Roman" w:hAnsi="Times New Roman"/>
          <w:sz w:val="14"/>
          <w:szCs w:val="14"/>
          <w:color w:val="auto"/>
        </w:rPr>
        <w:t xml:space="preserve"> . Except for items that are Landlord’s responsibility under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Tenant will keep the Premises neat and clean and maintain the same in good repair, condition and appearance, subject to reasonable wear and tear and damage by fire or other casualty. Tenant’s obligation to so maintain and repair the Premises shall apply to ail of the Premises, including, without limitation, all doors, glass, fixtures, interior walls, floors, ceilings, and any other systems exclusively serving the Premises (including, without limitation, all laboratory, utility systems and the HVAC systems and units exclusively serving the Premises). There is excepted from Tenant’s such obligations under this Section only (a) damage to such portions of the Premises not the responsibility of Tenant under this Lease and originally constructed by Landlord, and (b) repairs and work which are otherwise the specific responsibility of Landlord hereunder. At the end of the Lease Term or sooner termination of this Lease, Tenant shall peaceably surrender and deliver up the Premises to Landlord, broom clean, with all utilities safely capped, and in good repair and condition, subject to reasonable wear and tear and damage by fire or other casualty, and remove all signs and lettering and all personal property, goods and effects belonging to Tenant or anyone claiming through or under Tenant. Tenant shall cause all maintenance and repair work to conform to Legal Requirements. Tenant shall keep the Premises clear of all filth, trash and refuse. If Tenant fails to perform Tenant’s obligations under the above provisions of this Section, then Landlord will have the right (but not the obligation), without waiving any default by Tenant, to cause such obligations to be performed upon not less than five (5) Business Days prior written notice to Tenant (or a shorter period of prior written notice, or a contemporaneous written notice, if appropriate in Landlord’s reasonable judgment in light of the nature of Tenant’s obligations to be performed), giving Tenant the opportunity to have its representative observe the performance of such obligations if practical, and if Landlord causes any of such obligations to be performed as permitted above, the costs and expenses reasonably incurred by Landlord in connection therewith shall be due and payable by Tenant to Landlord as Additional Rent upon demand.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51" w:name="page552"/>
    <w:bookmarkEnd w:id="551"/>
    <w:p>
      <w:pPr>
        <w:ind w:firstLine="511"/>
        <w:spacing w:after="0" w:line="253" w:lineRule="auto"/>
        <w:rPr>
          <w:sz w:val="20"/>
          <w:szCs w:val="20"/>
          <w:color w:val="auto"/>
        </w:rPr>
      </w:pPr>
      <w:r>
        <w:rPr>
          <w:rFonts w:ascii="Times New Roman" w:cs="Times New Roman" w:eastAsia="Times New Roman" w:hAnsi="Times New Roman"/>
          <w:sz w:val="14"/>
          <w:szCs w:val="14"/>
          <w:color w:val="auto"/>
        </w:rPr>
        <w:t>On or before the date that Tenant, and anyone claiming by, through or under Tenant, vacates the Premises, and immediately prior to the time that Tenant delivers the Premises to Landlord, Tenant shall, to the reasonable satisfaction of Landlord; (i) cause the Premises to be decommissioned in accordance with the regulations of the U.S. Nuclear Regulatory Commission and/or the Massachusetts Department of Public Health for the control of radiation, cause the Premises to be released for unrestricted use by the Radiation Control Program of the Massachusetts Department of Public Health for the control of radiation, and deliver to Landlord the report of a certified industrial hygienist stating that he or she has examined the Premises (including visual inspection, Geiger counter evaluation and airborne and surface monitoring) and found no evidence that the Premises contains any Hazardous Materials, or is otherwise in violation of any Environmental Law; (ii) decommission the Premises to the satisfaction of Landlord’s environmental, health and safety consultant and otherwise in accordance with applicable laws and best practices for similarly used laboratory space, and to the satisfaction of Landlord and any governmental authority involved in the closure; (iii) terminate all licenses, permits, registrations and consents obtained by Tenant for the use or storage of Hazardous Materials at the Premises; (iv) remove from the Premises and dispose of all Hazardous Materials stored in the Premises by Tenant or any of Tenant’s Invitees in compliance with applicable laws (including, without limitation, all Environmental Laws); (v) decontaminate all surfaces and fixed equipment in the Premises; (vi) review and remediate and properly dispose of any specific Hazardous Materials that may be associated with any laboratory and/or research and development fixtures used by Tenant in the Premises; and (vii) provide to Landlord a copy of its most current chemical waste removal manifest and a certification from Tenant executed by an officer of Tenant that no Hazardous Materials or other potentially dangerous or harmful chemicals brought onto the Premises from and after the date that Tenant first took occupancy of the Premises remain in the Premises.</w:t>
      </w:r>
    </w:p>
    <w:p>
      <w:pPr>
        <w:spacing w:after="0" w:line="150" w:lineRule="exact"/>
        <w:rPr>
          <w:sz w:val="20"/>
          <w:szCs w:val="20"/>
          <w:color w:val="auto"/>
        </w:rPr>
      </w:pPr>
    </w:p>
    <w:p>
      <w:pPr>
        <w:ind w:right="8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7.5 Alterations by Tenant</w:t>
      </w:r>
      <w:r>
        <w:rPr>
          <w:rFonts w:ascii="Times New Roman" w:cs="Times New Roman" w:eastAsia="Times New Roman" w:hAnsi="Times New Roman"/>
          <w:sz w:val="14"/>
          <w:szCs w:val="14"/>
          <w:color w:val="auto"/>
        </w:rPr>
        <w:t>. Except as otherwise expressly set forth hereinbelow, Tenant will not make any change in, or addition to, the Premises without first obtaining, on each occasion, Landlord’s consent in writing as provided below (which consent shall not be unreasonably withheld), and then only at Tenant’s expense, and in a lawful manner and upon such terms and conditions as Landlord, by such writing, shall reasonably approve, which shall include, without limitation, (a) maintenance of insurance in form and substance reasonably satisfactory to Landlord, and</w:t>
      </w:r>
    </w:p>
    <w:p>
      <w:pPr>
        <w:ind w:right="40" w:firstLine="4"/>
        <w:spacing w:after="0" w:line="251" w:lineRule="auto"/>
        <w:tabs>
          <w:tab w:leader="none" w:pos="198"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compliance with </w:t>
      </w:r>
      <w:r>
        <w:rPr>
          <w:rFonts w:ascii="Times New Roman" w:cs="Times New Roman" w:eastAsia="Times New Roman" w:hAnsi="Times New Roman"/>
          <w:sz w:val="14"/>
          <w:szCs w:val="14"/>
          <w:u w:val="single" w:color="auto"/>
          <w:color w:val="auto"/>
        </w:rPr>
        <w:t>Sections 7.9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7.12</w:t>
      </w:r>
      <w:r>
        <w:rPr>
          <w:rFonts w:ascii="Times New Roman" w:cs="Times New Roman" w:eastAsia="Times New Roman" w:hAnsi="Times New Roman"/>
          <w:sz w:val="14"/>
          <w:szCs w:val="14"/>
          <w:color w:val="auto"/>
        </w:rPr>
        <w:t xml:space="preserve">. Notwithstanding the foregoing, so long as Tenant provides Landlord with at least ten (10) days’ prior written notice of and sufficiently describing the same, and subject to the Rules and Regulations and the terms and provisions set forth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below that do not otherwise require Landlord’s consent, Landlord’s consent shall not be required with respect to any alterations, additions or improvements to the Premises which (i) are not structural in nature, (ii) are not visible from the exterior of the Building, (iii) do not affect or require modification of the Building’s electrical, mechanical, plumbing, HVAC or other systems, (iv) in the aggregate do not cost more than $50,000.00 per project, and (v) are not part of the Phase 1 Work, the Phase 2 Work or the Phase 3 Work or the Infrastructure Work. Any alteration or addition shall be consistent in appearance with the rest of the Building and the Project and shall be made only after duly obtaining (and providing to Landlord copies of) all required permits and licenses from all governmental authorities. Tenant will deliver to Landlord in writing a schedule setting forth the details and location of all such proposed alterations or additions and detailed plans and specifications. The contractor(s) performing the work shall be subject to Landlord’s approval, which will not be unreasonably withheld. All approved repairs, installations, alterations, additions or other improvements made by Tenant shall be made in a good and workmanlike manner, between such hours as approved in writing by Landlord, and in such a way that utilities will not be interrupted and other tenants and occupants of the Project will not suffer unreasonable inconvenience or interference as determined by Landlord. Tenant’s Invitees shall be given such reasonable access to other portions of the Building and the mechanical systems as may be necessary or appropriate to perform such work. Both during and after the performance of any such work, Landlord shall have free access to any and all mechanical installations in the Premises, including, but not limited to, air conditioning, fans, ventilating systems, machine rooms and electrical closets; and Tenant agrees not to construct or permit the installation of partitions and/or other obstructions in the Premises which might interfere with Landlord’s free access to the Premises or Building, or impede the free flow of air to and from air vents and other portions of the heating, ventilating and air conditioning systems in the Building. Unless Landlord elects otherwise, but subject to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all installations, alterations, additions or improvements in or to the Premises (excluding removable laboratory and/or research and development equipment or other trade fixtures installed in or to the Premises, but including fume hoods and laboratory benches) shall be the property of Landlord and shall remain upon, and be surrendered with, the Premises at the end of the Lease Term or sooner termination of this Lease.</w:t>
      </w:r>
    </w:p>
    <w:p>
      <w:pPr>
        <w:spacing w:after="0" w:line="151"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7.6 Trade Fixtures and Equipment</w:t>
      </w:r>
      <w:r>
        <w:rPr>
          <w:rFonts w:ascii="Times New Roman" w:cs="Times New Roman" w:eastAsia="Times New Roman" w:hAnsi="Times New Roman"/>
          <w:sz w:val="14"/>
          <w:szCs w:val="14"/>
          <w:color w:val="auto"/>
        </w:rPr>
        <w:t>. Any trade fixtures (other than fume hoods and laboratory benches) installed in, or attached to, the Premises by, and at the expense of, Tenant shall remain the property of Tenant. Tenant shall have the right, at any time and from time to time during the Lease Term, to remove any and all such trade fixtures (other than fume hoods and laboratory benches) which it may have installed in, or attached to, the Premises, during the Lease Term. In addition, prior to the end of the Lease Term or sooner termination of this Lease, Tenant shall remove all of Tenant’s trade fixtures unless Landlord gives Tenant a written waiver for same (if Tenant requests, Landlord shall state in writing whether it will grant a waiver at the time Tenant installs a trade fixture). At any time that Tenant removes any of its trade fixtures, Tenant shall promptly repair the Building as a result of any damage to, or destruction of, the Building caused by the removal of any of its trade fixtures.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52" w:name="page553"/>
    <w:bookmarkEnd w:id="552"/>
    <w:p>
      <w:pPr>
        <w:ind w:right="10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7.7 Compliance with Laws</w:t>
      </w:r>
      <w:r>
        <w:rPr>
          <w:rFonts w:ascii="Times New Roman" w:cs="Times New Roman" w:eastAsia="Times New Roman" w:hAnsi="Times New Roman"/>
          <w:sz w:val="14"/>
          <w:szCs w:val="14"/>
          <w:color w:val="auto"/>
        </w:rPr>
        <w:t>. Tenant, in its use of the Premises and at its sole expense, shall comply with all Legal Requirements, including, without limitation, all Legal Requirements related to the use, storage, discharge, release, removal or existence of Hazardous Materials. Tenant agrees that the Premises shall be kept in a sanitary and safe condition in accordance with all Legal Requirements.</w:t>
      </w:r>
    </w:p>
    <w:p>
      <w:pPr>
        <w:spacing w:after="0" w:line="136"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7.8 Contents at Tenant’s Risk</w:t>
      </w:r>
      <w:r>
        <w:rPr>
          <w:rFonts w:ascii="Times New Roman" w:cs="Times New Roman" w:eastAsia="Times New Roman" w:hAnsi="Times New Roman"/>
          <w:sz w:val="14"/>
          <w:szCs w:val="14"/>
          <w:color w:val="auto"/>
        </w:rPr>
        <w:t>. All inventory, equipment, goods, merchandise, furniture, fixtures and property of every kind which may be on or about the Premises shall be at the sole risk and hazard of Tenant, and if the whole or any part thereof shall be destroyed or damaged by fire, water or otherwise, or by the use or abuse of water or by the leaking or bursting of water pipes, or by rising water, or by roof or other structural leak, or by loss of electrical service, or in any other way or manner, no part of such loss or damage shall be charged to or borne by Landlord in any case whatsoever, except that the foregoing shall not exculpate the Landlord from its own negligent acts or omissions. Tenant agrees to maintain full and adequate insurance coverage on all of its property at the Premises and in the remainder of the Building, including physical damage, theft and business interruption insurance, or Tenant shall be a self-insurer thereof, in which case Tenant shall so advise Landlord in writing and shall be fully responsible for all such damage, and shall indemnify and save harmless Landlord from any loss, cost, expense, damage or liability resulting from Tenant’s failure to have such insurance as required in this Lease. Such insurance on Tenant’s property shall contain a waiver of subrogation clause in favor of Landlord, or shall name Landlord as an additional insured for the sole purpose of preventing a subrogation claim against Landlord. If Tenant is a self-insurer, in whole or in part, Landlord shall be entitled to the same benefits it would have enjoyed had insurance covering the loss in full with a waiver of subrogation clause been in effect, or as if the Landlord has been named on insurance covering the loss in full as an additional insured for the purpose of preventing a subrogation claim.</w:t>
      </w:r>
    </w:p>
    <w:p>
      <w:pPr>
        <w:spacing w:after="0" w:line="146" w:lineRule="exact"/>
        <w:rPr>
          <w:sz w:val="20"/>
          <w:szCs w:val="20"/>
          <w:color w:val="auto"/>
        </w:rPr>
      </w:pPr>
    </w:p>
    <w:p>
      <w:pPr>
        <w:ind w:right="10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7.9 Exoneration, Indemnification, Hold Harmless and Insurance</w:t>
      </w:r>
      <w:r>
        <w:rPr>
          <w:rFonts w:ascii="Times New Roman" w:cs="Times New Roman" w:eastAsia="Times New Roman" w:hAnsi="Times New Roman"/>
          <w:sz w:val="14"/>
          <w:szCs w:val="14"/>
          <w:color w:val="auto"/>
        </w:rPr>
        <w:t>. Except to the extent arising from the gross negligence or willful misconduct of Landlord, Tenant will exonerate, indemnify, defend, save and hold harmless Landlord (and any and all Persons claiming by, through or under Landlord) from and against all claims, proceedings, defenses thereof, liabilities, costs, and expenses of any kind and nature, including legal fees, arising from: (i) any breach of this Lease by Tenant or any of Tenant’s Invitees or other Person claiming by, through or under Tenant; and/or (ii) any misconduct or negligence of any of Tenant’s Invitees, or arising from any accident, injury or damage occurring in, on or about the Project, which such accident, damage or injury results from the negligence or misconduct on the part of Tenant or any of Tenant’s Invitees. This exoneration, indemnification and hold harmless agreement shall survive the termination of this Lease.</w:t>
      </w:r>
    </w:p>
    <w:p>
      <w:pPr>
        <w:spacing w:after="0" w:line="144"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color w:val="auto"/>
        </w:rPr>
        <w:t xml:space="preserve">From and after any early occupancy by Tenant, if any, allowed by Landlord, and thereafter during the Lease Term and any period of holding over, Tenant shall maintain in full force and effect a policy of commercial general liability insurance under which Landlord (and its designees) and Landlord’s mortgagee(s) are included as additional insureds. Each such policy shall be endorsed to provide Landlord with thirty (30) days prior written notice of cancellation or non-renewal (except such period shall be ten (10) days in the event of non-payment of premiums), and Tenant shall deliver to Landlord prior to any early occupancy, prior to commencement of the Lease Term, at the expiration of any then effective coverage and at such other times upon request by Landlord (not to exceed twice in any calendar year) a satisfactory written certificate of insurance coverages in substantially in the form attached hereto as </w:t>
      </w:r>
      <w:r>
        <w:rPr>
          <w:rFonts w:ascii="Times New Roman" w:cs="Times New Roman" w:eastAsia="Times New Roman" w:hAnsi="Times New Roman"/>
          <w:sz w:val="14"/>
          <w:szCs w:val="14"/>
          <w:u w:val="single" w:color="auto"/>
          <w:color w:val="auto"/>
        </w:rPr>
        <w:t>Exhibit H</w:t>
      </w:r>
      <w:r>
        <w:rPr>
          <w:rFonts w:ascii="Times New Roman" w:cs="Times New Roman" w:eastAsia="Times New Roman" w:hAnsi="Times New Roman"/>
          <w:sz w:val="14"/>
          <w:szCs w:val="14"/>
          <w:color w:val="auto"/>
        </w:rPr>
        <w:t xml:space="preserve"> or the renewal or replacement of such coverages. The minimum limits of liability of such insurance shall be One Million Dollars ($1,000,000.00) combined single limits for bodily injury and property damage, each occurrence, and Two Million Dollars ($2,000,000.00) limits aggregate, together with an overall umbrella coverage of an additional Five Million Dollars ($5,000,000.00). Tenant shall not permit any contractor to do any work at or furnish any materials to be incorporated into the Premises without first delivering to Landlord satisfactory evidence of the Contractor’s commercial general liability insurance, worker’s compensation insurance, automobile insurance and, if required by Landlord’s lender, statutory lien bonds, each reasonably acceptable to Landlord and complying with any insurance specifications provided by Landlord. All insurance requirements imposed upon Tenant or its contractors under this Lease shall be subject to the further requirement that the forms of coverage and all companies providing insurance coverage should be licensed in the Commonwealth of Massachusetts, be in sound financial condition, maintain an A.M. Best rating of A- or better, and be reasonably acceptable to Landlord. Tenant agrees that Landlord shall not be responsible or liable to Tenant, or to those Persons claiming by, through or under Tenant, for any loss or damage that may be occasioned by or through the acts or omissions of Persons occupying or using adjoining premises or any part of the Project, or otherwise, or for any loss or damage resulting to Tenant or those Persons claiming by, through or under Tenant, or its or their property, except that the foregoing shall not exculpate the Landlord from acts of its own negligence.</w:t>
      </w:r>
    </w:p>
    <w:p>
      <w:pPr>
        <w:spacing w:after="0" w:line="147" w:lineRule="exact"/>
        <w:rPr>
          <w:sz w:val="20"/>
          <w:szCs w:val="20"/>
          <w:color w:val="auto"/>
        </w:rPr>
      </w:pPr>
    </w:p>
    <w:p>
      <w:pPr>
        <w:ind w:right="12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7.10 Landlord’s Access</w:t>
      </w:r>
      <w:r>
        <w:rPr>
          <w:rFonts w:ascii="Times New Roman" w:cs="Times New Roman" w:eastAsia="Times New Roman" w:hAnsi="Times New Roman"/>
          <w:sz w:val="14"/>
          <w:szCs w:val="14"/>
          <w:color w:val="auto"/>
        </w:rPr>
        <w:t>. Landlord and its representatives shall have the right without charge to it and without reduction in Base Rent or Additional Rent, upon at least 24 hours’ prior notice and only during Business Hours (except during emergency events in which Landlord shall not be required to give such prior notice) and in such manner as shall not unreasonably interfere with Tenant’s business, to enter the Premises for any reasonable purpose (including, without limitation, showing the Premises to prospective purchasers, tenants and lenders) and to make entry for the purpose of investigating repair or maintenance problems and to make such repairs or changes as Landlord deems advisable, and to maintain, use, repair, replace, relocate or introduce pipes, ducts, wires, meters and any other Landlord’s fixtures serving or to serve the Premises or other parts of the Project (which shall be installed above ceilings, behind walls, along existing columns, or in other areas which do not interfere with Tenant’s business), or to maintain or repair any</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53" w:name="page554"/>
    <w:bookmarkEnd w:id="553"/>
    <w:p>
      <w:pPr>
        <w:ind w:right="60"/>
        <w:spacing w:after="0" w:line="253" w:lineRule="auto"/>
        <w:rPr>
          <w:sz w:val="20"/>
          <w:szCs w:val="20"/>
          <w:color w:val="auto"/>
        </w:rPr>
      </w:pPr>
      <w:r>
        <w:rPr>
          <w:rFonts w:ascii="Times New Roman" w:cs="Times New Roman" w:eastAsia="Times New Roman" w:hAnsi="Times New Roman"/>
          <w:sz w:val="14"/>
          <w:szCs w:val="14"/>
          <w:color w:val="auto"/>
        </w:rPr>
        <w:t>portion of the Project, and, in case of an emergency, whether resulting from circumstances in the Premises or elsewhere on the Project, Landlord or its representatives may enter the Premises (forcibly, if necessary) at any time to take such measures as may be needed to cope with such emergency; provided, however, except in case of an emergency, Tenant shall have the right to have a representative present with Landlord in the event that Landlord is seeking to access areas within the Premises that Tenant has notified Landlord of in writing that it considers to be “restricted areas” (acting reasonably) unless such representative is not provided after a reasonable opportunity to have such representative present. Such access shall include, but not be limited to, the right to open floors, walls, ceilings, and building systems for the foregoing purposes so long as Landlord promptly restores the same to substantially the same condition as existed immediately prior to opening such items. In addition, except where Landlord’s entry occurs in the event of an emergency or in connection with the making of necessary repairs or maintenance to the Building, Tenant may restrict Landlord’s access to the portions of the Lab Areas comprising Tenant’s funghi laboratory and microbiology laboratory (so long as Tenant provides Landlord with prior written notice and a plan showing such areas in detail) (such areas are, collectively, the “</w:t>
      </w:r>
      <w:r>
        <w:rPr>
          <w:rFonts w:ascii="Times New Roman" w:cs="Times New Roman" w:eastAsia="Times New Roman" w:hAnsi="Times New Roman"/>
          <w:sz w:val="14"/>
          <w:szCs w:val="14"/>
          <w:u w:val="single" w:color="auto"/>
          <w:color w:val="auto"/>
        </w:rPr>
        <w:t>Restricted Lab Areas</w:t>
      </w:r>
      <w:r>
        <w:rPr>
          <w:rFonts w:ascii="Times New Roman" w:cs="Times New Roman" w:eastAsia="Times New Roman" w:hAnsi="Times New Roman"/>
          <w:sz w:val="14"/>
          <w:szCs w:val="14"/>
          <w:color w:val="auto"/>
        </w:rPr>
        <w:t>”) and, except where Landlord’s entry occurs in the event of an emergency, may (i) condition any third-party’s access to the Restricted Lab Areas on such third-party entering into a commercially reasonable non-disclosure agreement and (ii) delay such entry, for not more than five (5) days, in order to allow Tenant to complete any ongoing experiments and/or manufacturing steps. Landlord acknowledges that any access by Landlord to the Premises may provide Landlord with access to Tenant’s proprietary information which exposure could be detrimental to Tenant’s business and intellectual property interests. Upon the request of Tenant, Landlord will execute a reasonable and customary non-disclosure and confidentiality agreement (“</w:t>
      </w:r>
      <w:r>
        <w:rPr>
          <w:rFonts w:ascii="Times New Roman" w:cs="Times New Roman" w:eastAsia="Times New Roman" w:hAnsi="Times New Roman"/>
          <w:sz w:val="14"/>
          <w:szCs w:val="14"/>
          <w:u w:val="single" w:color="auto"/>
          <w:color w:val="auto"/>
        </w:rPr>
        <w:t>NDA</w:t>
      </w:r>
      <w:r>
        <w:rPr>
          <w:rFonts w:ascii="Times New Roman" w:cs="Times New Roman" w:eastAsia="Times New Roman" w:hAnsi="Times New Roman"/>
          <w:sz w:val="14"/>
          <w:szCs w:val="14"/>
          <w:color w:val="auto"/>
        </w:rPr>
        <w:t>”) with respect to such access and shall return such NDA within five (5) Business Days of such request.</w:t>
      </w:r>
    </w:p>
    <w:p>
      <w:pPr>
        <w:spacing w:after="0" w:line="150"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7.11 No Liens</w:t>
      </w:r>
      <w:r>
        <w:rPr>
          <w:rFonts w:ascii="Times New Roman" w:cs="Times New Roman" w:eastAsia="Times New Roman" w:hAnsi="Times New Roman"/>
          <w:sz w:val="14"/>
          <w:szCs w:val="14"/>
          <w:color w:val="auto"/>
        </w:rPr>
        <w:t>. Tenant shall not permit any mechanics’, laborers’ or materialmen’s liens to stand against the Project or Tenant’s interests in the Premises, this Lease, or the estate created hereby for any labor or materials furnished to Tenant or claimed to have been furnished to Tenant in connection with work of any character performed or claimed to have been performed in or on the Premises by or at the direction or sufferance of Tenant. Landlord may condition the right of Tenant to do any work which could result in a lien upon the Project or Tenant’s interests in the Premises, this Lease, or the estate created hereby on the delivery and recording of statutory lien bonds (if required by Landlord’s lender) or indemnities satisfactory to Landlord.</w:t>
      </w:r>
    </w:p>
    <w:p>
      <w:pPr>
        <w:spacing w:after="0" w:line="141" w:lineRule="exact"/>
        <w:rPr>
          <w:sz w:val="20"/>
          <w:szCs w:val="20"/>
          <w:color w:val="auto"/>
        </w:rPr>
      </w:pPr>
    </w:p>
    <w:p>
      <w:pPr>
        <w:jc w:val="both"/>
        <w:ind w:right="24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7.12 Compliance with Rules and Regulations</w:t>
      </w:r>
      <w:r>
        <w:rPr>
          <w:rFonts w:ascii="Times New Roman" w:cs="Times New Roman" w:eastAsia="Times New Roman" w:hAnsi="Times New Roman"/>
          <w:sz w:val="14"/>
          <w:szCs w:val="14"/>
          <w:color w:val="auto"/>
        </w:rPr>
        <w:t>. Tenant covenants that all of its Invitees will comply with the Rules and Regulations and all other reasonable rules and regulations as Landlord may from time to time hereafter promulgate to regulate the conduct generally of all the tenants of the Building. Landlord, however, shall have the reasonable right to change the Rules and Regulations and to waive any one or more of them in the case of any one or more tenants. Landlord shall enforce the Rules and Regulations, if at all, in a non-discriminatory manner.</w:t>
      </w:r>
    </w:p>
    <w:p>
      <w:pPr>
        <w:spacing w:after="0" w:line="136"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7.13 Further Construction</w:t>
      </w:r>
      <w:r>
        <w:rPr>
          <w:rFonts w:ascii="Times New Roman" w:cs="Times New Roman" w:eastAsia="Times New Roman" w:hAnsi="Times New Roman"/>
          <w:sz w:val="14"/>
          <w:szCs w:val="14"/>
          <w:color w:val="auto"/>
        </w:rPr>
        <w:t>. Landlord shall have the right, but not the obligation, to construct an expansion or additional phase of the Building (an “</w:t>
      </w:r>
      <w:r>
        <w:rPr>
          <w:rFonts w:ascii="Times New Roman" w:cs="Times New Roman" w:eastAsia="Times New Roman" w:hAnsi="Times New Roman"/>
          <w:sz w:val="14"/>
          <w:szCs w:val="14"/>
          <w:u w:val="single" w:color="auto"/>
          <w:color w:val="auto"/>
        </w:rPr>
        <w:t>Addition</w:t>
      </w:r>
      <w:r>
        <w:rPr>
          <w:rFonts w:ascii="Times New Roman" w:cs="Times New Roman" w:eastAsia="Times New Roman" w:hAnsi="Times New Roman"/>
          <w:sz w:val="14"/>
          <w:szCs w:val="14"/>
          <w:color w:val="auto"/>
        </w:rPr>
        <w:t>”). If Landlord elects to construct an Addition, Tenant shall cooperate with Landlord in connection with Landlord’s plans to construct the Addition and the construction of the Addition, and neither Tenant nor any of its Invitees shall take any action which will interfere with such plans or construction. Without limiting the generality of the foregoing, Tenant agrees to provide (at no cost to Tenant) such assistance and cooperation as Landlord may request, from time to time, in order for Landlord to timely obtain all licenses, permits, approvals and certificates of occupancy as may be necessary and/or appropriate in connection with an Addition. Landlord shall plan the construction of any Addition and related staging in a manner reasonable under the circumstances to minimize any material interference with Tenant’s access to and/or use of the Premises during the performance of such construction, which planning shall include reasonable advance written notice to Tenant of Landlord’s construction activities which are likely to disturb Tenant’s ongoing experiments or lab work in the Premises to facilitate the taking of protective steps by Tenant. Tenant acknowledges that, from time to time, dust, noise, vibrations and interruptions to power and other utilities (including water and sewer) and/or inability to maintain the temperature in the Building at customary levels may, among other construction-related interference, occur on a temporary basis in connection with the construction of an Addition. Tenant is responsible to safeguard, insure and protect adequately its property (including any sensitive electronic equipment and computers) during the construction process and Landlord shall not be liable to Tenant for any direct or indirect damage or loss suffered by Tenant as a result of Landlord’s construction activities provided that they are undertaken in a manner consistent with this Section. Tenant shall notify Landlord if any such construction-related interference should occur. Upon receipt of written notice from Tenant, Landlord shall undertake those measures reasonable under the circumstances to minimize any material interference with Tenant’s access and/or use of the Premises during the performance of any such construction by Landlord. Tenant shall not be entitled to any abatement of rent or to claim any constructive eviction as a result of Landlord’s construction activities if Landlord has complied with the requirements of this Section.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54" w:name="page555"/>
    <w:bookmarkEnd w:id="554"/>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VIII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SUBLETTING AND ASSIGNMENT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8.1 Subletting and Assignment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60" w:firstLine="1155"/>
        <w:spacing w:after="0" w:line="255" w:lineRule="auto"/>
        <w:tabs>
          <w:tab w:leader="none" w:pos="1341" w:val="left"/>
        </w:tabs>
        <w:numPr>
          <w:ilvl w:val="1"/>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hereinafter set forth, Tenant shall not assign, mortgage, pledge or encumber this Lease nor sublet all or any part of the Premises, nor permit or allow the use of all or any part of the Premises by third party users, such as concessionaires, without, on each occasion, obtaining Landlord’s written consent thereto; provided that, no such consent shall be required for (i) the Pre-Approved Sublease or (ii) subject to </w:t>
      </w:r>
      <w:r>
        <w:rPr>
          <w:rFonts w:ascii="Times New Roman" w:cs="Times New Roman" w:eastAsia="Times New Roman" w:hAnsi="Times New Roman"/>
          <w:sz w:val="14"/>
          <w:szCs w:val="14"/>
          <w:u w:val="single" w:color="auto"/>
          <w:color w:val="auto"/>
        </w:rPr>
        <w:t>Section 8.1(b)(ii)</w:t>
      </w:r>
      <w:r>
        <w:rPr>
          <w:rFonts w:ascii="Times New Roman" w:cs="Times New Roman" w:eastAsia="Times New Roman" w:hAnsi="Times New Roman"/>
          <w:sz w:val="14"/>
          <w:szCs w:val="14"/>
          <w:color w:val="auto"/>
        </w:rPr>
        <w:t xml:space="preserve">, an assignment of this Lease to a Permitted Transferee. Landlord will not unreasonably withhold, condition or delay its consent to any assignment of this Lease or sublease of all or any part of the Premises under the circumstance described in </w:t>
      </w:r>
      <w:r>
        <w:rPr>
          <w:rFonts w:ascii="Times New Roman" w:cs="Times New Roman" w:eastAsia="Times New Roman" w:hAnsi="Times New Roman"/>
          <w:sz w:val="14"/>
          <w:szCs w:val="14"/>
          <w:u w:val="single" w:color="auto"/>
          <w:color w:val="auto"/>
        </w:rPr>
        <w:t>Section 8.1(b)(i)</w:t>
      </w:r>
      <w:r>
        <w:rPr>
          <w:rFonts w:ascii="Times New Roman" w:cs="Times New Roman" w:eastAsia="Times New Roman" w:hAnsi="Times New Roman"/>
          <w:sz w:val="14"/>
          <w:szCs w:val="14"/>
          <w:color w:val="auto"/>
        </w:rPr>
        <w:t xml:space="preserve">; otherwise, the consent of Landlord to an assignment, sublease or other transaction covered by this </w:t>
      </w:r>
      <w:r>
        <w:rPr>
          <w:rFonts w:ascii="Times New Roman" w:cs="Times New Roman" w:eastAsia="Times New Roman" w:hAnsi="Times New Roman"/>
          <w:sz w:val="14"/>
          <w:szCs w:val="14"/>
          <w:u w:val="single" w:color="auto"/>
          <w:color w:val="auto"/>
        </w:rPr>
        <w:t>Section 8.1(a)</w:t>
      </w:r>
      <w:r>
        <w:rPr>
          <w:rFonts w:ascii="Times New Roman" w:cs="Times New Roman" w:eastAsia="Times New Roman" w:hAnsi="Times New Roman"/>
          <w:sz w:val="14"/>
          <w:szCs w:val="14"/>
          <w:color w:val="auto"/>
        </w:rPr>
        <w:t xml:space="preserve"> will be within Landlord’s sole discretion. As used herein, the term “assign” or “assignment” shall be deemed to include, without limitation: (x) any transfer of Tenant’s interest in this Lease by operation of law or the merger or consolidation of Tenant with or into any other firm or corporation; or (y) the transfer or sale of a controlling interest in Tenant (whether in a single transaction or a series of transactions) and whether by sale of its capital stock or otherwise, other than by reason of a sale of a portion of the capital stock of Tenant to raise capital which does not result in a change in the day-to-day control of Tenant or sales of stock on a recognized exchange.</w:t>
      </w:r>
    </w:p>
    <w:p>
      <w:pPr>
        <w:spacing w:after="0" w:line="145" w:lineRule="exact"/>
        <w:rPr>
          <w:rFonts w:ascii="Times New Roman" w:cs="Times New Roman" w:eastAsia="Times New Roman" w:hAnsi="Times New Roman"/>
          <w:sz w:val="14"/>
          <w:szCs w:val="14"/>
          <w:color w:val="auto"/>
        </w:rPr>
      </w:pPr>
    </w:p>
    <w:p>
      <w:pPr>
        <w:ind w:right="40" w:firstLine="1155"/>
        <w:spacing w:after="0" w:line="255" w:lineRule="auto"/>
        <w:tabs>
          <w:tab w:leader="none" w:pos="1349" w:val="left"/>
        </w:tabs>
        <w:numPr>
          <w:ilvl w:val="1"/>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Landlord will not unreasonably withhold or delay its consent to any assignment of this Lease or any sublease of all or any part of the Premises, so long as (A) the assignment or sublease will not violate the terms of the Declaration; (B) the assignee or subtenant and its proposed use is of a character consistent with the Project; (C) the assignee’s or subtenant’s proposed use is permitted under the terms of this Lease; (D) the assignee or subtenant is qualified to do business in the Commonwealth of Massachusetts and has all applicable permits and licenses to do business from the Premises; (E) Tenant pays to Landlord all of Landlord’s reasonable expenses arising out of such assignment or sublease, including, without limitation, reasonable attorneys’ fees not to exceed $3,500.00; (F) there does not then exist an Event of Default and no Event of Default will be created as a result of the proposed assignment or sublease or the proposed use by the assignee or subtenant;</w:t>
      </w:r>
    </w:p>
    <w:p>
      <w:pPr>
        <w:ind w:right="40" w:firstLine="4"/>
        <w:spacing w:after="0" w:line="256" w:lineRule="auto"/>
        <w:tabs>
          <w:tab w:leader="none" w:pos="230"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Landlord’s mortgagees has consented in writing to such assignment or sublease if such mortgagee’s consent is required pursuant to the terms of the applicable financing documents; (H) if a sublease, there is not more than a total of one (1) subtenant, including the proposed subtenant under the proposed sublease, • in occupancy of the Premises or portions thereof; and (I) if a sublease, the proposed sublease prohibits any assignment of the sublease or any sub-sublease of any portion of the Premises without the prior written consent of Landlord.</w:t>
      </w:r>
    </w:p>
    <w:p>
      <w:pPr>
        <w:spacing w:after="0" w:line="142" w:lineRule="exact"/>
        <w:rPr>
          <w:rFonts w:ascii="Times New Roman" w:cs="Times New Roman" w:eastAsia="Times New Roman" w:hAnsi="Times New Roman"/>
          <w:sz w:val="14"/>
          <w:szCs w:val="14"/>
          <w:color w:val="auto"/>
        </w:rPr>
      </w:pPr>
    </w:p>
    <w:p>
      <w:pPr>
        <w:ind w:left="1880" w:hanging="214"/>
        <w:spacing w:after="0"/>
        <w:tabs>
          <w:tab w:leader="none" w:pos="1880" w:val="left"/>
        </w:tabs>
        <w:numPr>
          <w:ilvl w:val="2"/>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w:t>
      </w:r>
      <w:r>
        <w:rPr>
          <w:rFonts w:ascii="Times New Roman" w:cs="Times New Roman" w:eastAsia="Times New Roman" w:hAnsi="Times New Roman"/>
          <w:sz w:val="14"/>
          <w:szCs w:val="14"/>
          <w:u w:val="single" w:color="auto"/>
          <w:color w:val="auto"/>
        </w:rPr>
        <w:t>Section 8.1(a)</w:t>
      </w:r>
      <w:r>
        <w:rPr>
          <w:rFonts w:ascii="Times New Roman" w:cs="Times New Roman" w:eastAsia="Times New Roman" w:hAnsi="Times New Roman"/>
          <w:sz w:val="14"/>
          <w:szCs w:val="14"/>
          <w:color w:val="auto"/>
        </w:rPr>
        <w:t>, Landlord’s prior written consent to an assignment of this Lease to a Permitted Transferee shall not be</w:t>
      </w:r>
    </w:p>
    <w:p>
      <w:pPr>
        <w:spacing w:after="0" w:line="21" w:lineRule="exact"/>
        <w:rPr>
          <w:rFonts w:ascii="Times New Roman" w:cs="Times New Roman" w:eastAsia="Times New Roman" w:hAnsi="Times New Roman"/>
          <w:sz w:val="14"/>
          <w:szCs w:val="14"/>
          <w:color w:val="auto"/>
        </w:rPr>
      </w:pPr>
    </w:p>
    <w:p>
      <w:pPr>
        <w:ind w:right="6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so long as: (1) the Permitted Transferee assumes this Lease pursuant to a customary document reasonably satisfactory to Landlord; (2) the assignee is qualified to do business in the Commonwealth of Massachusetts and has all applicable permits and licenses to do business from the Premises; (3) Tenant pays to Landlord all of Landlord’s reasonable expenses arising out of such assignment, including, without limitation, reasonable attorneys’ fees not to exceed $3,500.00; (4) there does not then exist an Event of Default and no Event of Default will be created as a result of the proposed assignment or the proposed use by the assignee; (5) the successor to Tenant has a tangible net worth, computed in accordance with GAAP, at least equal to the greater of (i) the tangible net worth of Tenant immediately prior to such merger, consolidation or transfer computed in accordance with GAAP, or (ii) the tangible net worth of Tenant herein named on the date of this Lease computed in accordance with GAAP; and (6) each of Landlord’s mortgagees has consented to such assignment if such mortgagee’s consent is required pursuant to the terms of the applicable financing documents.</w:t>
      </w:r>
    </w:p>
    <w:p>
      <w:pPr>
        <w:spacing w:after="0" w:line="147" w:lineRule="exact"/>
        <w:rPr>
          <w:rFonts w:ascii="Times New Roman" w:cs="Times New Roman" w:eastAsia="Times New Roman" w:hAnsi="Times New Roman"/>
          <w:sz w:val="14"/>
          <w:szCs w:val="14"/>
          <w:color w:val="auto"/>
        </w:rPr>
      </w:pPr>
    </w:p>
    <w:p>
      <w:pPr>
        <w:ind w:firstLine="1162"/>
        <w:spacing w:after="0" w:line="254" w:lineRule="auto"/>
        <w:tabs>
          <w:tab w:leader="none" w:pos="1349"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any permitted assignment of this Lease or sublease of ail or any part of the Premises by Tenant (including, but not limited to, the Pre-Approved Sublease), Tenant shall be jointly and severally liable with the new tenant for the payment of any and all Base Rent and Additional Rent which may become due by the terms of this Lease and for the performance of all covenants, agreements and conditions on the part of Tenant to be performed hereunder. Tenant shall also pay to Landlord fifty percent (50%) of any rent received as a result of the assignment or sublease which exceeds the Base Rent and Additional Rent payable hereunder on a per square foot basis, after taking into account the costs of the assignment or sublease amortized on a straight-line basis over the remaining Lease Term. No such assignment shall be valid or effective unless and until the new tenant and Tenant execute and deliver to Landlord an agreement, in form and substance reasonably satisfactory to Landlord, pursuant to which </w:t>
      </w:r>
      <w:r>
        <w:rPr>
          <w:rFonts w:ascii="Times New Roman" w:cs="Times New Roman" w:eastAsia="Times New Roman" w:hAnsi="Times New Roman"/>
          <w:sz w:val="14"/>
          <w:szCs w:val="14"/>
          <w:u w:val="single" w:color="auto"/>
          <w:color w:val="auto"/>
        </w:rPr>
        <w:t>inter alia</w:t>
      </w:r>
      <w:r>
        <w:rPr>
          <w:rFonts w:ascii="Times New Roman" w:cs="Times New Roman" w:eastAsia="Times New Roman" w:hAnsi="Times New Roman"/>
          <w:sz w:val="14"/>
          <w:szCs w:val="14"/>
          <w:color w:val="auto"/>
        </w:rPr>
        <w:t xml:space="preserve">, such new tenant assumes all of the obligations of Tenant under this Lease; and the new tenant delivers to Landlord evidence of the insurance coverages required to be maintained by such new tenant under the terms of this Lease. No such sublease shall be valid or effective unless and until (i) the new tenant and Tenant execute and deliver to Landlord an agreement, in form and substance reasonably satisfactory to Landlord, pursuant to which </w:t>
      </w:r>
      <w:r>
        <w:rPr>
          <w:rFonts w:ascii="Times New Roman" w:cs="Times New Roman" w:eastAsia="Times New Roman" w:hAnsi="Times New Roman"/>
          <w:sz w:val="14"/>
          <w:szCs w:val="14"/>
          <w:u w:val="single" w:color="auto"/>
          <w:color w:val="auto"/>
        </w:rPr>
        <w:t>inter alia</w:t>
      </w:r>
      <w:r>
        <w:rPr>
          <w:rFonts w:ascii="Times New Roman" w:cs="Times New Roman" w:eastAsia="Times New Roman" w:hAnsi="Times New Roman"/>
          <w:sz w:val="14"/>
          <w:szCs w:val="14"/>
          <w:color w:val="auto"/>
        </w:rPr>
        <w:t>, such subtenant (A) assumes all of the obligations of Tenant under this Lease with respect to the portion of the Premises that is subject to such sublease, (B) agrees to execute and deliver such estoppel certificates and subordination agreements in the same forms as Landlord may require of Tenant under this Lease, (C) acknowledges that Landlord has no obligations to such subtenant under this Lease, the sublease or otherwise, (D) agrees to maintain the same insurance coverages as the insurance coverages which Tenant is required to maintain under this Lease and to provide evidence thereof to Landlord in</w:t>
      </w:r>
    </w:p>
    <w:p>
      <w:pPr>
        <w:spacing w:after="0" w:line="60"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3"/>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555" w:name="page556"/>
    <w:bookmarkEnd w:id="555"/>
    <w:p>
      <w:pPr>
        <w:jc w:val="both"/>
        <w:ind w:right="100"/>
        <w:spacing w:after="0" w:line="258" w:lineRule="auto"/>
        <w:rPr>
          <w:sz w:val="20"/>
          <w:szCs w:val="20"/>
          <w:color w:val="auto"/>
        </w:rPr>
      </w:pPr>
      <w:r>
        <w:rPr>
          <w:rFonts w:ascii="Times New Roman" w:cs="Times New Roman" w:eastAsia="Times New Roman" w:hAnsi="Times New Roman"/>
          <w:sz w:val="14"/>
          <w:szCs w:val="14"/>
          <w:color w:val="auto"/>
        </w:rPr>
        <w:t>accordance with the terms of this Lease, and (E) agrees that, in the event of the termination of this Lease, at Landlord’s sole option, either (1) such sublease shall be automatically terminated and such subtenant shall immediately surrender the subleased portion of the Premises to Landlord in accordance with the terms of this Lease for surrender of the Premises upon termination of this Lease or (2) such sublease shall become a direct lease of the subleased portion of the Premises between Landlord and such subtenant on the terms and conditions set forth in such sublease; and (ii) such subtenant delivers to Landlord evidence of the insurance coverages required to be maintained by such subtenant under the agreement referenced in clause (ì) above. No modification of the terms of this Lease or any course of dealing between Landlord and any assignee or sublessee of Tenant’s interest herein shall operate to release or impair Tenant’s obligations hereunder.</w:t>
      </w:r>
    </w:p>
    <w:p>
      <w:pPr>
        <w:spacing w:after="0" w:line="144" w:lineRule="exact"/>
        <w:rPr>
          <w:sz w:val="20"/>
          <w:szCs w:val="20"/>
          <w:color w:val="auto"/>
        </w:rPr>
      </w:pPr>
    </w:p>
    <w:p>
      <w:pPr>
        <w:ind w:right="20" w:firstLine="1155"/>
        <w:spacing w:after="0" w:line="255" w:lineRule="auto"/>
        <w:tabs>
          <w:tab w:leader="none" w:pos="1349"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or other provisions of this Lease, in the event that Tenant seeks Landlord’s consent to an assignment of this Lease (other than to a Permitted Transferee) or a sublease of fifty percent (50%) or more of the Premises (other than to a Permitted Transferee or pursuant to the Pre-Approved Sublessee), Landlord, at its option, may terminate this Lease (or if the request is for a sublease of less than all of the Premises, at Landlord’s option, Landlord may terminate this Lease only as to the portion requested to be sublet and Landlord and Tenant shall execute an amendment to this Lease to modify the Premises and to adjust Base Rent and Tenant’s Share based upon the approximate remaining leasable square footage to the Leasable Square Footage of the Building and the Project). In such an event, Landlord may enter into a new lease with the proposed assignee or sublessee or any other party on any terms and provisions acceptable to Landlord in Landlord’s sole discretion for the Premises or the portion of the Premises released from this Lease. Notwithstanding the above provisions of this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xml:space="preserve"> to the contrary, if Landlord exercises its option to terminate this Lease in whole or in part under this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Tenant may, by written notice given to Landlord within three (3) Business Days after Landlord exercises such option, withdraw Tenant’s request for Landlord’s consent to the subject assignment or sublease, in which event this Lease shall not terminate.</w:t>
      </w:r>
    </w:p>
    <w:p>
      <w:pPr>
        <w:spacing w:after="0" w:line="145" w:lineRule="exact"/>
        <w:rPr>
          <w:rFonts w:ascii="Times New Roman" w:cs="Times New Roman" w:eastAsia="Times New Roman" w:hAnsi="Times New Roman"/>
          <w:sz w:val="14"/>
          <w:szCs w:val="14"/>
          <w:color w:val="auto"/>
        </w:rPr>
      </w:pPr>
    </w:p>
    <w:p>
      <w:pPr>
        <w:ind w:firstLine="1155"/>
        <w:spacing w:after="0" w:line="255" w:lineRule="auto"/>
        <w:tabs>
          <w:tab w:leader="none" w:pos="1341"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eighteen (18) months prior to expiration of the Lease Term, (i) any sublease of all or any portion of the Premises or any assignment of the Lease (other than a sublease or assignment to a Permitted Transferee) shall be made, if at all, only through Landlord or a broker designated by Landlord (including The Bulfinch Companies, Inc.), as broker (in which event Tenant shall directly engage such broker and such broker will agree to actively market the applicable portion(s) of the Premises), and (ii) Tenant shall not offer or solicit offers for ail or any portion of the Premises for sublease other than through Landlord or a broker designated by Landlord (including The Bulfinch Companies, Inc.). Notwithstanding the foregoing provisions of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8.1(e)</w:t>
      </w:r>
      <w:r>
        <w:rPr>
          <w:rFonts w:ascii="Times New Roman" w:cs="Times New Roman" w:eastAsia="Times New Roman" w:hAnsi="Times New Roman"/>
          <w:sz w:val="14"/>
          <w:szCs w:val="14"/>
          <w:color w:val="auto"/>
        </w:rPr>
        <w:t xml:space="preserve">, Tenant shall have no obligation to pay a brokerage commission to Landlord or a broker designated by Landlord in the event that Tenant enters into a sublease during the eighteen (18) months prior to the expiration of the Lease Term with a subtenant that directly contacts Tenant (without any direct or indirect solicitation by Tenant) unless either (i) such subtenant was in contact with Landlord or any broker designated by Landlord regarding a lease or sublease of space in the Building or elsewhere in the Project prior to entering into such sublease or (ii) Tenant has agreed to pay such brokerage commission. This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xml:space="preserve"> shall not be applicable prior to the eighteen (18) months prior to expiration of the Lease Term.</w:t>
      </w:r>
    </w:p>
    <w:p>
      <w:pPr>
        <w:spacing w:after="0" w:line="145" w:lineRule="exact"/>
        <w:rPr>
          <w:rFonts w:ascii="Times New Roman" w:cs="Times New Roman" w:eastAsia="Times New Roman" w:hAnsi="Times New Roman"/>
          <w:sz w:val="14"/>
          <w:szCs w:val="14"/>
          <w:color w:val="auto"/>
        </w:rPr>
      </w:pPr>
    </w:p>
    <w:p>
      <w:pPr>
        <w:ind w:right="440" w:firstLine="1162"/>
        <w:spacing w:after="0" w:line="283" w:lineRule="auto"/>
        <w:tabs>
          <w:tab w:leader="none" w:pos="1333"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shall not enter into any arrangements with any subtenant or assignee to circumvent, or which have the effect of circumventing, (i) Tenant obligation to share rents received from a sublease or assignment or (ii) any other provisions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IX</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RIGHTS OF MORTGAGEES AND GROUND LESSORS; ESTOPPEL CERTIFICATES</w:t>
      </w:r>
    </w:p>
    <w:p>
      <w:pPr>
        <w:spacing w:after="0" w:line="16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9.1 Subordination to Mortgages and Ground Leases</w:t>
      </w:r>
      <w:r>
        <w:rPr>
          <w:rFonts w:ascii="Times New Roman" w:cs="Times New Roman" w:eastAsia="Times New Roman" w:hAnsi="Times New Roman"/>
          <w:sz w:val="14"/>
          <w:szCs w:val="14"/>
          <w:color w:val="auto"/>
        </w:rPr>
        <w:t>. Tenant agrees that this Lease is and shall be and remain subordinate to the lien of any present or future mortgage or mortgages, or ground lease, upon the Project, irrespective of the time of execution or time of recording of any such mortgage or mortgages, or ground lease, and to all renewals, extensions, and modifications therefor or amendments thereto; provided, however, that as a condition to such subordination to any present or future mortgage or ground lease, the mortgagee or ground lessor must agree in writing not to disturb Tenant’s possession of the Premises pursuant to the terms of this Lease so long as no Event of Default exists. Tenant agrees that it will, upon ten (10) Business Days’ advance written request from Landlord or any holder of a mortgage on all or a portion of the Project or the ground lessor thereof, execute, acknowledge, and deliver any and all instruments reasonably deemed necessary or desirable by Landlord, or such holder to give effect to, or notice of, such subordination, provided that such subordination includes a non-disturbance agreement for the benefit of Tenant on commercially reasonable terms and conditions specified by the mortgagee or ground lessor. Upon ten (10) Business Days’ written request from Landlord, any holder of a mortgage or ground lease on the Project or any successor in interest to Landlord, whether by purchase, foreclosure, deed in lieu of foreclosure or otherwise, Tenant shall enter into a recognition and attornment agreement, in the form reasonably requested by such party, with such party. Landlord represents and warrants that as of the date of this Lease there are no mortgages encumbering the Property except a mortgage in favor of Citizens Bank, National Association, as administrative agent (the “</w:t>
      </w:r>
      <w:r>
        <w:rPr>
          <w:rFonts w:ascii="Times New Roman" w:cs="Times New Roman" w:eastAsia="Times New Roman" w:hAnsi="Times New Roman"/>
          <w:sz w:val="14"/>
          <w:szCs w:val="14"/>
          <w:u w:val="single" w:color="auto"/>
          <w:color w:val="auto"/>
        </w:rPr>
        <w:t>Current Mortgagee</w:t>
      </w:r>
      <w:r>
        <w:rPr>
          <w:rFonts w:ascii="Times New Roman" w:cs="Times New Roman" w:eastAsia="Times New Roman" w:hAnsi="Times New Roman"/>
          <w:sz w:val="14"/>
          <w:szCs w:val="14"/>
          <w:color w:val="auto"/>
        </w:rPr>
        <w:t>”). Landlord hereby agrees to use commercially reasonable efforts to obtain for Tenant, a subordination,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56" w:name="page557"/>
    <w:bookmarkEnd w:id="556"/>
    <w:p>
      <w:pPr>
        <w:ind w:right="100"/>
        <w:spacing w:after="0" w:line="283" w:lineRule="auto"/>
        <w:rPr>
          <w:sz w:val="20"/>
          <w:szCs w:val="20"/>
          <w:color w:val="auto"/>
        </w:rPr>
      </w:pPr>
      <w:r>
        <w:rPr>
          <w:rFonts w:ascii="Times New Roman" w:cs="Times New Roman" w:eastAsia="Times New Roman" w:hAnsi="Times New Roman"/>
          <w:sz w:val="14"/>
          <w:szCs w:val="14"/>
          <w:color w:val="auto"/>
        </w:rPr>
        <w:t>non-disturbance and attornment agreement from Current Mortgagee with respect to its mortgage, in the standard form customarily employed by Current Mortgagee with such customary commercially reasonable changes as Tenant may reasonably request.</w:t>
      </w:r>
    </w:p>
    <w:p>
      <w:pPr>
        <w:spacing w:after="0" w:line="125" w:lineRule="exact"/>
        <w:rPr>
          <w:sz w:val="20"/>
          <w:szCs w:val="20"/>
          <w:color w:val="auto"/>
        </w:rPr>
      </w:pPr>
    </w:p>
    <w:p>
      <w:pPr>
        <w:ind w:right="8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9.2 Lease Superior at Mortgagee’s or Ground Lessor’s Election</w:t>
      </w:r>
      <w:r>
        <w:rPr>
          <w:rFonts w:ascii="Times New Roman" w:cs="Times New Roman" w:eastAsia="Times New Roman" w:hAnsi="Times New Roman"/>
          <w:sz w:val="14"/>
          <w:szCs w:val="14"/>
          <w:color w:val="auto"/>
        </w:rPr>
        <w:t>. At the request in writing of any mortgagee, or ground lessor, of the Project, this Lease shall be deemed superior to such mortgage, or ground lease, whether this Lease was executed before or after such mortgage, or ground lease, and Tenant shall execute such documents to effect the foregoing in recordable form as such mortgagee, or ground lessor, shall request.</w:t>
      </w:r>
    </w:p>
    <w:p>
      <w:pPr>
        <w:spacing w:after="0" w:line="136"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9.3 Notice to Mortgagee and Ground Lessor</w:t>
      </w:r>
      <w:r>
        <w:rPr>
          <w:rFonts w:ascii="Times New Roman" w:cs="Times New Roman" w:eastAsia="Times New Roman" w:hAnsi="Times New Roman"/>
          <w:sz w:val="14"/>
          <w:szCs w:val="14"/>
          <w:color w:val="auto"/>
        </w:rPr>
        <w:t>. Upon receipt of a written request from Landlord or any holder of a mortgage, on all or any part of the Project, or the ground lessor thereof, Tenant will thereafter send any such holder copies of all notices (including, but not limited to, notices of default or termination) given by Tenant to Landlord in accordance with any provision of this Lease. In the event of any failure by Landlord to perform, fulfill or observe any agreement by Landlord herein or any breach by Landlord of any representation or warranty of Landlord herein, any such holder may at its election cure such failure or breach for and on behalf of Landlord within thirty (30) days after the time provided herein for Landlord to cure the same or such longer period as may be reasonably necessary to cure the default. In the event of any inconsistency between this Section and any similar provision in any subordination, non-disturbance and attornment agreement entered into by Tenant and any mortgagee or ground lessor, the provisions of such subordination, non-disturbance and attornment agreement shall be controlling.</w:t>
      </w:r>
    </w:p>
    <w:p>
      <w:pPr>
        <w:spacing w:after="0" w:line="143" w:lineRule="exact"/>
        <w:rPr>
          <w:sz w:val="20"/>
          <w:szCs w:val="20"/>
          <w:color w:val="auto"/>
        </w:rPr>
      </w:pPr>
    </w:p>
    <w:p>
      <w:pPr>
        <w:jc w:val="both"/>
        <w:ind w:right="6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9.4 Limitations on Obligations of Mortgagees, Ground Lessors and Successors</w:t>
      </w:r>
      <w:r>
        <w:rPr>
          <w:rFonts w:ascii="Times New Roman" w:cs="Times New Roman" w:eastAsia="Times New Roman" w:hAnsi="Times New Roman"/>
          <w:sz w:val="14"/>
          <w:szCs w:val="14"/>
          <w:color w:val="auto"/>
        </w:rPr>
        <w:t>. Tenant agrees that the holder of a mortgage or ground lease or any successor-in-interest to any of them or to Landlord shall not be: (a) bound by any payment of an installment of Base Rent or Additional Rent which may have been made more than thirty (30) days before the due date of such installment;</w:t>
      </w:r>
    </w:p>
    <w:p>
      <w:pPr>
        <w:spacing w:after="0" w:line="1" w:lineRule="exact"/>
        <w:rPr>
          <w:sz w:val="20"/>
          <w:szCs w:val="20"/>
          <w:color w:val="auto"/>
        </w:rPr>
      </w:pPr>
    </w:p>
    <w:p>
      <w:pPr>
        <w:ind w:right="20" w:firstLine="4"/>
        <w:spacing w:after="0" w:line="252" w:lineRule="auto"/>
        <w:tabs>
          <w:tab w:leader="none" w:pos="198"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bound by any amendment or modification to this Lease made without the consent of the holder of a mortgage or ground lease or such successor in interest; (c) liable for any previous act or omission of Landlord (or its predecessors in interest); (d) responsible for any monies owing by Landlord to the credit of Tenant or subject to any credits, offsets, claims, counterclaims, demands or defenses which Tenant may have against Landlord (or any of its predecessors in interest); (e) bound by any covenant to undertake or complete any construction of the Premises or any portion thereof; or (f) obligated to make any payment to Tenant other than any security deposit actually delivered to holder of a mortgage or ground lease or such successor in interest. Further, Tenant agrees that it will not seek to terminate this Lease by reason of any act or omission of Landlord until Tenant shall have given written notice of such act or omission to the holder of such mortgage or ground lease (at such holder’s last address furnished to Tenant) and following the giving of such notice such holder shall have the right, but shall not be obligated, to remedy such act or omission within thirty (30) days after the time period provided for in this Lease for Landlord to cure the same or such longer period as may be reasonably necessary to cure the same so long as such holder is diligently prosecuting such cure. In the event of any inconsistency between this Section and any similar provision in any subordination, non-disturbance and attornment agreement entered into by Tenant and any mortgagee or ground lessor, the provisions of such subordination, non-disturbance and attornment agreement shall be controlling.</w:t>
      </w:r>
    </w:p>
    <w:p>
      <w:pPr>
        <w:spacing w:after="0" w:line="146" w:lineRule="exact"/>
        <w:rPr>
          <w:sz w:val="20"/>
          <w:szCs w:val="20"/>
          <w:color w:val="auto"/>
        </w:rPr>
      </w:pPr>
    </w:p>
    <w:p>
      <w:pPr>
        <w:jc w:val="both"/>
        <w:ind w:right="14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9.5 Estoppel Certificate By Tenant</w:t>
      </w:r>
      <w:r>
        <w:rPr>
          <w:rFonts w:ascii="Times New Roman" w:cs="Times New Roman" w:eastAsia="Times New Roman" w:hAnsi="Times New Roman"/>
          <w:sz w:val="14"/>
          <w:szCs w:val="14"/>
          <w:color w:val="auto"/>
        </w:rPr>
        <w:t>. Tenant agrees, at any time and from time to time, within ten (10) Business Days after written request by Landlord or any holder of a mortgage on all or a portion of the Project or the ground lessor thereof, (a) to execute, acknowledge and deliver to Landlord a statement in writing certifying that (except as may be otherwise specified by Tenant):</w:t>
      </w:r>
    </w:p>
    <w:p>
      <w:pPr>
        <w:spacing w:after="0" w:line="1" w:lineRule="exact"/>
        <w:rPr>
          <w:sz w:val="20"/>
          <w:szCs w:val="20"/>
          <w:color w:val="auto"/>
        </w:rPr>
      </w:pPr>
    </w:p>
    <w:p>
      <w:pPr>
        <w:ind w:firstLine="4"/>
        <w:spacing w:after="0" w:line="252" w:lineRule="auto"/>
        <w:tabs>
          <w:tab w:leader="none" w:pos="167"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Lease is presently in full force and effect and unmodified; (ii) Tenant has accepted possession of the Premises; (iii) any improvements required by the terms of this Lease to be made by Landlord have been completed to the satisfaction of Tenant; (iv) no rent under this Lease has been paid more than thirty (30) days in advance of its due date; (v) the addresses for notices to be sent to Tenant is as set forth in this Lease or as specified in such certificate; (vi) Tenant as of the date of executing the certificate has no charge, lien or claim of offset under this Lease, or otherwise, against rents or other charges due or to become due hereunder; (vii) Tenant is not in default under this Lease; (viii) to the best of Tenant’s knowledge, Landlord is not in default of this Lease; and (ix) such other information as Landlord may reasonably request about this Lease or Tenant’s occupancy; and (b) to deliver information in form satisfactory to Landlord and such holder or ground lessor concerning Tenant’s operations as may be reasonably requested, including but not limited to historic and current financial statements of Tenant, but only if such recipients agree in writing to keep such information confidential.</w:t>
      </w:r>
    </w:p>
    <w:p>
      <w:pPr>
        <w:spacing w:after="0" w:line="148" w:lineRule="exact"/>
        <w:rPr>
          <w:sz w:val="20"/>
          <w:szCs w:val="20"/>
          <w:color w:val="auto"/>
        </w:rPr>
      </w:pPr>
    </w:p>
    <w:p>
      <w:pPr>
        <w:ind w:right="14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9.6 Amendment of Declaration</w:t>
      </w:r>
      <w:r>
        <w:rPr>
          <w:rFonts w:ascii="Times New Roman" w:cs="Times New Roman" w:eastAsia="Times New Roman" w:hAnsi="Times New Roman"/>
          <w:sz w:val="14"/>
          <w:szCs w:val="14"/>
          <w:color w:val="auto"/>
        </w:rPr>
        <w:t>. Tenant agrees that the Declaration may be amended from time to time without the consent of Tenant, so long as such amendment does not materially adversely affect the use and enjoyment of the Premises by Tenant pursuant to this Lease, materially increase Tenant’s obligations in respect of Additional Rent, or further restrict Tenant’s ability to sublease or assign this Lease. All references herein to the Declaration shall be references to the Declaration as amended from time to time. Landlord shall provide Tenant with copies of any future amendments of the Declaration.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57" w:name="page558"/>
    <w:bookmarkEnd w:id="557"/>
    <w:p>
      <w:pPr>
        <w:ind w:left="5240"/>
        <w:spacing w:after="0"/>
        <w:rPr>
          <w:sz w:val="20"/>
          <w:szCs w:val="20"/>
          <w:color w:val="auto"/>
        </w:rPr>
      </w:pPr>
      <w:r>
        <w:rPr>
          <w:rFonts w:ascii="Times New Roman" w:cs="Times New Roman" w:eastAsia="Times New Roman" w:hAnsi="Times New Roman"/>
          <w:sz w:val="14"/>
          <w:szCs w:val="14"/>
          <w:b w:val="1"/>
          <w:bCs w:val="1"/>
          <w:u w:val="single" w:color="auto"/>
          <w:color w:val="auto"/>
        </w:rPr>
        <w:t>ARTICLE X</w:t>
      </w:r>
    </w:p>
    <w:p>
      <w:pPr>
        <w:spacing w:after="0" w:line="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u w:val="single" w:color="auto"/>
          <w:color w:val="auto"/>
        </w:rPr>
        <w:t>CASUALTY</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10.1 Damage From Casualty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right="20" w:firstLine="1155"/>
        <w:spacing w:after="0" w:line="253" w:lineRule="auto"/>
        <w:tabs>
          <w:tab w:leader="none" w:pos="1341"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portion of the Premises or the Building affecting Tenant’s use of the Premises is damaged by fire or other casualty, Tenant shall give Landlord written notice of such casualty promptly after Tenant becomes aware of such casualty. Within sixty (60) days after Tenant gives Landlord written notice of such casualty or Landlord otherwise becomes aware of such casualty, Landlord shall reasonably estimate, and give Tenant written notice of, the period commencing with the date of such notice (the </w:t>
      </w:r>
      <w:r>
        <w:rPr>
          <w:rFonts w:ascii="Times New Roman" w:cs="Times New Roman" w:eastAsia="Times New Roman" w:hAnsi="Times New Roman"/>
          <w:sz w:val="14"/>
          <w:szCs w:val="14"/>
          <w:u w:val="single" w:color="auto"/>
          <w:color w:val="auto"/>
        </w:rPr>
        <w:t>“Restoration Period</w:t>
      </w:r>
      <w:r>
        <w:rPr>
          <w:rFonts w:ascii="Times New Roman" w:cs="Times New Roman" w:eastAsia="Times New Roman" w:hAnsi="Times New Roman"/>
          <w:sz w:val="14"/>
          <w:szCs w:val="14"/>
          <w:color w:val="auto"/>
        </w:rPr>
        <w:t xml:space="preserve">”) that Landlord anticipates will be reasonably required to perform the restoration work with respect to the damage to the Premises and other portions of the Building affecting Tenant’s use of the Premises which is the responsibility of Landlord as provided below. If Landlord reasonably estimates that either (i) Tenant will not be able to occupy more than 50% of the Premises at any time during the nine months after the commencement of the Restoration Period or (ii) the Restoration Period will be longer than one year (or if less than one year, longer than the remaining Lease Term), then either Landlord or Tenant may terminate this Lease by giving to the other written notice of termination within fifteen (15) Business Days after Landlord gives Tenant written notice of such estimate. Such notice of termination shall be effective on the date thereof, and if Tenant is then occupying the Premises, Tenant shall thereafter have a reasonable period of time in which to vacate the Premises. If (i) Landlord reasonably estimates that the Restoration Period will be one year or shorter, or (ii) Landlord reasonably estimates that the Restoration Period will be longer than one year but neither Landlord nor Tenant exercises its right to terminate this Lease as set forth above, then this Lease shall not terminate; and in such event, Landlord shall, unless Landlord exercises its termination right pursuant to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with reasonable dispatch, repair or rebuild so much of the Premises (and those portions of the Building affecting Tenant’s use of the Premises, as applicable) as were originally constructed by Landlord to substantially their condition immediately prior to the casualty (subject, however, to Legal Requirements then in existence), and Tenant shall concurrently (to the extent practical and consistent with good construction practices) (i) repair and restore so much of the Premises as were constructed by Tenant or are the responsibility of Tenant under this Lease and (ii) repair and restore its fixtures and personal property (but only to the extent of the proceeds of insurance carried or required by this Lease to be carried by Tenant).</w:t>
      </w:r>
    </w:p>
    <w:p>
      <w:pPr>
        <w:spacing w:after="0" w:line="147" w:lineRule="exact"/>
        <w:rPr>
          <w:rFonts w:ascii="Times New Roman" w:cs="Times New Roman" w:eastAsia="Times New Roman" w:hAnsi="Times New Roman"/>
          <w:sz w:val="14"/>
          <w:szCs w:val="14"/>
          <w:color w:val="auto"/>
        </w:rPr>
      </w:pPr>
    </w:p>
    <w:p>
      <w:pPr>
        <w:ind w:right="40" w:firstLine="1155"/>
        <w:spacing w:after="0" w:line="261" w:lineRule="auto"/>
        <w:tabs>
          <w:tab w:leader="none" w:pos="1349"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10.1(a)</w:t>
      </w:r>
      <w:r>
        <w:rPr>
          <w:rFonts w:ascii="Times New Roman" w:cs="Times New Roman" w:eastAsia="Times New Roman" w:hAnsi="Times New Roman"/>
          <w:sz w:val="14"/>
          <w:szCs w:val="14"/>
          <w:color w:val="auto"/>
        </w:rPr>
        <w:t xml:space="preserve">, Landlord is required to restore the Premises (and those portions of the Building affecting Tenant’s use of the Premises, as applicable) and Landlord fails to substantially complete such restoration by the end of the Restoration Period (subject to extension for delays described in </w:t>
      </w:r>
      <w:r>
        <w:rPr>
          <w:rFonts w:ascii="Times New Roman" w:cs="Times New Roman" w:eastAsia="Times New Roman" w:hAnsi="Times New Roman"/>
          <w:sz w:val="14"/>
          <w:szCs w:val="14"/>
          <w:u w:val="single" w:color="auto"/>
          <w:color w:val="auto"/>
        </w:rPr>
        <w:t>Section 10.1(c)</w:t>
      </w:r>
      <w:r>
        <w:rPr>
          <w:rFonts w:ascii="Times New Roman" w:cs="Times New Roman" w:eastAsia="Times New Roman" w:hAnsi="Times New Roman"/>
          <w:sz w:val="14"/>
          <w:szCs w:val="14"/>
          <w:color w:val="auto"/>
        </w:rPr>
        <w:t xml:space="preserve"> and for delays beyond the reasonable control of Landlord), then Tenant shall have the right to terminate this Lease upon thirty (30) days prior written notice to Landlord. If Landlord fails to substantially complete such restoration work within such thirty (30) day period, then this Lease shall terminate as of such thirtieth (30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w:t>
      </w:r>
    </w:p>
    <w:p>
      <w:pPr>
        <w:spacing w:after="0" w:line="140" w:lineRule="exact"/>
        <w:rPr>
          <w:rFonts w:ascii="Times New Roman" w:cs="Times New Roman" w:eastAsia="Times New Roman" w:hAnsi="Times New Roman"/>
          <w:sz w:val="14"/>
          <w:szCs w:val="14"/>
          <w:color w:val="auto"/>
        </w:rPr>
      </w:pPr>
    </w:p>
    <w:p>
      <w:pPr>
        <w:ind w:right="160" w:firstLine="1155"/>
        <w:spacing w:after="0" w:line="261" w:lineRule="auto"/>
        <w:tabs>
          <w:tab w:leader="none" w:pos="1341"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Landlord shall not be responsible for any delay in commencement of restoration which may result from delays in adjustment or collection of insurance proceeds. Notwithstanding any other provisions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to the contrary, Landlord shall not be obligated to commence repair or restoration work prior to receipt of sufficient insurance proceeds, nor shall Landlord be required to expend sums in excess of “net recovered insurance proceeds”. The term “</w:t>
      </w:r>
      <w:r>
        <w:rPr>
          <w:rFonts w:ascii="Times New Roman" w:cs="Times New Roman" w:eastAsia="Times New Roman" w:hAnsi="Times New Roman"/>
          <w:sz w:val="14"/>
          <w:szCs w:val="14"/>
          <w:u w:val="single" w:color="auto"/>
          <w:color w:val="auto"/>
        </w:rPr>
        <w:t>net recovered insurance proceeds</w:t>
      </w:r>
      <w:r>
        <w:rPr>
          <w:rFonts w:ascii="Times New Roman" w:cs="Times New Roman" w:eastAsia="Times New Roman" w:hAnsi="Times New Roman"/>
          <w:sz w:val="14"/>
          <w:szCs w:val="14"/>
          <w:color w:val="auto"/>
        </w:rPr>
        <w:t>” shall mean the amount of any insurance proceeds actually recovered by Landlord, less the cost of obtaining the same (including attorneys’ fees and appraisal fees) and less the amount thereof required to be paid to a mortgagee or ground lessor.</w:t>
      </w:r>
    </w:p>
    <w:p>
      <w:pPr>
        <w:spacing w:after="0" w:line="141"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10.2 Abatement of Rent</w:t>
      </w:r>
      <w:r>
        <w:rPr>
          <w:rFonts w:ascii="Times New Roman" w:cs="Times New Roman" w:eastAsia="Times New Roman" w:hAnsi="Times New Roman"/>
          <w:sz w:val="14"/>
          <w:szCs w:val="14"/>
          <w:color w:val="auto"/>
        </w:rPr>
        <w:t xml:space="preserve">. In the event that the provisions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shall become applicable, the Base Rent, Tenant’s Project Share of Taxes and Project Operating Costs, and Tenant’s Building Share of Building Operating Costs shall be abated or reduced proportionately for the period in which, by reason of any such damage or destruction, there is substantial interference with the operation of the business of Tenant in the Premises, having regard to the extent to which Tenant may be required to discontinue its business in the Premises, and such abatement or reduction shall continue (but may be adjusted from time to time based on the extent of the interference with Tenant’s operations) for the period commencing with such destruction or damage and ending with the substantial completion by Landlord of such work, repair and/or reconstruction as Landlord may do.</w:t>
      </w:r>
    </w:p>
    <w:p>
      <w:pPr>
        <w:spacing w:after="0" w:line="144"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10.3 Landlord’s Right to Terminate</w:t>
      </w:r>
      <w:r>
        <w:rPr>
          <w:rFonts w:ascii="Times New Roman" w:cs="Times New Roman" w:eastAsia="Times New Roman" w:hAnsi="Times New Roman"/>
          <w:sz w:val="14"/>
          <w:szCs w:val="14"/>
          <w:color w:val="auto"/>
        </w:rPr>
        <w:t>. Notwithstanding the foregoing, Landlord may terminate this Lease following: (a) damage or destruction to the Premises to the extent of fifty (50%) or more of the cost of replacement thereof; (b) damage or destruction to the Building to the extent of thirty (30%) or more of the cost of replacement thereof; or (c) the refusal of the applicable insurance carrier to pay funds sufficient for the cost to repair or replace or the refusal of any applicable mortgagee or ground lessor to release the insurance proceeds for such purposes. Landlord may exercise the right to so terminate this Lease by written notice to Tenant given within sixty (60) days after the date of the damage or sixty (60) days after the date Landlord receives written notice of such damage, whichever is later. Such notice of termination shall be effective on the date thereof.</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558" w:name="page559"/>
    <w:bookmarkEnd w:id="558"/>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XI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EMINENT DOMAIN</w:t>
      </w:r>
    </w:p>
    <w:p>
      <w:pPr>
        <w:spacing w:after="0" w:line="16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11.1 Eminent Domain; Right to Terminate and Abatement in Rent</w:t>
      </w:r>
      <w:r>
        <w:rPr>
          <w:rFonts w:ascii="Times New Roman" w:cs="Times New Roman" w:eastAsia="Times New Roman" w:hAnsi="Times New Roman"/>
          <w:sz w:val="14"/>
          <w:szCs w:val="14"/>
          <w:color w:val="auto"/>
        </w:rPr>
        <w:t>. If the Premises or any part thereof, or the whole or any substantial part of the Building, shall be taken, or if a conveyance shall be made in anticipation thereof, for any street or other public use, by action of the municipal, state, federal or other authorities, or shall receive any substantial direct or consequential damage for which Landlord or Tenant shall be entitled to compensation by reason of anything lawfully done in pursuance of any public authority, after the execution hereof and before the expiration of the Lease Term, then this Lease and the Lease Term shall terminate at the election of Landlord (given by written notice to Tenant within ninety (90) days of the taking or within ninety (90) days of notice of the taking to Landlord), and such election may be made in case of any such taking notwithstanding the entire interest of Landlord may have been divested by such taking; and if Landlord does not so elect, then in case of any such taking or destruction of, or damage to, the Premises, rendering the same or any part thereof unfit for use and occupation, a just proportion of the Base Rent according to the nature and extent of the injury sustained by the Premises as determined by Landlord, shall be suspended or abated until the Premises or, in case of such taking, what may remain thereof, shall have been put in proper condition for use and occupation. To the extent that the Premises, upon having been put in proper condition for use and occupation are smaller, the Base Rent shall be reduced for the balance of the Lease Term in the same proportion which the reduction in space bears to the original Leasable Square Footage of the Premises. In the event of a taking of any portion of the Building, Tenant’s Share shall be recomputed.</w:t>
      </w:r>
    </w:p>
    <w:p>
      <w:pPr>
        <w:spacing w:after="0" w:line="146"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11.2 Restoration</w:t>
      </w:r>
      <w:r>
        <w:rPr>
          <w:rFonts w:ascii="Times New Roman" w:cs="Times New Roman" w:eastAsia="Times New Roman" w:hAnsi="Times New Roman"/>
          <w:sz w:val="14"/>
          <w:szCs w:val="14"/>
          <w:color w:val="auto"/>
        </w:rPr>
        <w:t xml:space="preserve">. If this Lease is not terminated as provided in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Landlord shall apply so much of the available proceeds of the eminent domain award as are required to restore the Project and the Premises to a condition, to the extent practical, substantially the same as that immediately preceding the taking, but subject to zoning laws and building codes then in existence. If the available proceeds of the eminent domain award are insufficient, in Landlord’s judgment, for that purpose, Landlord shall have no obligation to expend funds in excess of said proceeds and Landlord shall have the right to select which portions of the Project, if any, shall be restored. The term “</w:t>
      </w:r>
      <w:r>
        <w:rPr>
          <w:rFonts w:ascii="Times New Roman" w:cs="Times New Roman" w:eastAsia="Times New Roman" w:hAnsi="Times New Roman"/>
          <w:sz w:val="14"/>
          <w:szCs w:val="14"/>
          <w:u w:val="single" w:color="auto"/>
          <w:color w:val="auto"/>
        </w:rPr>
        <w:t>available proceeds</w:t>
      </w:r>
      <w:r>
        <w:rPr>
          <w:rFonts w:ascii="Times New Roman" w:cs="Times New Roman" w:eastAsia="Times New Roman" w:hAnsi="Times New Roman"/>
          <w:sz w:val="14"/>
          <w:szCs w:val="14"/>
          <w:color w:val="auto"/>
        </w:rPr>
        <w:t>” shall mean the amount of the award paid to Landlord, less cost of obtaining the same (including attorneys’ fees and appraisal fees) and less the amount thereof required to be paid to a mortgagee or ground lessor. In the event Landlord fails to commence restoration of the Project and/or the Premises within sixty (60) days after the taking, Tenant shall have the right to terminate the Lease upon sixty (60) days’ prior written notice to Landlord.</w:t>
      </w:r>
    </w:p>
    <w:p>
      <w:pPr>
        <w:spacing w:after="0" w:line="143"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11.3 Landlord to Control Eminent Domain Action</w:t>
      </w:r>
      <w:r>
        <w:rPr>
          <w:rFonts w:ascii="Times New Roman" w:cs="Times New Roman" w:eastAsia="Times New Roman" w:hAnsi="Times New Roman"/>
          <w:sz w:val="14"/>
          <w:szCs w:val="14"/>
          <w:color w:val="auto"/>
        </w:rPr>
        <w:t>. Landlord reserves all rights to compensation for damage to the Premises or any part thereof, or the leasehold hereby created, heretofore accrued or hereafter to accrue, by reason of any taking for public use of the Premises or any portion thereof, or right appurtenant thereto, or privilege or easement in, through, under or over the same, and by way of confirmation of the foregoing Tenant hereby assigns all rights to such damages heretofore accrued or hereafter accruing during the Lease Term to Landlord. Provided, however, nothing herein contained shall limit Tenant’s right to any separate award for the taking of personal property, moving and other relocation expenses, or other items the payment of which shall not reduce the award payable to Landlord.</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XII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DEFAULT AND REMEDIES</w:t>
      </w:r>
    </w:p>
    <w:p>
      <w:pPr>
        <w:spacing w:after="0" w:line="161"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12.1 Event of Default</w:t>
      </w:r>
      <w:r>
        <w:rPr>
          <w:rFonts w:ascii="Times New Roman" w:cs="Times New Roman" w:eastAsia="Times New Roman" w:hAnsi="Times New Roman"/>
          <w:sz w:val="14"/>
          <w:szCs w:val="14"/>
          <w:color w:val="auto"/>
        </w:rPr>
        <w:t>. As used herein, “Event of Default” shall mean the occurrence and/or existence of any one or more of the following: (a) (i) Tenant shall fail to pay any installment of Base Rent, Additional Rent or any other amount due under this Lease on or before the date on which the same becomes due and payable, and such failure continues for five (5) days after written notice from Landlord thereof or (ii) Landlord having given the notice specified in the foregoing clause (a)(i) to Tenant twice in any twelve (12) month period, Tenant shall fail, on a third occasion within the twelve (12) months following the giving of the first such notice by Landlord, to pay any installment of Base Rent, Additional Rent or any other amount due under this Lease on or before the date on which the same becomes due and payable; or (b) Tenant shall neglect or fail to perform or observe any of the other covenants or undertakings herein on its part to be performed or observed and such neglect or failure shall continue for thirty (30) days after notice to Tenant; provided, however, that if the default is other than a default under clause (a) above, or clauses (c) through</w:t>
      </w:r>
    </w:p>
    <w:p>
      <w:pPr>
        <w:spacing w:after="0" w:line="2" w:lineRule="exact"/>
        <w:rPr>
          <w:sz w:val="20"/>
          <w:szCs w:val="20"/>
          <w:color w:val="auto"/>
        </w:rPr>
      </w:pPr>
    </w:p>
    <w:p>
      <w:pPr>
        <w:ind w:right="80" w:firstLine="4"/>
        <w:spacing w:after="0" w:line="252" w:lineRule="auto"/>
        <w:tabs>
          <w:tab w:leader="none" w:pos="167"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 and is such that it cannot be cured within thirty (30) days, but is capable of being cured, such thirty (30) day period shall be extended by up to sixty (60) additional days provided that Tenant commences to cure such default within said thirty (30) day period, continues to do so diligently, and thereafter completes such cure within not more than ninety (90) days following the notice of default; or (c) there is filed by Tenant any case, petition, proceeding or other action under any Bankruptcy Law; or (d) any other proceedings shall be instituted against Tenant under any Bankruptcy Law and not be dismissed within sixty (60) days; or (e) Tenant shall execute an assignment of its property for the benefit of its creditors; or (f) a receiver, custodian or other similar officer for Tenant shall be appointed and not be discharged within sixty (60) days; or (g) the estate hereby created shall be taken by execution or by other process of law and is not redeemed by Tenant within thirty (30) days thereafter; or (h) an assignment or sublease in violation of the terms of this Lease; or (i) any other event constituting an Event of Default under other Sections of this Lease.</w:t>
      </w:r>
    </w:p>
    <w:p>
      <w:pPr>
        <w:spacing w:after="0" w:line="64" w:lineRule="exact"/>
        <w:rPr>
          <w:rFonts w:ascii="Times New Roman" w:cs="Times New Roman" w:eastAsia="Times New Roman" w:hAnsi="Times New Roman"/>
          <w:sz w:val="14"/>
          <w:szCs w:val="14"/>
          <w:color w:val="auto"/>
        </w:rPr>
      </w:pPr>
    </w:p>
    <w:p>
      <w:pPr>
        <w:ind w:left="5580" w:hanging="88"/>
        <w:spacing w:after="0"/>
        <w:tabs>
          <w:tab w:leader="none" w:pos="5580" w:val="left"/>
        </w:tabs>
        <w:numPr>
          <w:ilvl w:val="1"/>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4"/>
          <w:szCs w:val="14"/>
          <w:u w:val="single" w:color="auto"/>
          <w:color w:val="auto"/>
        </w:rPr>
        <w:t>Section 12.2 Landlord’s Remedies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20" w:right="20" w:firstLine="1162"/>
        <w:spacing w:after="0" w:line="257" w:lineRule="auto"/>
        <w:tabs>
          <w:tab w:leader="none" w:pos="829"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occurrence of an Event of Default, Landlord may, immediately or at any time thereafter (notwithstanding any license or waiver of any former breach or waiver of the benefit hereof, or consent in a former instance), and without further demand or notice, in person or by agent or attorney, enter the Premises or any part thereof and repossess the same as of its former estate, or terminate this Lease by written notice to Tenant, and in either event expel Tenant and those claiming through or under it and remove their effects (forcibly, if necessary) without being deemed guilty of any manner of trespass and without prejudice to any remedy which might otherwise be used for arrears of Base Rent or Additional Rent or breach of covenant, and upon entry or written notice of termination, or automatic termination, both as aforesaid, this Lease shall terminate and Landlord, in addition to all other remedies which it may have at law or equity, and not in limitation thereof, shall have the remedies provided in this </w:t>
      </w:r>
      <w:r>
        <w:rPr>
          <w:rFonts w:ascii="Times New Roman" w:cs="Times New Roman" w:eastAsia="Times New Roman" w:hAnsi="Times New Roman"/>
          <w:sz w:val="14"/>
          <w:szCs w:val="14"/>
          <w:u w:val="single" w:color="auto"/>
          <w:color w:val="auto"/>
        </w:rPr>
        <w:t>Article XII</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520" w:right="60" w:firstLine="1162"/>
        <w:spacing w:after="0" w:line="253" w:lineRule="auto"/>
        <w:tabs>
          <w:tab w:leader="none" w:pos="837"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12.2(a)</w:t>
      </w:r>
      <w:r>
        <w:rPr>
          <w:rFonts w:ascii="Times New Roman" w:cs="Times New Roman" w:eastAsia="Times New Roman" w:hAnsi="Times New Roman"/>
          <w:sz w:val="14"/>
          <w:szCs w:val="14"/>
          <w:color w:val="auto"/>
        </w:rPr>
        <w:t>, Landlord terminates Tenant’s right of possession of the Premises without terminating this Lease, then Tenant shall pay to Landlord during the remainder of the Lease Term the Base Rent and Additional Rent in installments as and when the same become due and payable, subject to reduction by any rent actually received by Landlord as a result of a re-letting of the Premises (net of the reasonable and customary costs of re-letting, including remodeling costs, brokerage commissions and attorneys’ fees). Landlord shall exercise commercially reasonable efforts to re-let the Premises to mitigate damages, and Landlord may re-let the Premises or any part or parts thereof, either in the name of Landlord or otherwise for a term or terms which may, at Landlord’s option, be less than or exceed the period which would otherwise have constituted the balance of the Lease Term and may grant concessions or free rent. The marketing of the Premises in a manner similar to the manner in which Landlord markets other premises within Landlord’s control within the Building shall be deemed to have satisfied Landlord’s obligation to use “reasonable efforts” hereunder. In no event shall Landlord be required to (i) solicit or entertain negotiations with any other prospective tenant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 then prevailing for similar office space in the Building. The good faith failure of Landlord to re-let the Premises or any part or parts thereof, or, if the Premises are re-let, the good faith failure to collect the rents due under such re-letting, shall not release or affect Tenant’s liability for damage so long as Landlord does not act arbitrarily or capriciously. Any suit brought to collect the amount of the deficiency for any month or other period shall not prejudice in any way the right of Landlord to collect the deficiency for any subsequent month or period by a similar proceeding. Landlord, at Landlord’s option, may make such alterations, repairs, replacements and decorations on the Premises as Landlord in Landlord’s sole but reasonable judgment considers advisable and necessary for the purpose of re-letting the Premises, and the making of such alterations or decorations shall not operate or be construed to release Tenant from liability hereunder.</w:t>
      </w:r>
    </w:p>
    <w:p>
      <w:pPr>
        <w:spacing w:after="0" w:line="147" w:lineRule="exact"/>
        <w:rPr>
          <w:rFonts w:ascii="Times New Roman" w:cs="Times New Roman" w:eastAsia="Times New Roman" w:hAnsi="Times New Roman"/>
          <w:sz w:val="14"/>
          <w:szCs w:val="14"/>
          <w:color w:val="auto"/>
        </w:rPr>
      </w:pPr>
    </w:p>
    <w:p>
      <w:pPr>
        <w:ind w:left="-520" w:firstLine="1162"/>
        <w:spacing w:after="0" w:line="254" w:lineRule="auto"/>
        <w:tabs>
          <w:tab w:leader="none" w:pos="829"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12.2(a)</w:t>
      </w:r>
      <w:r>
        <w:rPr>
          <w:rFonts w:ascii="Times New Roman" w:cs="Times New Roman" w:eastAsia="Times New Roman" w:hAnsi="Times New Roman"/>
          <w:sz w:val="14"/>
          <w:szCs w:val="14"/>
          <w:color w:val="auto"/>
        </w:rPr>
        <w:t xml:space="preserve">, Landlord terminates this Lease, Tenant shall forthwith pay to Landlord as damages, in addition to all sums which were due prior to the date of such termination, a sum equal to the amount by which the Base Rent and Additional Rent for the remainder of the Lease Term exceeds the fair rental value of the Premises for the remainder of the Lease Term, discounted to present value using a then market rate of interest as reasonably determined by Landlord. For the purposes of computing damages payable pursuant to this </w:t>
      </w:r>
      <w:r>
        <w:rPr>
          <w:rFonts w:ascii="Times New Roman" w:cs="Times New Roman" w:eastAsia="Times New Roman" w:hAnsi="Times New Roman"/>
          <w:sz w:val="14"/>
          <w:szCs w:val="14"/>
          <w:u w:val="single" w:color="auto"/>
          <w:color w:val="auto"/>
        </w:rPr>
        <w:t>Section 12.2(c)</w:t>
      </w:r>
      <w:r>
        <w:rPr>
          <w:rFonts w:ascii="Times New Roman" w:cs="Times New Roman" w:eastAsia="Times New Roman" w:hAnsi="Times New Roman"/>
          <w:sz w:val="14"/>
          <w:szCs w:val="14"/>
          <w:color w:val="auto"/>
        </w:rPr>
        <w:t xml:space="preserve">, the Additional Rent with respect to Taxes, Insurance Costs and Operating Costs for the remainder of the Lease Term will be assumed to be the product of such Additional Rent for the most recently ended fiscal, calendar or lease year, as the case may be, times the number of years remaining of the Lease Term. For the purposes of this Article, if Landlord elects to require Tenant to pay liquidated damages in accordance with this </w:t>
      </w:r>
      <w:r>
        <w:rPr>
          <w:rFonts w:ascii="Times New Roman" w:cs="Times New Roman" w:eastAsia="Times New Roman" w:hAnsi="Times New Roman"/>
          <w:sz w:val="14"/>
          <w:szCs w:val="14"/>
          <w:u w:val="single" w:color="auto"/>
          <w:color w:val="auto"/>
        </w:rPr>
        <w:t>Section 12.2</w:t>
      </w:r>
      <w:r>
        <w:rPr>
          <w:rFonts w:ascii="Times New Roman" w:cs="Times New Roman" w:eastAsia="Times New Roman" w:hAnsi="Times New Roman"/>
          <w:sz w:val="14"/>
          <w:szCs w:val="14"/>
          <w:color w:val="auto"/>
        </w:rPr>
        <w:t xml:space="preserve"> the total rent shall be computed by assuming the Tenant’s Project Share of Project Taxes, the Tenant’s Project Share of Project Operating Expenses, the Tenant’s Project Share of Insurance Costs, the Tenant’s Building Share of Building Taxes, the Tenant’s Building Share of Building Operating Expenses and the Tenant’s Building Share of Insurance Costs under this Lease to be the same as were payable for the twelve (12) calendar months (or if less than twelve (12) calendar months have been elapsed since the date hereof, the partial year) immediately preceding such termination of re-entry.</w:t>
      </w:r>
    </w:p>
    <w:p>
      <w:pPr>
        <w:spacing w:after="0" w:line="148" w:lineRule="exact"/>
        <w:rPr>
          <w:rFonts w:ascii="Times New Roman" w:cs="Times New Roman" w:eastAsia="Times New Roman" w:hAnsi="Times New Roman"/>
          <w:sz w:val="14"/>
          <w:szCs w:val="14"/>
          <w:color w:val="auto"/>
        </w:rPr>
      </w:pPr>
    </w:p>
    <w:p>
      <w:pPr>
        <w:ind w:left="-520" w:right="60" w:firstLine="1162"/>
        <w:spacing w:after="0" w:line="283" w:lineRule="auto"/>
        <w:tabs>
          <w:tab w:leader="none" w:pos="837"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will be responsible to Landlord for all expenses which Landlord may incur in connection with the enforcement of Landlord’s rights after an Event of Default, including, without limitation, reasonable legal expenses, attorneys’ fees, brokerage fees, and the cost of putting the Premises in good order or preparing the same for rental.</w:t>
      </w:r>
    </w:p>
    <w:p>
      <w:pPr>
        <w:spacing w:after="0" w:line="124" w:lineRule="exact"/>
        <w:rPr>
          <w:rFonts w:ascii="Times New Roman" w:cs="Times New Roman" w:eastAsia="Times New Roman" w:hAnsi="Times New Roman"/>
          <w:sz w:val="14"/>
          <w:szCs w:val="14"/>
          <w:color w:val="auto"/>
        </w:rPr>
      </w:pPr>
    </w:p>
    <w:p>
      <w:pPr>
        <w:ind w:left="-520" w:right="120" w:firstLine="1162"/>
        <w:spacing w:after="0" w:line="258" w:lineRule="auto"/>
        <w:tabs>
          <w:tab w:leader="none" w:pos="829"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for itself and any and all persons claiming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statute,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59" w:lineRule="exact"/>
        <w:rPr>
          <w:rFonts w:ascii="Times New Roman" w:cs="Times New Roman" w:eastAsia="Times New Roman" w:hAnsi="Times New Roman"/>
          <w:sz w:val="14"/>
          <w:szCs w:val="14"/>
          <w:color w:val="auto"/>
        </w:rPr>
      </w:pPr>
    </w:p>
    <w:p>
      <w:pPr>
        <w:ind w:left="5060" w:hanging="88"/>
        <w:spacing w:after="0"/>
        <w:tabs>
          <w:tab w:leader="none" w:pos="5060" w:val="left"/>
        </w:tabs>
        <w:numPr>
          <w:ilvl w:val="1"/>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966" w:right="319" w:bottom="1440" w:gutter="0" w:footer="0" w:header="0"/>
        </w:sectPr>
      </w:pPr>
    </w:p>
    <w:bookmarkStart w:id="560" w:name="page561"/>
    <w:bookmarkEnd w:id="560"/>
    <w:p>
      <w:pPr>
        <w:ind w:firstLine="511"/>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12.3 Reimbursement of Landlord</w:t>
      </w:r>
      <w:r>
        <w:rPr>
          <w:rFonts w:ascii="Times New Roman" w:cs="Times New Roman" w:eastAsia="Times New Roman" w:hAnsi="Times New Roman"/>
          <w:sz w:val="14"/>
          <w:szCs w:val="14"/>
          <w:color w:val="auto"/>
        </w:rPr>
        <w:t xml:space="preserve">. Upon the occurrence of an Event of Default, Tenant will, in addition to paying Landlord all amounts due under the terms and provisions of this Lease, including, without limitation, </w:t>
      </w:r>
      <w:r>
        <w:rPr>
          <w:rFonts w:ascii="Times New Roman" w:cs="Times New Roman" w:eastAsia="Times New Roman" w:hAnsi="Times New Roman"/>
          <w:sz w:val="14"/>
          <w:szCs w:val="14"/>
          <w:u w:val="single" w:color="auto"/>
          <w:color w:val="auto"/>
        </w:rPr>
        <w:t>Section 12.9</w:t>
      </w:r>
      <w:r>
        <w:rPr>
          <w:rFonts w:ascii="Times New Roman" w:cs="Times New Roman" w:eastAsia="Times New Roman" w:hAnsi="Times New Roman"/>
          <w:sz w:val="14"/>
          <w:szCs w:val="14"/>
          <w:color w:val="auto"/>
        </w:rPr>
        <w:t xml:space="preserve">, reimburse Landlord for all reasonable expenses incurred by Landlord in collecting such rent or in obtaining possession of, or in re-letting the Premises, or in defending any action, including expenses for reasonable counsel fees and commissions. Tenant further agrees that, if on termination of this Lease by expiration or otherwise, Tenant shall fail to remove any of its property from the Premises as provided for herein, Landlord shall be authorized, in its sole option, and in Tenant’s name and on its behalf, either (a) to cause such property to be removed and placed in storage for the account and at the expense of Tenant; or (b) to sell such property at public or private sale, with or without notice, and to apply the proceeds thereof, after the payment of all expenses of removal, storage and sale, to the indebtedness, if any, of Tenant to Landlord, the surplus, if any, to be paid to Tenant. All sums payable by Tenant under this </w:t>
      </w:r>
      <w:r>
        <w:rPr>
          <w:rFonts w:ascii="Times New Roman" w:cs="Times New Roman" w:eastAsia="Times New Roman" w:hAnsi="Times New Roman"/>
          <w:sz w:val="14"/>
          <w:szCs w:val="14"/>
          <w:u w:val="single" w:color="auto"/>
          <w:color w:val="auto"/>
        </w:rPr>
        <w:t>Article XII</w:t>
      </w:r>
      <w:r>
        <w:rPr>
          <w:rFonts w:ascii="Times New Roman" w:cs="Times New Roman" w:eastAsia="Times New Roman" w:hAnsi="Times New Roman"/>
          <w:sz w:val="14"/>
          <w:szCs w:val="14"/>
          <w:color w:val="auto"/>
        </w:rPr>
        <w:t xml:space="preserve"> shall be deemed Additional Rent.</w:t>
      </w:r>
    </w:p>
    <w:p>
      <w:pPr>
        <w:spacing w:after="0" w:line="144"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12.4 Landlord’s Right to Perform Tenant’s Covenants</w:t>
      </w:r>
      <w:r>
        <w:rPr>
          <w:rFonts w:ascii="Times New Roman" w:cs="Times New Roman" w:eastAsia="Times New Roman" w:hAnsi="Times New Roman"/>
          <w:sz w:val="14"/>
          <w:szCs w:val="14"/>
          <w:color w:val="auto"/>
        </w:rPr>
        <w:t>. Tenant covenants and agrees that, if it shall at any time fail to make any payment or perform any other act on its part to be made or performed as in this Lease; provided, Landlord, in its sole discretion may after due notice and after the expiration of the cure period provided in this Lease, to, or demand upon, Tenant, make any payment or perform any other act on the part of Tenant to be made and performed as in this Lease provided, in such manner and to such extent as Landlord may reasonably deem desirable, and in exercising any such rights, Landlord may pay necessary and incidental costs and expenses, employ counsel, and incur and pay reasonable attorneys’ fees. The making of any such payment or the performing of any other act by Landlord pursuant to this Article shall not waive, or release Tenant from, any obligations of Tenant in this Lease contained. All sums so paid by Landlord and all reasonably necessary and incidental costs and expenses in connection with the performance of any such act by Landlord shall, except as otherwise in this Lease expressly provided, be payable to Landlord on demand, and Tenant covenants to pay any such sum or sums promptly, and Landlord shall have (in addition to any other right or remedy of Landlord) the same rights and remedies in the event of the non-payment thereof by Tenant as in the case of default by Tenant in the payment of the Base Rent. Whenever practicable, Landlord, before proceeding as provided in this Section, shall give Tenant notice in writing of the failure of Tenant which Landlord proposes to remedy, and shall allow Tenant such length of time as may be reasonable in the circumstances, consistent with any grace periods contained herein, but not exceeding ten (10) Business Days from the giving of notice, to remedy the failure itself and, if Tenant shall not remedy the failure in the time so allowed, Landlord shall be deemed to have given “due notice” and may proceed as provided in this Section; provided, however, that nothing in this Section shall prevent Landlord from acting without notice to Tenant in case of any emergency wherein there is danger to property or person or where there may exist any violation of Legal Requirements including but not limited to the presence of Hazardous Materials, in which event no notice shall be required.</w:t>
      </w:r>
    </w:p>
    <w:p>
      <w:pPr>
        <w:spacing w:after="0" w:line="149"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12.5 Cumulative Remedies</w:t>
      </w:r>
      <w:r>
        <w:rPr>
          <w:rFonts w:ascii="Times New Roman" w:cs="Times New Roman" w:eastAsia="Times New Roman" w:hAnsi="Times New Roman"/>
          <w:sz w:val="14"/>
          <w:szCs w:val="14"/>
          <w:color w:val="auto"/>
        </w:rPr>
        <w:t>. The specified remedies to which Landlord may resort under the terms of this Lease, or under the provisions of applicable law, are cumulative and not intended to be exclusive of any other remedies or means of redress to which Landlord may be lawfully entitled in case of any breach or threatened breach by Tenant of any provisions of this Lease. The failure of Landlord to insist in any one or more cases upon the strict performance of any of the covenants of this Lease or to exercise any option contained herein shall not be construed as a waiver or a relinquishment for the future of such covenant or option. Receipt by Landlord of any Base Rent or Additional Rent payment with knowledge of the breach of any covenants hereof shall not be deemed a waiver of such breach. No waiver by Landlord of any provision of this Lease shall be deemed to have been made unless expressed in writing and signed by it. In addition to the other remedies provided in this Lease, Landlord shall be entitled to restraint by injunction of any violation or attempted or threatened violation of any of the covenants, conditions or provisions of this Lease.</w:t>
      </w:r>
    </w:p>
    <w:p>
      <w:pPr>
        <w:spacing w:after="0" w:line="143"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12.6 Expenses of Enforcement</w:t>
      </w:r>
      <w:r>
        <w:rPr>
          <w:rFonts w:ascii="Times New Roman" w:cs="Times New Roman" w:eastAsia="Times New Roman" w:hAnsi="Times New Roman"/>
          <w:sz w:val="14"/>
          <w:szCs w:val="14"/>
          <w:color w:val="auto"/>
        </w:rPr>
        <w:t>. Tenant agrees to pay all reasonable expenses and reasonable attorneys’ fees incurred by Landlord in enforcing any obligation or any remedies hereunder including, without limitation, in connection with collection of Base Rent or Additional Rent, recovery by Landlord of the Premises, or in any litigation in which Landlord shall become involved by reason of any act or negligence of any of Tenant’s Invitees or any breach of this Lease by Tenant. Landlord agrees to pay all reasonable expenses and reasonable attorneys’ fees incurred by Tenant in enforcing any obligation or any remedies hereunder including any litigation in which Tenant shall become involved by reason of any act or negligence of Landlord or any breach of this Lease by Landlord.</w:t>
      </w:r>
    </w:p>
    <w:p>
      <w:pPr>
        <w:spacing w:after="0" w:line="144"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4"/>
          <w:szCs w:val="14"/>
          <w:u w:val="single" w:color="auto"/>
          <w:color w:val="auto"/>
        </w:rPr>
        <w:t>Section 12.7 Landlord’s Default</w:t>
      </w:r>
      <w:r>
        <w:rPr>
          <w:rFonts w:ascii="Times New Roman" w:cs="Times New Roman" w:eastAsia="Times New Roman" w:hAnsi="Times New Roman"/>
          <w:sz w:val="14"/>
          <w:szCs w:val="14"/>
          <w:color w:val="auto"/>
        </w:rPr>
        <w:t xml:space="preserve">. Landlord shall not be deemed to be in default hereunder unless such default shall remain uncured for more than thirty (30) days following written notice from Tenant to Landlord specifying the nature of such default, or such longer period as may be reasonably required to correct such default. Landlord’s liability to keep, maintain, and repair shall always be limited to the cost of making such repair or accomplishing such maintenance or repair. In no event whatsoever shall Landlord be liable for consequential or any indirect damages. The provisions of this Section are further subject to the provisions of </w:t>
      </w:r>
      <w:r>
        <w:rPr>
          <w:rFonts w:ascii="Times New Roman" w:cs="Times New Roman" w:eastAsia="Times New Roman" w:hAnsi="Times New Roman"/>
          <w:sz w:val="14"/>
          <w:szCs w:val="14"/>
          <w:u w:val="single" w:color="auto"/>
          <w:color w:val="auto"/>
        </w:rPr>
        <w:t>Articles 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XI</w:t>
      </w:r>
      <w:r>
        <w:rPr>
          <w:rFonts w:ascii="Times New Roman" w:cs="Times New Roman" w:eastAsia="Times New Roman" w:hAnsi="Times New Roman"/>
          <w:sz w:val="14"/>
          <w:szCs w:val="14"/>
          <w:color w:val="auto"/>
        </w:rPr>
        <w:t xml:space="preserve"> dealing with eminent domain and fire and other casualty, and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dealing with interruption of services. Tenant hereby acknowledges and agrees that the obligations of Tenant hereunder shall be separate and independent covenants and agreements, that the obligations of Tenant hereunder, including, without limitation the obligation to pay Base Rent and Additional Rent and other sums due hereunder, shall continue unaffected, unless the requirement to pay or perform the same shall have been terminated or abated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61" w:name="page562"/>
    <w:bookmarkEnd w:id="561"/>
    <w:p>
      <w:pPr>
        <w:ind w:right="60" w:firstLine="511"/>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12.8 Limitation of Landlord’s Liability</w:t>
      </w:r>
      <w:r>
        <w:rPr>
          <w:rFonts w:ascii="Times New Roman" w:cs="Times New Roman" w:eastAsia="Times New Roman" w:hAnsi="Times New Roman"/>
          <w:sz w:val="14"/>
          <w:szCs w:val="14"/>
          <w:color w:val="auto"/>
        </w:rPr>
        <w:t>. The obligations of Landlord hereunder shall be binding upon Landlord and each succeeding owner of Landlord’s interest hereunder only during the period of such ownership, and Landlord and each succeeding owner shall have no liability whatsoever except for its obligations during each such respective period. Tenant hereby agrees for itself and each succeeding holder of Tenant’s interest, or any portion thereof, hereunder, that any judgment, decree or award obtained against Landlord or any succeeding owner of Landlord’s interest, which is in any manner related to this Lease, the Premises or Tenant’s use and occupancy of the Premises or the Common Areas, or the remainder of the Project, whether at law or in equity, shall be satisfied out of Landlord’s equity in the land and buildings then comprising the Project to the extent then owned by Landlord and such succeeding owner, and further agrees to look only to such assets (or proceeds thereof) and to no other assets of Landlord, or such succeeding owner, for satisfaction. Neither Landlord nor any Person executing this Lease on behalf of Landlord, nor any partner, limited or general, or any officer, director, employee, member, trustee, beneficiary, or owner of Landlord, nor any subsequent Landlord, or any partner, limited or general, or any officer, director, employee, member, trustee, beneficiary, or owner of any subsequent Landlord shall have any personal liability hereunder. The remedies provided to Tenant in this Lease are exclusive, and Landlord will not be liable under any theory of recovery, whether based on contract, tort or otherwise.</w:t>
      </w:r>
    </w:p>
    <w:p>
      <w:pPr>
        <w:spacing w:after="0" w:line="149"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4"/>
          <w:szCs w:val="14"/>
          <w:u w:val="single" w:color="auto"/>
          <w:color w:val="auto"/>
        </w:rPr>
        <w:t>Section 12.9 Late Payment and Administrative Expense</w:t>
      </w:r>
      <w:r>
        <w:rPr>
          <w:rFonts w:ascii="Times New Roman" w:cs="Times New Roman" w:eastAsia="Times New Roman" w:hAnsi="Times New Roman"/>
          <w:sz w:val="14"/>
          <w:szCs w:val="14"/>
          <w:color w:val="auto"/>
        </w:rPr>
        <w:t>. If Tenant shall fail to pay Base Rent, Additional Rent or other charges after the same become due and payable under this Lease, such unpaid amounts shall bear interest from the due date thereof to the date of payment at the lesser of (a) a per annum rate equal to two and one-half percent (2.5%) plus the prime rate of Bank of America (or any successor) in effect on the day the payment became due and subject to change thereafter or (b) the maximum rate permitted by applicable law (“</w:t>
      </w:r>
      <w:r>
        <w:rPr>
          <w:rFonts w:ascii="Times New Roman" w:cs="Times New Roman" w:eastAsia="Times New Roman" w:hAnsi="Times New Roman"/>
          <w:sz w:val="14"/>
          <w:szCs w:val="14"/>
          <w:u w:val="single" w:color="auto"/>
          <w:color w:val="auto"/>
        </w:rPr>
        <w:t>Interest Payment</w:t>
      </w:r>
      <w:r>
        <w:rPr>
          <w:rFonts w:ascii="Times New Roman" w:cs="Times New Roman" w:eastAsia="Times New Roman" w:hAnsi="Times New Roman"/>
          <w:sz w:val="14"/>
          <w:szCs w:val="14"/>
          <w:color w:val="auto"/>
        </w:rPr>
        <w:t>”); provided that no such late payment shall apply to the first delinquent payment by Tenant in any 12 month period. In addition, if Landlord is required to redeposit any check which is returned for insufficient funds or if Tenant shall fail to pay Base Rent, Additional Rent or other charges on or before the date on which the same become due and payable, then Tenant shall also pay to Landlord an administrative expense charge (“</w:t>
      </w:r>
      <w:r>
        <w:rPr>
          <w:rFonts w:ascii="Times New Roman" w:cs="Times New Roman" w:eastAsia="Times New Roman" w:hAnsi="Times New Roman"/>
          <w:sz w:val="14"/>
          <w:szCs w:val="14"/>
          <w:u w:val="single" w:color="auto"/>
          <w:color w:val="auto"/>
        </w:rPr>
        <w:t>Administrative Expense</w:t>
      </w:r>
      <w:r>
        <w:rPr>
          <w:rFonts w:ascii="Times New Roman" w:cs="Times New Roman" w:eastAsia="Times New Roman" w:hAnsi="Times New Roman"/>
          <w:sz w:val="14"/>
          <w:szCs w:val="14"/>
          <w:color w:val="auto"/>
        </w:rPr>
        <w:t>”) of three percent (3.0%) of the amount thereof for each calendar month or part thereof after the due date of such payment until such payment is received by Landlord. The provisions herein for Interest Payment and Administrative Expense shall not be construed to relieve Tenant of the obligation to pay Base Rent, Additional Rent and all other charges when due under this Lease and shall be in addition to and not in limitation of Landlord’s other remedies as provided for in this Lease.</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ARTICLE XIII</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 PROVISIONS</w:t>
      </w:r>
    </w:p>
    <w:p>
      <w:pPr>
        <w:spacing w:after="0" w:line="161"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13.1 Brokers</w:t>
      </w:r>
      <w:r>
        <w:rPr>
          <w:rFonts w:ascii="Times New Roman" w:cs="Times New Roman" w:eastAsia="Times New Roman" w:hAnsi="Times New Roman"/>
          <w:sz w:val="14"/>
          <w:szCs w:val="14"/>
          <w:color w:val="auto"/>
        </w:rPr>
        <w:t>. Each party represents that it has not dealt with any Person in connection with the Premises or the negotiation or execution of this Lease other than officers, employees and attorneys of Landlord and Brokers. Each party shall indemnify and save harmless the other from and against all claims, liabilities, costs and expenses incurred as a result of any breach of the foregoing representation. The broker’s fees payable to Brokers for this Lease, if any, shall be payable by Landlord subject to and in accordance with the terms of a separate agreement between Landlord and Brokers.</w:t>
      </w:r>
    </w:p>
    <w:p>
      <w:pPr>
        <w:spacing w:after="0" w:line="141" w:lineRule="exact"/>
        <w:rPr>
          <w:sz w:val="20"/>
          <w:szCs w:val="20"/>
          <w:color w:val="auto"/>
        </w:rPr>
      </w:pPr>
    </w:p>
    <w:p>
      <w:pPr>
        <w:ind w:right="4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13.2 Quiet Enjoyment</w:t>
      </w:r>
      <w:r>
        <w:rPr>
          <w:rFonts w:ascii="Times New Roman" w:cs="Times New Roman" w:eastAsia="Times New Roman" w:hAnsi="Times New Roman"/>
          <w:sz w:val="14"/>
          <w:szCs w:val="14"/>
          <w:color w:val="auto"/>
        </w:rPr>
        <w:t xml:space="preserve">. Tenant shall, upon paying all Base Rent and Additional Rent due hereunder and observing and performing all of the terms, covenants and conditions on Tenant’s part to be observed and performed, peaceably and quietly have and hold the Premises (including, without limitation, Tenant’s rights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without hindrance or molestation by any Person or Persons lawfully claiming by, through or under, Landlord, subject, however, to the terms of this Lease.</w:t>
      </w:r>
    </w:p>
    <w:p>
      <w:pPr>
        <w:spacing w:after="0" w:line="136" w:lineRule="exact"/>
        <w:rPr>
          <w:sz w:val="20"/>
          <w:szCs w:val="20"/>
          <w:color w:val="auto"/>
        </w:rPr>
      </w:pPr>
    </w:p>
    <w:p>
      <w:pPr>
        <w:ind w:right="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13.3 Tenant’s Request for Landlord’s Action</w:t>
      </w:r>
      <w:r>
        <w:rPr>
          <w:rFonts w:ascii="Times New Roman" w:cs="Times New Roman" w:eastAsia="Times New Roman" w:hAnsi="Times New Roman"/>
          <w:sz w:val="14"/>
          <w:szCs w:val="14"/>
          <w:color w:val="auto"/>
        </w:rPr>
        <w:t>. In the event that at Tenant’s request Landlord takes any action which is not required of Landlord pursuant to this Lease, Tenant shall pay, as Additional Rent, Landlord’s reasonable attorneys’ fees, expenses and disbursements in connection with such action, with payment to be made by Tenant within thirty (30) days after billing therefor by Landlord. Landlord will give Tenant a good faith estimate of such costs of any such action prior to commencing such action.</w:t>
      </w:r>
    </w:p>
    <w:p>
      <w:pPr>
        <w:spacing w:after="0" w:line="136"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13.4 Notices</w:t>
      </w:r>
      <w:r>
        <w:rPr>
          <w:rFonts w:ascii="Times New Roman" w:cs="Times New Roman" w:eastAsia="Times New Roman" w:hAnsi="Times New Roman"/>
          <w:sz w:val="14"/>
          <w:szCs w:val="14"/>
          <w:color w:val="auto"/>
        </w:rPr>
        <w:t>. Any notice, demand, request or statement required or intended to be given or delivered under the terms of this Lease shall be in writing, shall be addressed to the party to be notified at the address or addresses set forth in the Summary of Basic Terms or at such other address in the continental United States as each party may designate for itself from time to time by notice hereunder, and shall be deemed to have been given, delivered or served upon the earliest of (a) three (3) days following deposit in the U.S. Mail, with proper postage prepaid, certified or registered, return receipt requested, (b) the next Business Day after delivery to a regularly scheduled overnight delivery carrier with delivery fees either prepaid or an arrangement, satisfactory with such carrier, made for the payment of such fees, or (c) receipt of notice given by electronic mail, telecopy or personal delivery.</w:t>
      </w:r>
    </w:p>
    <w:p>
      <w:pPr>
        <w:spacing w:after="0" w:line="144" w:lineRule="exact"/>
        <w:rPr>
          <w:sz w:val="20"/>
          <w:szCs w:val="20"/>
          <w:color w:val="auto"/>
        </w:rPr>
      </w:pPr>
    </w:p>
    <w:p>
      <w:pPr>
        <w:ind w:right="1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13.5 Waiver of Subrogation</w:t>
      </w:r>
      <w:r>
        <w:rPr>
          <w:rFonts w:ascii="Times New Roman" w:cs="Times New Roman" w:eastAsia="Times New Roman" w:hAnsi="Times New Roman"/>
          <w:sz w:val="14"/>
          <w:szCs w:val="14"/>
          <w:color w:val="auto"/>
        </w:rPr>
        <w:t>. Landlord and Tenant hereby release each other, to the extent of their respective insurance coverages, from any and all liability for any loss or damage caused by fire, any of the extended coverage casualties, or other casualties insured against, even if such fire or other casualty shall be brought about by the fault or negligence of the party benefited by the release or its agents, provided, however, this release shall be In force and effect only with respect to loss or damage occurring during</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62" w:name="page563"/>
    <w:bookmarkEnd w:id="562"/>
    <w:p>
      <w:pPr>
        <w:jc w:val="both"/>
        <w:ind w:right="300"/>
        <w:spacing w:after="0" w:line="267" w:lineRule="auto"/>
        <w:rPr>
          <w:sz w:val="20"/>
          <w:szCs w:val="20"/>
          <w:color w:val="auto"/>
        </w:rPr>
      </w:pPr>
      <w:r>
        <w:rPr>
          <w:rFonts w:ascii="Times New Roman" w:cs="Times New Roman" w:eastAsia="Times New Roman" w:hAnsi="Times New Roman"/>
          <w:sz w:val="14"/>
          <w:szCs w:val="14"/>
          <w:color w:val="auto"/>
        </w:rPr>
        <w:t xml:space="preserve">such time as the policies of fire, extended coverage and other insurance, maintained by the releasing party shall contain a clause, or be subject to a statutory provision ,to the effect that such release shall not affect said policies or the right of the releasing party to recover thereunder. Tenant and Landlord each respectively covenant and agree that its fire, extended coverage, and other insurance policies will include such a clause. To the extent that Tenant is a self-insurer with respect to personal property, the provisions of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shall be applicable.</w:t>
      </w:r>
    </w:p>
    <w:p>
      <w:pPr>
        <w:spacing w:after="0" w:line="136"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4"/>
          <w:szCs w:val="14"/>
          <w:u w:val="single" w:color="auto"/>
          <w:color w:val="auto"/>
        </w:rPr>
        <w:t>Section 13.6 Entire Agreement; Execution; Time of the Essence and Headings and Table of Contents</w:t>
      </w:r>
      <w:r>
        <w:rPr>
          <w:rFonts w:ascii="Times New Roman" w:cs="Times New Roman" w:eastAsia="Times New Roman" w:hAnsi="Times New Roman"/>
          <w:sz w:val="14"/>
          <w:szCs w:val="14"/>
          <w:color w:val="auto"/>
        </w:rPr>
        <w:t>. This Lease together with all Exhibits referred to herein and the Summary of Basic Terms, sets forth the entire agreement between the parties hereto and cannot be modified or amended, except in a writing duly executed by the respective parties. This Lease, together with all Exhibits referred to herein and the Summary of Basic Terms, supersedes all previous written and oral negotiations, understandings and agreements regarding the subject matter of this Lease. Neither Landlord nor any Person acting on behalf of Landlord has made any representations to Tenant on which Tenant has relied in entering into this Lease except any representations expressly stated in this Lease. This Lease is executed as a sealed instrument and in multiple counterparts, all copies of which are identical, and any one of which is to be deemed to be complete in itself and may be introduced in evidence or used for any purpose without the production of any other copy. Time is of the essence with respect to the obligations of Tenant and Landlord to be performed within a specific time frame in this Lease. The headings throughout this Lease and the Table of Contents are for convenience of reference only, and shall in no way be held or deemed to define, limit, explain, describe, modify or add to the interpretation, construction or meaning of any provision of this Lease.</w:t>
      </w:r>
    </w:p>
    <w:p>
      <w:pPr>
        <w:spacing w:after="0" w:line="145"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13.7 Partial Invalidity</w:t>
      </w:r>
      <w:r>
        <w:rPr>
          <w:rFonts w:ascii="Times New Roman" w:cs="Times New Roman" w:eastAsia="Times New Roman" w:hAnsi="Times New Roman"/>
          <w:sz w:val="14"/>
          <w:szCs w:val="14"/>
          <w:color w:val="auto"/>
        </w:rPr>
        <w:t>. If any term or condition of this Lease or its application to any Person or circumstance shall to any extent be in violation of or unenforceable under any law, rule, regulation or order (including any court order) now existing or hereafter enacted or entered by any court or other governmental entity having competent jurisdiction (including after all appeals therefrom), the remainder of this Lease, or the application of such term or condition to Persons or circumstances other than those as to which it is invalid or unenforceable, shall not be affected thereby and shall be enforceable to the fullest extent not prohibited by law.</w:t>
      </w:r>
    </w:p>
    <w:p>
      <w:pPr>
        <w:spacing w:after="0" w:line="141"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u w:val="single" w:color="auto"/>
          <w:color w:val="auto"/>
        </w:rPr>
        <w:t>Section 13.8 No Waiver</w:t>
      </w:r>
      <w:r>
        <w:rPr>
          <w:rFonts w:ascii="Times New Roman" w:cs="Times New Roman" w:eastAsia="Times New Roman" w:hAnsi="Times New Roman"/>
          <w:sz w:val="14"/>
          <w:szCs w:val="14"/>
          <w:color w:val="auto"/>
        </w:rPr>
        <w:t>. No assent, express or implied, by Landlord to any breach of any agreement or condition herein contained on the part of Tenant to be performed or observed, and no waiver, express or implied, of any such agreement or condition shall be deemed to be a waiver of or an assent to any succeeding breach of the same or any other agreement or condition; the acceptance by Landlord of Base Rent or Additional Rent due hereunder (whether such payment is made by Tenant or another Person), or silence by Landlord as to any breach, shall not be construed as waiving any of Landlord’s rights hereunder unless such waiver shall be in writing. No payment by Tenant or acceptance by Landlord of a lesser amount than shall be due Landlord from Tenant shall be deemed to be anything but payment on account, and the acceptance by Landlord of a check for a lesser amount with an endorsement or statement thereon, or upon a letter accompanying said check, that said lesser amount is payment in full shall not be deemed an accord and satisfaction, and Landlord may accept said check without prejudice to recover the balance due or pursue any other remedy.</w:t>
      </w:r>
    </w:p>
    <w:p>
      <w:pPr>
        <w:spacing w:after="0" w:line="143"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13.9 Holdover</w:t>
      </w:r>
      <w:r>
        <w:rPr>
          <w:rFonts w:ascii="Times New Roman" w:cs="Times New Roman" w:eastAsia="Times New Roman" w:hAnsi="Times New Roman"/>
          <w:sz w:val="14"/>
          <w:szCs w:val="14"/>
          <w:color w:val="auto"/>
        </w:rPr>
        <w:t>. If Tenant remains in the Premises beyond, or fails to remove the Rooftop Equipment prior to, the expiration of this Lease at the end of the Lease Term, or sooner following an early termination as provided for herein, such holding over shall not be deemed to create any tenancy, but Tenant shall be a daily Tenant at sufferance only subject to all of Tenant’s obligations set forth herein, but at a Base Rent equal to one and one-half (1%) times the Base Rent then most recently in effect and Additional Rent and other charges provided for under this Lease, with such Base Rent and Additional Rent to be charged on a monthly basis for each calendar month or portion thereof for which Tenant holds over, without proration for a partial calendar month. The acceptance of a purported rent check following termination shall not constitute the creation of a tenancy at will, it being agreed that Tenant’s status shall remain that of a daily Tenant at sufferance, at the aforesaid daily rate. Tenant shall also pay to Landlord all damages, if any, sustained by reason of any such holding over. Otherwise, such holding over shall be on the terms and conditions set forth in this Lease as far as applicable.</w:t>
      </w:r>
    </w:p>
    <w:p>
      <w:pPr>
        <w:spacing w:after="0" w:line="144"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13.10 When Lease Becomes Binding</w:t>
      </w:r>
      <w:r>
        <w:rPr>
          <w:rFonts w:ascii="Times New Roman" w:cs="Times New Roman" w:eastAsia="Times New Roman" w:hAnsi="Times New Roman"/>
          <w:sz w:val="14"/>
          <w:szCs w:val="14"/>
          <w:color w:val="auto"/>
        </w:rPr>
        <w:t>. The submission of this document for examination and negotiation does not constitute an offer to lease or a reservation or an option for the Premises, and this document shall become effective and binding only upon the execution and delivery hereof by both Landlord and Tenant and the receipt by Landlord of the Security Deposit and the first monthly installment of Base Rent. All negotiations, considerations, representations and understandings between Landlord and Tenant are incorporated herein and may be modified or altered only by agreement in writing between Landlord and Tenant, and no act or omission of any employee or agent of Landlord shall alter, change or modify any of the provisions hereof.</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13.11 Recordation</w:t>
      </w:r>
      <w:r>
        <w:rPr>
          <w:rFonts w:ascii="Times New Roman" w:cs="Times New Roman" w:eastAsia="Times New Roman" w:hAnsi="Times New Roman"/>
          <w:sz w:val="14"/>
          <w:szCs w:val="14"/>
          <w:color w:val="auto"/>
        </w:rPr>
        <w:t>. Tenant shall not record this Lease with any registry of deeds or land court, and any such recordation will be void and constitute an Event of Default under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w:t>
      </w:r>
    </w:p>
    <w:p>
      <w:pPr>
        <w:spacing w:after="0" w:line="161" w:lineRule="exact"/>
        <w:rPr>
          <w:sz w:val="20"/>
          <w:szCs w:val="20"/>
          <w:color w:val="auto"/>
        </w:rPr>
      </w:pPr>
    </w:p>
    <w:p>
      <w:pPr>
        <w:ind w:right="26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13.12 Financial Statements; Certain Representations and Warranties of Tenant</w:t>
      </w:r>
      <w:r>
        <w:rPr>
          <w:rFonts w:ascii="Times New Roman" w:cs="Times New Roman" w:eastAsia="Times New Roman" w:hAnsi="Times New Roman"/>
          <w:sz w:val="14"/>
          <w:szCs w:val="14"/>
          <w:color w:val="auto"/>
        </w:rPr>
        <w:t>. From time to time at the request of Landlord (but not more often than 2 times in any calendar year), Tenant shall provide to Landlord, any actual or potential mortgagee and any actual or potential ground lessor or any representative of any of the foregoing, copies of Tenant’s annual financial statements (audited if available), certified as true and correct by the president or chief financial officer of Tenant; provided, however, that in no</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63" w:name="page564"/>
    <w:bookmarkEnd w:id="563"/>
    <w:p>
      <w:pPr>
        <w:ind w:right="40"/>
        <w:spacing w:after="0" w:line="255" w:lineRule="auto"/>
        <w:rPr>
          <w:sz w:val="20"/>
          <w:szCs w:val="20"/>
          <w:color w:val="auto"/>
        </w:rPr>
      </w:pPr>
      <w:r>
        <w:rPr>
          <w:rFonts w:ascii="Times New Roman" w:cs="Times New Roman" w:eastAsia="Times New Roman" w:hAnsi="Times New Roman"/>
          <w:sz w:val="14"/>
          <w:szCs w:val="14"/>
          <w:color w:val="auto"/>
        </w:rPr>
        <w:t>event shall Tenant be obligated to provide copies of any such financial statements at a time when providing same would be violation of applicable securities laws. Tenant represents and warrants to Landlord, its successors and assigns that: (a) ail financial statements of Tenant previously provided to Landlord (or available to Landlord on Tenant’s web site) have been prepared in accordance with GAAP (except for footnotes), were true, complete and correct as of their respective dates and fairly and accurately reflect the financial condition of Tenant; (b) there has been no material adverse change in the financial condition of Tenant subsequent to the date(s) of such financial statements; (c) all financial statements of Tenant provided to Landlord after the date hereof (or available to Landlord on Tenant’s web site) will be prepared in accordance with GAAP (except for footnotes), will be true, complete and correct as of their respective dates and will fairly and accurately reflect the financial conditions of the Tenant; (d) Tenant is a corporation organized and existing in good standing under the laws of the State of Delaware and is authorized to transact business in the Commonwealth of Massachusetts; (e) the execution, delivery and performance of this Lease by Tenant has been duly authorized; and (f) this Lease is valid and binding upon the Tenant and is enforceable against Tenant in accordance with the terms hereof.</w:t>
      </w:r>
    </w:p>
    <w:p>
      <w:pPr>
        <w:spacing w:after="0" w:line="145"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13.13 Confidentiality</w:t>
      </w:r>
      <w:r>
        <w:rPr>
          <w:rFonts w:ascii="Times New Roman" w:cs="Times New Roman" w:eastAsia="Times New Roman" w:hAnsi="Times New Roman"/>
          <w:sz w:val="14"/>
          <w:szCs w:val="14"/>
          <w:color w:val="auto"/>
        </w:rPr>
        <w:t>. Tenant acknowledges that the terms under which Landlord has leased the Premises to Tenant, (including, without limitation, the rental rate(s), term and other financial and business terms, constitute confidential information of Landlord (“</w:t>
      </w:r>
      <w:r>
        <w:rPr>
          <w:rFonts w:ascii="Times New Roman" w:cs="Times New Roman" w:eastAsia="Times New Roman" w:hAnsi="Times New Roman"/>
          <w:sz w:val="14"/>
          <w:szCs w:val="14"/>
          <w:u w:val="single" w:color="auto"/>
          <w:color w:val="auto"/>
        </w:rPr>
        <w:t>Landlord’s Confidential Information</w:t>
      </w:r>
      <w:r>
        <w:rPr>
          <w:rFonts w:ascii="Times New Roman" w:cs="Times New Roman" w:eastAsia="Times New Roman" w:hAnsi="Times New Roman"/>
          <w:sz w:val="14"/>
          <w:szCs w:val="14"/>
          <w:color w:val="auto"/>
        </w:rPr>
        <w:t>”). Tenant covenants and agrees to keep Landlord’s Confidential Information confidential; provided, however, that (a) Landlord’s Confidential Information may be disclosed by Tenant to those of its officers, employees, attorneys, accountants, lenders and financial advisors (collectively, “representatives”) who need to know such information in connection with Tenant’s use and occupancy of the Premises and for financial reporting and credit related activities (it being understood that Tenant shall inform the representatives of the confidential nature of Landlord’s Confidential Information and that the representatives shall be directed by Tenant to treat Landlord’s Confidential Information confidentially in accordance with the terms of this Section), and (b) unless required by applicable law, any other disclosure of such information may only be made if Landlord consents in writing prior to any such disclosure.</w:t>
      </w:r>
    </w:p>
    <w:p>
      <w:pPr>
        <w:spacing w:after="0" w:line="144" w:lineRule="exact"/>
        <w:rPr>
          <w:sz w:val="20"/>
          <w:szCs w:val="20"/>
          <w:color w:val="auto"/>
        </w:rPr>
      </w:pPr>
    </w:p>
    <w:p>
      <w:pPr>
        <w:jc w:val="both"/>
        <w:ind w:right="120" w:firstLine="511"/>
        <w:spacing w:after="0" w:line="267" w:lineRule="auto"/>
        <w:rPr>
          <w:sz w:val="20"/>
          <w:szCs w:val="20"/>
          <w:color w:val="auto"/>
        </w:rPr>
      </w:pPr>
      <w:r>
        <w:rPr>
          <w:rFonts w:ascii="Times New Roman" w:cs="Times New Roman" w:eastAsia="Times New Roman" w:hAnsi="Times New Roman"/>
          <w:sz w:val="14"/>
          <w:szCs w:val="14"/>
          <w:u w:val="single" w:color="auto"/>
          <w:color w:val="auto"/>
        </w:rPr>
        <w:t>Section 13.14 Summary of Basic Terms</w:t>
      </w:r>
      <w:r>
        <w:rPr>
          <w:rFonts w:ascii="Times New Roman" w:cs="Times New Roman" w:eastAsia="Times New Roman" w:hAnsi="Times New Roman"/>
          <w:sz w:val="14"/>
          <w:szCs w:val="14"/>
          <w:color w:val="auto"/>
        </w:rPr>
        <w:t>. The Summary of Basic Terms which is affixed to this Lease sets forth certain basic terms and information which is thereafter referred to in the main text of this Lease. Every reference to the Summary of Basic Terms, or to a particular item thereon, shall have the effect of incorporating the Summary, or the particular item thereof, into the main text of this Lease.</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ARTICLE XIV</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BUILDING 100 LEASE</w:t>
      </w:r>
    </w:p>
    <w:p>
      <w:pPr>
        <w:spacing w:after="0" w:line="161"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Reference is hereby made to that certain Lease dated September 22, 2016 (the “</w:t>
      </w:r>
      <w:r>
        <w:rPr>
          <w:rFonts w:ascii="Times New Roman" w:cs="Times New Roman" w:eastAsia="Times New Roman" w:hAnsi="Times New Roman"/>
          <w:sz w:val="14"/>
          <w:szCs w:val="14"/>
          <w:u w:val="single" w:color="auto"/>
          <w:color w:val="auto"/>
        </w:rPr>
        <w:t>Building 100 Lease</w:t>
      </w:r>
      <w:r>
        <w:rPr>
          <w:rFonts w:ascii="Times New Roman" w:cs="Times New Roman" w:eastAsia="Times New Roman" w:hAnsi="Times New Roman"/>
          <w:sz w:val="14"/>
          <w:szCs w:val="14"/>
          <w:color w:val="auto"/>
        </w:rPr>
        <w:t>”) between Tenant, as tenant, and Landlord’s affiliated entity, 100 Discovery Park DE, LLC, a Delaware limited liability company, as landlord (“</w:t>
      </w:r>
      <w:r>
        <w:rPr>
          <w:rFonts w:ascii="Times New Roman" w:cs="Times New Roman" w:eastAsia="Times New Roman" w:hAnsi="Times New Roman"/>
          <w:sz w:val="14"/>
          <w:szCs w:val="14"/>
          <w:u w:val="single" w:color="auto"/>
          <w:color w:val="auto"/>
        </w:rPr>
        <w:t>Building 100 Landlord</w:t>
      </w:r>
      <w:r>
        <w:rPr>
          <w:rFonts w:ascii="Times New Roman" w:cs="Times New Roman" w:eastAsia="Times New Roman" w:hAnsi="Times New Roman"/>
          <w:sz w:val="14"/>
          <w:szCs w:val="14"/>
          <w:color w:val="auto"/>
        </w:rPr>
        <w:t>”), pursuant to which Tenant leases from Building 100 Landlord approximately 22,442 square feet of space in Building 100, which building is owned by Building 100 Landlord (such space, the “</w:t>
      </w:r>
      <w:r>
        <w:rPr>
          <w:rFonts w:ascii="Times New Roman" w:cs="Times New Roman" w:eastAsia="Times New Roman" w:hAnsi="Times New Roman"/>
          <w:sz w:val="14"/>
          <w:szCs w:val="14"/>
          <w:u w:val="single" w:color="auto"/>
          <w:color w:val="auto"/>
        </w:rPr>
        <w:t>Building 100 Premises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Tenant hereby agrees and acknowledges that Building 100 Landlord is an express third-party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beneficiary to the provisions of this </w:t>
      </w:r>
      <w:r>
        <w:rPr>
          <w:rFonts w:ascii="Times New Roman" w:cs="Times New Roman" w:eastAsia="Times New Roman" w:hAnsi="Times New Roman"/>
          <w:sz w:val="14"/>
          <w:szCs w:val="14"/>
          <w:b w:val="1"/>
          <w:bCs w:val="1"/>
          <w:u w:val="single" w:color="auto"/>
          <w:color w:val="auto"/>
        </w:rPr>
        <w:t>Article XIV</w:t>
      </w:r>
      <w:r>
        <w:rPr>
          <w:rFonts w:ascii="Times New Roman" w:cs="Times New Roman" w:eastAsia="Times New Roman" w:hAnsi="Times New Roman"/>
          <w:sz w:val="14"/>
          <w:szCs w:val="14"/>
          <w:b w:val="1"/>
          <w:bCs w:val="1"/>
          <w:color w:val="auto"/>
        </w:rPr>
        <w:t xml:space="preserve"> and has the right to enforce the provisions of this </w:t>
      </w:r>
      <w:r>
        <w:rPr>
          <w:rFonts w:ascii="Times New Roman" w:cs="Times New Roman" w:eastAsia="Times New Roman" w:hAnsi="Times New Roman"/>
          <w:sz w:val="14"/>
          <w:szCs w:val="14"/>
          <w:b w:val="1"/>
          <w:bCs w:val="1"/>
          <w:u w:val="single" w:color="auto"/>
          <w:color w:val="auto"/>
        </w:rPr>
        <w:t>Article XIV</w:t>
      </w:r>
      <w:r>
        <w:rPr>
          <w:rFonts w:ascii="Times New Roman" w:cs="Times New Roman" w:eastAsia="Times New Roman" w:hAnsi="Times New Roman"/>
          <w:sz w:val="14"/>
          <w:szCs w:val="14"/>
          <w:b w:val="1"/>
          <w:bCs w:val="1"/>
          <w:color w:val="auto"/>
        </w:rPr>
        <w:t xml:space="preserve"> directly against Tenant.</w:t>
      </w:r>
    </w:p>
    <w:p>
      <w:pPr>
        <w:spacing w:after="0" w:line="141"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4"/>
          <w:szCs w:val="14"/>
          <w:color w:val="auto"/>
        </w:rPr>
        <w:t xml:space="preserve">Commencing as of the Commencement Date, Building 100 Landlord shall have the right to terminate the Building 100 Lease upon thirty (30) days’ prior written notice to Tenant. Tenant acknowledges and agrees that Tenant shall vacate, yield-up and surrender to Building 100 Landlord the Building 100 Premises in accordance with the terms and provisions of the Building 100 Lease, including without limitation,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thereof, on or before such thirtieth (30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 after Tenant receives such notice from Building 100 Landlord (the “</w:t>
      </w:r>
      <w:r>
        <w:rPr>
          <w:rFonts w:ascii="Times New Roman" w:cs="Times New Roman" w:eastAsia="Times New Roman" w:hAnsi="Times New Roman"/>
          <w:sz w:val="14"/>
          <w:szCs w:val="14"/>
          <w:u w:val="single" w:color="auto"/>
          <w:color w:val="auto"/>
        </w:rPr>
        <w:t>Building 100 Lease Expiration Date</w:t>
      </w:r>
      <w:r>
        <w:rPr>
          <w:rFonts w:ascii="Times New Roman" w:cs="Times New Roman" w:eastAsia="Times New Roman" w:hAnsi="Times New Roman"/>
          <w:sz w:val="14"/>
          <w:szCs w:val="14"/>
          <w:color w:val="auto"/>
        </w:rPr>
        <w:t xml:space="preserve">”). Notwithstanding any provision of the Building 100 Lease to the contrary, if Tenant fails to surrender the Building 100 Premises to Landlord on or before the Building 100 Lease Expiration Date in the condition required in the Building 100 Lease had the Lease Term under the Building 100 Lease expired, then, without limiting Building 100 Landlord’s other rights and remedies under the Building 100 Lease, Tenant shall be deemed to be in holdover and a tenant at sufferance with respect to the Building 100 Premises and the terms and provisions of </w:t>
      </w:r>
      <w:r>
        <w:rPr>
          <w:rFonts w:ascii="Times New Roman" w:cs="Times New Roman" w:eastAsia="Times New Roman" w:hAnsi="Times New Roman"/>
          <w:sz w:val="14"/>
          <w:szCs w:val="14"/>
          <w:u w:val="single" w:color="auto"/>
          <w:color w:val="auto"/>
        </w:rPr>
        <w:t>Section 13.9</w:t>
      </w:r>
      <w:r>
        <w:rPr>
          <w:rFonts w:ascii="Times New Roman" w:cs="Times New Roman" w:eastAsia="Times New Roman" w:hAnsi="Times New Roman"/>
          <w:sz w:val="14"/>
          <w:szCs w:val="14"/>
          <w:color w:val="auto"/>
        </w:rPr>
        <w:t xml:space="preserve"> of the Building 100 Lease shall be applicable to the continued occupancy of the Building 100 Premises from and after the day after the Building 100 Lease Expiration Date.</w:t>
      </w:r>
    </w:p>
    <w:p>
      <w:pPr>
        <w:spacing w:after="0" w:line="144" w:lineRule="exact"/>
        <w:rPr>
          <w:sz w:val="20"/>
          <w:szCs w:val="20"/>
          <w:color w:val="auto"/>
        </w:rPr>
      </w:pPr>
    </w:p>
    <w:p>
      <w:pPr>
        <w:ind w:right="100" w:firstLine="511"/>
        <w:spacing w:after="0" w:line="257" w:lineRule="auto"/>
        <w:rPr>
          <w:sz w:val="20"/>
          <w:szCs w:val="20"/>
          <w:color w:val="auto"/>
        </w:rPr>
      </w:pPr>
      <w:r>
        <w:rPr>
          <w:rFonts w:ascii="Times New Roman" w:cs="Times New Roman" w:eastAsia="Times New Roman" w:hAnsi="Times New Roman"/>
          <w:sz w:val="14"/>
          <w:szCs w:val="14"/>
          <w:color w:val="auto"/>
        </w:rPr>
        <w:t>Tenant shall continue to pay all Base Rent, Additional Rent, Other Additional Rent, utility charges and all other payments under the Building 100 Lease on account of the Building 100 Premises through the Building 100 Lease Expiration Date, all in accordance with the terms and provisions of the Building 100 Lease; provided, however, that from and after the Commencement Date and continuing through and including the Building 100 Lease Expiration Date, and provided that no Event of Default exists under this Lease and “Event of Default” (as defined in the Building 100 Lease) exists under the Building 100 Lease, Tenant shall receive a credit against Base Rent and Additional Rent due under this Lease in an amount equal to the Base Rent and Additional Rent paid by Tenant under the Building 100 Lease (such credit is referred to herein as the “</w:t>
      </w:r>
      <w:r>
        <w:rPr>
          <w:rFonts w:ascii="Times New Roman" w:cs="Times New Roman" w:eastAsia="Times New Roman" w:hAnsi="Times New Roman"/>
          <w:sz w:val="14"/>
          <w:szCs w:val="14"/>
          <w:u w:val="single" w:color="auto"/>
          <w:color w:val="auto"/>
        </w:rPr>
        <w:t>Building 100 Rent Credit</w:t>
      </w:r>
      <w:r>
        <w:rPr>
          <w:rFonts w:ascii="Times New Roman" w:cs="Times New Roman" w:eastAsia="Times New Roman" w:hAnsi="Times New Roman"/>
          <w:sz w:val="14"/>
          <w:szCs w:val="14"/>
          <w:color w:val="auto"/>
        </w:rPr>
        <w:t>”). The Building 100 Rent Credit shall be personal only to Fog Pharmaceuticals, Inc. and shall apply only for so long as Fog Pharmaceuticals, Inc. is the tenant under this Lease and the Building 100 Lease.</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564" w:name="page565"/>
    <w:bookmarkEnd w:id="564"/>
    <w:p>
      <w:pPr>
        <w:ind w:firstLine="511"/>
        <w:spacing w:after="0" w:line="267" w:lineRule="auto"/>
        <w:rPr>
          <w:sz w:val="20"/>
          <w:szCs w:val="20"/>
          <w:color w:val="auto"/>
        </w:rPr>
      </w:pPr>
      <w:r>
        <w:rPr>
          <w:rFonts w:ascii="Times New Roman" w:cs="Times New Roman" w:eastAsia="Times New Roman" w:hAnsi="Times New Roman"/>
          <w:sz w:val="14"/>
          <w:szCs w:val="14"/>
          <w:color w:val="auto"/>
        </w:rPr>
        <w:t xml:space="preserve">Notwithstanding the provisions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of the Building 100 Lease, from and after the date hereof, (a) Tenant shall (I) not sublet the Building 100 Premises or assign the Building 100 Lease, (ii) not market the Building 100 Premises to be sublet or the Building 100 Lease to be assigned, and (iii) cooperate with Landlord’s efforts to relet the Building 100 Premises (or any portion thereof), and (b) Landlord may enter the Building 100 Premises at all reasonable times for the purposes of showing the same to potential tenants thereof.</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00"/>
          </w:cols>
          <w:pgMar w:left="300" w:top="966" w:right="499" w:bottom="1440" w:gutter="0" w:footer="0" w:header="0"/>
        </w:sectPr>
      </w:pPr>
    </w:p>
    <w:bookmarkStart w:id="565" w:name="page566"/>
    <w:bookmarkEnd w:id="565"/>
    <w:p>
      <w:pPr>
        <w:ind w:left="520"/>
        <w:spacing w:after="0"/>
        <w:rPr>
          <w:sz w:val="20"/>
          <w:szCs w:val="20"/>
          <w:color w:val="auto"/>
        </w:rPr>
      </w:pPr>
      <w:r>
        <w:rPr>
          <w:rFonts w:ascii="Times New Roman" w:cs="Times New Roman" w:eastAsia="Times New Roman" w:hAnsi="Times New Roman"/>
          <w:sz w:val="14"/>
          <w:szCs w:val="14"/>
          <w:color w:val="auto"/>
        </w:rPr>
        <w:t>Tenant and Landlord, each by its duly authorized officer, have signed this Lease as of the date first set forth above.</w:t>
      </w:r>
    </w:p>
    <w:p>
      <w:pPr>
        <w:spacing w:after="0" w:line="1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TENANT:</w:t>
      </w:r>
    </w:p>
    <w:p>
      <w:pPr>
        <w:spacing w:after="0" w:line="17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80" w:type="dxa"/>
            <w:vAlign w:val="bottom"/>
          </w:tcPr>
          <w:p>
            <w:pPr>
              <w:ind w:left="6220"/>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6780" w:type="dxa"/>
            <w:vAlign w:val="bottom"/>
          </w:tcPr>
          <w:p>
            <w:pPr>
              <w:ind w:left="622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Gregory L. Verdine</w:t>
            </w:r>
          </w:p>
        </w:tc>
      </w:tr>
      <w:tr>
        <w:trPr>
          <w:trHeight w:val="168"/>
        </w:trPr>
        <w:tc>
          <w:tcPr>
            <w:tcW w:w="6780" w:type="dxa"/>
            <w:vAlign w:val="bottom"/>
          </w:tcPr>
          <w:p>
            <w:pPr>
              <w:ind w:left="6220"/>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CEO</w:t>
            </w:r>
          </w:p>
        </w:tc>
      </w:tr>
      <w:tr>
        <w:trPr>
          <w:trHeight w:val="183"/>
        </w:trPr>
        <w:tc>
          <w:tcPr>
            <w:tcW w:w="6780" w:type="dxa"/>
            <w:vAlign w:val="bottom"/>
          </w:tcPr>
          <w:p>
            <w:pPr>
              <w:spacing w:after="0"/>
              <w:rPr>
                <w:sz w:val="15"/>
                <w:szCs w:val="15"/>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Duly Authorized</w:t>
            </w:r>
          </w:p>
        </w:tc>
      </w:tr>
      <w:tr>
        <w:trPr>
          <w:trHeight w:val="926"/>
        </w:trPr>
        <w:tc>
          <w:tcPr>
            <w:tcW w:w="67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66" w:name="page567"/>
    <w:bookmarkEnd w:id="566"/>
    <w:p>
      <w:pPr>
        <w:ind w:left="6220"/>
        <w:spacing w:after="0"/>
        <w:rPr>
          <w:sz w:val="20"/>
          <w:szCs w:val="20"/>
          <w:color w:val="auto"/>
        </w:rPr>
      </w:pPr>
      <w:r>
        <w:rPr>
          <w:rFonts w:ascii="Times New Roman" w:cs="Times New Roman" w:eastAsia="Times New Roman" w:hAnsi="Times New Roman"/>
          <w:sz w:val="14"/>
          <w:szCs w:val="14"/>
          <w:color w:val="auto"/>
        </w:rPr>
        <w:t>LANDLORD:</w:t>
      </w:r>
    </w:p>
    <w:p>
      <w:pPr>
        <w:spacing w:after="0" w:line="17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80" w:type="dxa"/>
            <w:vAlign w:val="bottom"/>
          </w:tcPr>
          <w:p>
            <w:pPr>
              <w:ind w:left="6220"/>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 Schlager</w:t>
            </w:r>
          </w:p>
        </w:tc>
      </w:tr>
      <w:tr>
        <w:trPr>
          <w:trHeight w:val="144"/>
        </w:trPr>
        <w:tc>
          <w:tcPr>
            <w:tcW w:w="6780" w:type="dxa"/>
            <w:vAlign w:val="bottom"/>
          </w:tcPr>
          <w:p>
            <w:pPr>
              <w:ind w:left="622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A. Schlager</w:t>
            </w:r>
          </w:p>
        </w:tc>
      </w:tr>
      <w:tr>
        <w:trPr>
          <w:trHeight w:val="168"/>
        </w:trPr>
        <w:tc>
          <w:tcPr>
            <w:tcW w:w="6780" w:type="dxa"/>
            <w:vAlign w:val="bottom"/>
          </w:tcPr>
          <w:p>
            <w:pPr>
              <w:ind w:left="6220"/>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183"/>
        </w:trPr>
        <w:tc>
          <w:tcPr>
            <w:tcW w:w="6780" w:type="dxa"/>
            <w:vAlign w:val="bottom"/>
          </w:tcPr>
          <w:p>
            <w:pPr>
              <w:spacing w:after="0"/>
              <w:rPr>
                <w:sz w:val="15"/>
                <w:szCs w:val="15"/>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Duly Authorized</w:t>
            </w:r>
          </w:p>
        </w:tc>
      </w:tr>
      <w:tr>
        <w:trPr>
          <w:trHeight w:val="1178"/>
        </w:trPr>
        <w:tc>
          <w:tcPr>
            <w:tcW w:w="67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67" w:name="page568"/>
    <w:bookmarkEnd w:id="567"/>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EXHIBIT A-1</w:t>
      </w:r>
    </w:p>
    <w:p>
      <w:pPr>
        <w:spacing w:after="0" w:line="1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u w:val="single" w:color="auto"/>
          <w:color w:val="auto"/>
        </w:rPr>
        <w:t>PROPERTY DESCRIPTION (PROJECT)</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u w:val="single" w:color="auto"/>
          <w:color w:val="auto"/>
        </w:rPr>
        <w:t>CAMBRIDGE DISCOVERY PARK</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FOLLOWING PARCELS OF LAND MORE PARTICULARLY SHOWN ON A PLAN ENTITLED “SUBDIVISION PLAN OF LAND IN ARLINGTON, BELMONT AND CAMBRIDGE, MASSACHUSETTS” PREPARED BY BSC GROUP, INC., DATED DECEMBER 29, 2016, AND RECORDED AT MIDDLESEX REGISTRY OF DEEDS, SOUTHERN DISTRICT, AS PLAN 121 OF 2017: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ARLINGTON PARCEL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DISCOVERY WAY 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DISCOVERY WAY 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LARGE WETLAND PARCEL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200-300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GARAGE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GARAGE 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PARCEL Q</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PUMP STATION PARCEL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PARCEL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WIM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WAY PORTION OF ACORN PARK LOCATED IN ARLINGTON</w:t>
      </w: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080"/>
          </w:cols>
          <w:pgMar w:left="300" w:top="796" w:right="519" w:bottom="1440" w:gutter="0" w:footer="0" w:header="0"/>
        </w:sectPr>
      </w:pPr>
    </w:p>
    <w:bookmarkStart w:id="568" w:name="page569"/>
    <w:bookmarkEnd w:id="568"/>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A-2</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auto"/>
        </w:rPr>
        <w:t>PROPERTY DESCRIPTION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PARCEL 400</w:t>
      </w:r>
    </w:p>
    <w:p>
      <w:pPr>
        <w:spacing w:after="0" w:line="9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4"/>
          <w:szCs w:val="14"/>
          <w:color w:val="auto"/>
        </w:rPr>
        <w:t>A CERTAIN PARCEL OF LAND SITUATED SOUTHWESTERLY OF CONCORD TURNPIKE, AND NORTHERLY OF ACORN PARK, IN THE CITY OF CAMBRIDGE, IN THE COUNTY OF MIDDLESEX, COMMONWEALTH OF MASSACHUSETTS, BOUNDED AND DESCRIBED AS FOLLOWS:</w:t>
      </w:r>
    </w:p>
    <w:p>
      <w:pPr>
        <w:spacing w:after="0" w:line="125"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4"/>
          <w:szCs w:val="14"/>
          <w:color w:val="auto"/>
        </w:rPr>
        <w:t>BEGINNING AT A POINT AT THE MOST SOUTHEASTERLY CORNER OF THE HEREIN DESCRIBED PARCEL, SAID POINT BEING IN THE NORTHERLY SIDELINE OF ACORN PARK AT ITS INTERSECTION WITH WESTERLY LINE OF DISCOVERY WAY AS SHOWN ON A PLAN REFERENCED BELOW, THENCE</w:t>
      </w:r>
    </w:p>
    <w:p>
      <w:pPr>
        <w:sectPr>
          <w:pgSz w:w="11900" w:h="16838" w:orient="portrait"/>
          <w:cols w:equalWidth="0" w:num="1">
            <w:col w:w="11280"/>
          </w:cols>
          <w:pgMar w:left="300" w:top="1048" w:right="31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 89°27’22” W</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DISTANCE OF FIFTY FIVE AND EIGHTY-TWO HUNDREDTHS (55.82) FEET TO A POINT; THENCE</w:t>
      </w:r>
    </w:p>
    <w:p>
      <w:pPr>
        <w:spacing w:after="0" w:line="102"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SOUTHEASTERLY</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4"/>
          <w:szCs w:val="14"/>
          <w:color w:val="auto"/>
        </w:rPr>
        <w:t>CURVING TO THE LEFT ALONG THE ARC OF A CURVE HAVING A RADIUS OF TWO THOUSAND TWO HUNDRED THIRTEEN AND TWENTY-EIGHT HUNDREDTHS (2213.28) FEET, A LENGTH OF EIGHTY SIX AND THIRTY-SEVEN HUNDREDTHS (86.37) FEET TO A POINT, PREVIOUS TWO COURSES BY SAID NORTHERLY SIDELINE OF ACORN PARK; THENCE</w:t>
      </w:r>
    </w:p>
    <w:p>
      <w:pPr>
        <w:spacing w:after="0" w:line="62"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N00°00’00”W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BYPARCELQ A DISTANCE OF TWO HUNDRED SEVENTEEN AND TWENTY- FIVE HUNDREDTHS (217.25) FEET TO A POINT; THENCE</w:t>
      </w:r>
    </w:p>
    <w:p>
      <w:pPr>
        <w:spacing w:after="0" w:line="102"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EASTERLY</w:t>
      </w:r>
    </w:p>
    <w:p>
      <w:pPr>
        <w:spacing w:after="0" w:line="20" w:lineRule="exact"/>
        <w:rPr>
          <w:sz w:val="20"/>
          <w:szCs w:val="20"/>
          <w:color w:val="auto"/>
        </w:rPr>
      </w:pPr>
      <w:r>
        <w:rPr>
          <w:sz w:val="20"/>
          <w:szCs w:val="20"/>
          <w:color w:val="auto"/>
        </w:rPr>
        <w:br w:type="column"/>
      </w:r>
    </w:p>
    <w:p>
      <w:pPr>
        <w:ind w:right="860"/>
        <w:spacing w:after="0" w:line="283" w:lineRule="auto"/>
        <w:rPr>
          <w:sz w:val="20"/>
          <w:szCs w:val="20"/>
          <w:color w:val="auto"/>
        </w:rPr>
      </w:pPr>
      <w:r>
        <w:rPr>
          <w:rFonts w:ascii="Times New Roman" w:cs="Times New Roman" w:eastAsia="Times New Roman" w:hAnsi="Times New Roman"/>
          <w:sz w:val="14"/>
          <w:szCs w:val="14"/>
          <w:color w:val="auto"/>
        </w:rPr>
        <w:t>CURVING TO THE RIGHT ALONG THE ARC OF A CURVE HAVING A RADIUS OF THREE HUNDRED EIGHTY SEVEN AND FIFTY HUNDREDTHS (387.50) FEET, A LENGTH OF SIXTEEN AND ONE HUNDREDTH (16.01) FEET TO A POINT; THENCE</w:t>
      </w:r>
    </w:p>
    <w:p>
      <w:pPr>
        <w:spacing w:after="0" w:line="51"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 74°22’47”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SIXTY NINE AND FORTY-SEVEN HUNDREDTHS (69.47) FEET TO A POINT; THENCE</w:t>
      </w:r>
    </w:p>
    <w:p>
      <w:pPr>
        <w:spacing w:after="0" w:line="102"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SOUTHEASTERLY</w:t>
      </w:r>
    </w:p>
    <w:p>
      <w:pPr>
        <w:spacing w:after="0" w:line="20" w:lineRule="exact"/>
        <w:rPr>
          <w:sz w:val="20"/>
          <w:szCs w:val="20"/>
          <w:color w:val="auto"/>
        </w:rPr>
      </w:pPr>
      <w:r>
        <w:rPr>
          <w:sz w:val="20"/>
          <w:szCs w:val="20"/>
          <w:color w:val="auto"/>
        </w:rPr>
        <w:br w:type="column"/>
      </w:r>
    </w:p>
    <w:p>
      <w:pPr>
        <w:ind w:right="340"/>
        <w:spacing w:after="0" w:line="283" w:lineRule="auto"/>
        <w:rPr>
          <w:sz w:val="20"/>
          <w:szCs w:val="20"/>
          <w:color w:val="auto"/>
        </w:rPr>
      </w:pPr>
      <w:r>
        <w:rPr>
          <w:rFonts w:ascii="Times New Roman" w:cs="Times New Roman" w:eastAsia="Times New Roman" w:hAnsi="Times New Roman"/>
          <w:sz w:val="14"/>
          <w:szCs w:val="14"/>
          <w:color w:val="auto"/>
        </w:rPr>
        <w:t>CURVING TO THE RIGHT ALONG THE ARC OF A CURVE HAVING A RADIUS OF EIGHTY THREE AND SEVENTY-SEVEN HUNDREDTHS (83.77) FEET, A LENGTH OF ONE HUNDRED SEVEN AND SEVEN HUNDREDTHS (107.07) FEET TO A POINT; THENCE</w:t>
      </w:r>
    </w:p>
    <w:p>
      <w:pPr>
        <w:spacing w:after="0" w:line="51"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 01’08’56”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TWENTY NINE AND THIRTY-THREE HUNDREDTHS (29.33) FEET TO A POINT; THENCE</w:t>
      </w:r>
    </w:p>
    <w:p>
      <w:pPr>
        <w:spacing w:after="0" w:line="102"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S01°20’50”W</w:t>
      </w:r>
    </w:p>
    <w:p>
      <w:pPr>
        <w:spacing w:after="0" w:line="20" w:lineRule="exact"/>
        <w:rPr>
          <w:sz w:val="20"/>
          <w:szCs w:val="20"/>
          <w:color w:val="auto"/>
        </w:rPr>
      </w:pPr>
      <w:r>
        <w:rPr>
          <w:sz w:val="20"/>
          <w:szCs w:val="20"/>
          <w:color w:val="auto"/>
        </w:rPr>
        <w:br w:type="column"/>
      </w:r>
    </w:p>
    <w:p>
      <w:pPr>
        <w:ind w:right="400"/>
        <w:spacing w:after="0" w:line="283" w:lineRule="auto"/>
        <w:rPr>
          <w:sz w:val="20"/>
          <w:szCs w:val="20"/>
          <w:color w:val="auto"/>
        </w:rPr>
      </w:pPr>
      <w:r>
        <w:rPr>
          <w:rFonts w:ascii="Times New Roman" w:cs="Times New Roman" w:eastAsia="Times New Roman" w:hAnsi="Times New Roman"/>
          <w:sz w:val="14"/>
          <w:szCs w:val="14"/>
          <w:color w:val="auto"/>
        </w:rPr>
        <w:t>A DISTANCE OF EIGHTY FIVE AND NINETY-TWO HUNDREDTHS (85.92) FEET TO THE POINT OF BEGINNING, THE PREVIOUS FIVE (5) COURSES BY DISCOVERY WAY.</w:t>
      </w:r>
    </w:p>
    <w:p>
      <w:pPr>
        <w:spacing w:after="0" w:line="125" w:lineRule="exact"/>
        <w:rPr>
          <w:sz w:val="20"/>
          <w:szCs w:val="20"/>
          <w:color w:val="auto"/>
        </w:rPr>
      </w:pPr>
    </w:p>
    <w:p>
      <w:pPr>
        <w:sectPr>
          <w:pgSz w:w="11900" w:h="16838" w:orient="portrait"/>
          <w:cols w:equalWidth="0" w:num="2">
            <w:col w:w="1540" w:space="720"/>
            <w:col w:w="9020"/>
          </w:cols>
          <w:pgMar w:left="300" w:top="1048" w:right="319" w:bottom="1440" w:gutter="0" w:footer="0" w:header="0"/>
          <w:type w:val="continuous"/>
        </w:sectPr>
      </w:pPr>
    </w:p>
    <w:p>
      <w:pPr>
        <w:ind w:right="160"/>
        <w:spacing w:after="0" w:line="267" w:lineRule="auto"/>
        <w:rPr>
          <w:sz w:val="20"/>
          <w:szCs w:val="20"/>
          <w:color w:val="auto"/>
        </w:rPr>
      </w:pPr>
      <w:r>
        <w:rPr>
          <w:rFonts w:ascii="Times New Roman" w:cs="Times New Roman" w:eastAsia="Times New Roman" w:hAnsi="Times New Roman"/>
          <w:sz w:val="14"/>
          <w:szCs w:val="14"/>
          <w:color w:val="auto"/>
        </w:rPr>
        <w:t>THE ABOVE DESCRIBED PARCEL OF LAND CONTAINS AN AREA OF 27,471 SQ. FT. MORE OR LESS, OR 0.631 ACRES MORE OR LESS, AND IS MORE PARTICULARLY SHOWN ON A PLAN ENTITLED “SUBDIVISION PLAN OF LAND IN ARLINGTON, BELMONT AND CAMBRIDGE, MASSACHUSETTS” PREPARED BY BSC GROUP, INC., DATED DECEMBER 29, 2016, AND RECORDED AT MIDDLESEX REGISTRY OF DEEDS, SOUTHERN DISTRICT, AS A PLAN 121 OF 2017.</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type w:val="continuous"/>
        </w:sectPr>
      </w:pPr>
    </w:p>
    <w:bookmarkStart w:id="569" w:name="page570"/>
    <w:bookmarkEnd w:id="569"/>
    <w:p>
      <w:pPr>
        <w:spacing w:after="0"/>
        <w:rPr>
          <w:sz w:val="20"/>
          <w:szCs w:val="20"/>
          <w:color w:val="auto"/>
        </w:rPr>
      </w:pPr>
      <w:r>
        <w:rPr>
          <w:rFonts w:ascii="Times New Roman" w:cs="Times New Roman" w:eastAsia="Times New Roman" w:hAnsi="Times New Roman"/>
          <w:sz w:val="14"/>
          <w:szCs w:val="14"/>
          <w:u w:val="single" w:color="auto"/>
          <w:color w:val="auto"/>
        </w:rPr>
        <w:t>PARCEL 500</w:t>
      </w:r>
    </w:p>
    <w:p>
      <w:pPr>
        <w:spacing w:after="0" w:line="17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A CERTAIN PARCEL OF LAND SITUATED SOUTHWESTERLY OF CONCORD TURNPIKE, AND NORTHERLY OF ACORN PARK, IN THE CITY OF CAMBRIDGE, IN THE COUNTY OF MIDDLESEX, COMMONWEALTH OF MASSACHUSETTS, BOUNDED AND DESCRIBED AS FOLLOWS: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AT A POINT AT THE MOST NORTHEASTERLY CORNER OF THE HEREIN DESCRIBED PARCEL AS SHOWN ON A PLAN REFERENCED BELOW, THENCE</w:t>
      </w:r>
    </w:p>
    <w:p>
      <w:pPr>
        <w:sectPr>
          <w:pgSz w:w="11900" w:h="16838" w:orient="portrait"/>
          <w:cols w:equalWidth="0" w:num="1">
            <w:col w:w="11120"/>
          </w:cols>
          <w:pgMar w:left="300" w:top="797" w:right="47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15°16’24”W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4"/>
          <w:szCs w:val="14"/>
          <w:color w:val="auto"/>
        </w:rPr>
        <w:t>A DISTANCE OF ONE HUNDRED THIRTY NINE AND SIXTY-SIX HUNDREDTHS (139.66) FEET TO A POINT; THENCE</w:t>
      </w:r>
    </w:p>
    <w:p>
      <w:pPr>
        <w:spacing w:after="0" w:line="102"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WESTERLY</w:t>
      </w:r>
    </w:p>
    <w:p>
      <w:pPr>
        <w:spacing w:after="0" w:line="20" w:lineRule="exact"/>
        <w:rPr>
          <w:sz w:val="20"/>
          <w:szCs w:val="20"/>
          <w:color w:val="auto"/>
        </w:rPr>
      </w:pPr>
      <w:r>
        <w:rPr>
          <w:sz w:val="20"/>
          <w:szCs w:val="20"/>
          <w:color w:val="auto"/>
        </w:rPr>
        <w:br w:type="column"/>
      </w:r>
    </w:p>
    <w:p>
      <w:pPr>
        <w:ind w:right="20"/>
        <w:spacing w:after="0" w:line="283" w:lineRule="auto"/>
        <w:rPr>
          <w:sz w:val="20"/>
          <w:szCs w:val="20"/>
          <w:color w:val="auto"/>
        </w:rPr>
      </w:pPr>
      <w:r>
        <w:rPr>
          <w:rFonts w:ascii="Times New Roman" w:cs="Times New Roman" w:eastAsia="Times New Roman" w:hAnsi="Times New Roman"/>
          <w:sz w:val="14"/>
          <w:szCs w:val="14"/>
          <w:color w:val="auto"/>
        </w:rPr>
        <w:t>CURVING TO THE RIGHT ALONG THE ARC OF A CURVE HAVING A RADIUS OF THIRTY AND NO HUNDREDTHS (30.00) FEET, A LENGTH OF THIRTY NINE AND FORTY-ONE HUNDREDTHS (39.41) FEET TO A POINT; THENCE</w:t>
      </w:r>
    </w:p>
    <w:p>
      <w:pPr>
        <w:spacing w:after="0" w:line="51"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 89”27’22” W</w:t>
      </w:r>
    </w:p>
    <w:p>
      <w:pPr>
        <w:spacing w:after="0" w:line="20" w:lineRule="exact"/>
        <w:rPr>
          <w:sz w:val="20"/>
          <w:szCs w:val="20"/>
          <w:color w:val="auto"/>
        </w:rPr>
      </w:pPr>
      <w:r>
        <w:rPr>
          <w:sz w:val="20"/>
          <w:szCs w:val="20"/>
          <w:color w:val="auto"/>
        </w:rPr>
        <w:br w:type="column"/>
      </w:r>
    </w:p>
    <w:p>
      <w:pPr>
        <w:ind w:right="340"/>
        <w:spacing w:after="0" w:line="283" w:lineRule="auto"/>
        <w:rPr>
          <w:sz w:val="20"/>
          <w:szCs w:val="20"/>
          <w:color w:val="auto"/>
        </w:rPr>
      </w:pPr>
      <w:r>
        <w:rPr>
          <w:rFonts w:ascii="Times New Roman" w:cs="Times New Roman" w:eastAsia="Times New Roman" w:hAnsi="Times New Roman"/>
          <w:sz w:val="14"/>
          <w:szCs w:val="14"/>
          <w:color w:val="auto"/>
        </w:rPr>
        <w:t>A DISTANCE OF ONE HUNDRED FORTY-FIVE AND EIGHTY-FIVE (145.85) FEET TO A POINT, PREVIOUS THREE (3) COURSES BY THE NORTHERLY SIDELINE OF ACORN PARK; THENCE</w:t>
      </w:r>
    </w:p>
    <w:p>
      <w:pPr>
        <w:spacing w:after="0" w:line="51"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NORTHERLY</w:t>
      </w:r>
    </w:p>
    <w:p>
      <w:pPr>
        <w:spacing w:after="0" w:line="20" w:lineRule="exact"/>
        <w:rPr>
          <w:sz w:val="20"/>
          <w:szCs w:val="20"/>
          <w:color w:val="auto"/>
        </w:rPr>
      </w:pPr>
      <w:r>
        <w:rPr>
          <w:sz w:val="20"/>
          <w:szCs w:val="20"/>
          <w:color w:val="auto"/>
        </w:rPr>
        <w:br w:type="column"/>
      </w:r>
    </w:p>
    <w:p>
      <w:pPr>
        <w:ind w:right="20"/>
        <w:spacing w:after="0" w:line="283" w:lineRule="auto"/>
        <w:rPr>
          <w:sz w:val="20"/>
          <w:szCs w:val="20"/>
          <w:color w:val="auto"/>
        </w:rPr>
      </w:pPr>
      <w:r>
        <w:rPr>
          <w:rFonts w:ascii="Times New Roman" w:cs="Times New Roman" w:eastAsia="Times New Roman" w:hAnsi="Times New Roman"/>
          <w:sz w:val="14"/>
          <w:szCs w:val="14"/>
          <w:color w:val="auto"/>
        </w:rPr>
        <w:t>CURVING TO THE RIGHT ALONG THE ARC OF A CURVE HAVING A RADIUS OF NINETY AND NO HUNDREDTHS (90.00) FEET, A LENGTH OF TWENTY EIGHT AND EIGHTY-FOUR HUNDREDTHS (28.84) FEET TO A POINT; THENCE</w:t>
      </w:r>
    </w:p>
    <w:p>
      <w:pPr>
        <w:spacing w:after="0" w:line="51"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N 01 “20’50”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FIFTY SEVEN AND SEVENTY HUNDREDTHS (57.70) FEET TO A POINT; THENCE</w:t>
      </w:r>
    </w:p>
    <w:p>
      <w:pPr>
        <w:spacing w:after="0" w:line="102"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 01 “08’56” 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TWENTY NINE AND EIGHTY-SEVEN HUNDREDTHS (29.87) FEET TO A POINT; THENCE</w:t>
      </w:r>
    </w:p>
    <w:p>
      <w:pPr>
        <w:spacing w:after="0" w:line="102"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NORTHWESTERLY</w:t>
      </w:r>
    </w:p>
    <w:p>
      <w:pPr>
        <w:spacing w:after="0" w:line="20" w:lineRule="exact"/>
        <w:rPr>
          <w:sz w:val="20"/>
          <w:szCs w:val="20"/>
          <w:color w:val="auto"/>
        </w:rPr>
      </w:pPr>
      <w:r>
        <w:rPr>
          <w:sz w:val="20"/>
          <w:szCs w:val="20"/>
          <w:color w:val="auto"/>
        </w:rPr>
        <w:br w:type="column"/>
      </w:r>
    </w:p>
    <w:p>
      <w:pPr>
        <w:ind w:right="360"/>
        <w:spacing w:after="0" w:line="267" w:lineRule="auto"/>
        <w:rPr>
          <w:sz w:val="20"/>
          <w:szCs w:val="20"/>
          <w:color w:val="auto"/>
        </w:rPr>
      </w:pPr>
      <w:r>
        <w:rPr>
          <w:rFonts w:ascii="Times New Roman" w:cs="Times New Roman" w:eastAsia="Times New Roman" w:hAnsi="Times New Roman"/>
          <w:sz w:val="14"/>
          <w:szCs w:val="14"/>
          <w:color w:val="auto"/>
        </w:rPr>
        <w:t>CURVING TO THE LEFT ALONG THE ARC OF A CURVE HAVING A RADIUS OF ONE HUNDRED EIGHT AND SEVENTY-SEVEN HUNDREDTHS (108.77) FEET, A LENGTH OF NINETY AND EIGHTY-SIX HUNDREDTHS (90.86) FEET TO A POINT, PREVIOUS FOUR (4) COURSES BY DISCOVERY WAY; THENCE</w:t>
      </w:r>
    </w:p>
    <w:p>
      <w:pPr>
        <w:spacing w:after="0" w:line="62"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N 40°38’04”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THIRTY TWO AND NINETY-NINE HUNDREDTHS (32.99) FEET TO A POINT; THENCE</w:t>
      </w:r>
    </w:p>
    <w:p>
      <w:pPr>
        <w:spacing w:after="0" w:line="102"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 74”09’36” E</w:t>
      </w:r>
    </w:p>
    <w:p>
      <w:pPr>
        <w:spacing w:after="0" w:line="20" w:lineRule="exact"/>
        <w:rPr>
          <w:sz w:val="20"/>
          <w:szCs w:val="20"/>
          <w:color w:val="auto"/>
        </w:rPr>
      </w:pPr>
      <w:r>
        <w:rPr>
          <w:sz w:val="20"/>
          <w:szCs w:val="20"/>
          <w:color w:val="auto"/>
        </w:rPr>
        <w:br w:type="column"/>
      </w:r>
    </w:p>
    <w:p>
      <w:pPr>
        <w:ind w:right="280"/>
        <w:spacing w:after="0" w:line="283" w:lineRule="auto"/>
        <w:rPr>
          <w:sz w:val="20"/>
          <w:szCs w:val="20"/>
          <w:color w:val="auto"/>
        </w:rPr>
      </w:pPr>
      <w:r>
        <w:rPr>
          <w:rFonts w:ascii="Times New Roman" w:cs="Times New Roman" w:eastAsia="Times New Roman" w:hAnsi="Times New Roman"/>
          <w:sz w:val="14"/>
          <w:szCs w:val="14"/>
          <w:color w:val="auto"/>
        </w:rPr>
        <w:t>A DISTANCE OF TWO HUNDRED FORTY AND FIVE HUNDREDTHS (240.05) FEET TO THE POINT OF BEGINNING, THE PREVIOUS TWO COURSES BY PARCEL 600.</w:t>
      </w:r>
    </w:p>
    <w:p>
      <w:pPr>
        <w:spacing w:after="0" w:line="125" w:lineRule="exact"/>
        <w:rPr>
          <w:sz w:val="20"/>
          <w:szCs w:val="20"/>
          <w:color w:val="auto"/>
        </w:rPr>
      </w:pPr>
    </w:p>
    <w:p>
      <w:pPr>
        <w:sectPr>
          <w:pgSz w:w="11900" w:h="16838" w:orient="portrait"/>
          <w:cols w:equalWidth="0" w:num="2">
            <w:col w:w="1540" w:space="720"/>
            <w:col w:w="8860"/>
          </w:cols>
          <w:pgMar w:left="300" w:top="797" w:right="479" w:bottom="1440" w:gutter="0" w:footer="0" w:header="0"/>
          <w:type w:val="continuous"/>
        </w:sectPr>
      </w:pPr>
    </w:p>
    <w:p>
      <w:pPr>
        <w:spacing w:after="0" w:line="267" w:lineRule="auto"/>
        <w:rPr>
          <w:sz w:val="20"/>
          <w:szCs w:val="20"/>
          <w:color w:val="auto"/>
        </w:rPr>
      </w:pPr>
      <w:r>
        <w:rPr>
          <w:rFonts w:ascii="Times New Roman" w:cs="Times New Roman" w:eastAsia="Times New Roman" w:hAnsi="Times New Roman"/>
          <w:sz w:val="14"/>
          <w:szCs w:val="14"/>
          <w:color w:val="auto"/>
        </w:rPr>
        <w:t>THE ABOVE DESCRIBED PARCEL OF LAND CONTAINS AN AREA OF 38,268 SQ. FT. MORE OR LESS, OR 0.879 ACRES MORE OR LESS, AND IS MORE PARTICULARLY SHOWN ON A PLAN ENTITLED “SUBDIVISION PLAN OF LAND IN ARLINGTON, BELMONT AND CAMBRIDGE, MASSACHUSETTS” PREPARED BY BSC GROUP, INC., DATED DECEMBER 29, 2016, AND RECORDED AT MIDDLESEX REGISTRY OF DEEDS, SOUTHERN DISTRICT, AS A PLAN 121 OF 2017.</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Exhibit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20"/>
          </w:cols>
          <w:pgMar w:left="300" w:top="797" w:right="479" w:bottom="1440" w:gutter="0" w:footer="0" w:header="0"/>
          <w:type w:val="continuous"/>
        </w:sectPr>
      </w:pPr>
    </w:p>
    <w:bookmarkStart w:id="570" w:name="page571"/>
    <w:bookmarkEnd w:id="570"/>
    <w:p>
      <w:pPr>
        <w:spacing w:after="0"/>
        <w:rPr>
          <w:sz w:val="20"/>
          <w:szCs w:val="20"/>
          <w:color w:val="auto"/>
        </w:rPr>
      </w:pPr>
      <w:r>
        <w:rPr>
          <w:rFonts w:ascii="Times New Roman" w:cs="Times New Roman" w:eastAsia="Times New Roman" w:hAnsi="Times New Roman"/>
          <w:sz w:val="14"/>
          <w:szCs w:val="14"/>
          <w:u w:val="single" w:color="auto"/>
          <w:color w:val="auto"/>
        </w:rPr>
        <w:t>DISCOVERY WAY 2 “Connection Parcel”</w:t>
      </w:r>
    </w:p>
    <w:p>
      <w:pPr>
        <w:spacing w:after="0" w:line="17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4"/>
          <w:szCs w:val="14"/>
          <w:color w:val="auto"/>
        </w:rPr>
        <w:t>A CERTAIN PARCEL OF LAND SITUATED SOUTHWESTERLY OF CONCORD TURNPIKE, AND NORTHERLY OF ACORN PARK, IN THE CITY OF CAMBRIDGE, IN THE COUNTY OF MIDDLESEX, COMMONWEALTH OF MASSACHUSETTS, BOUNDED AND DESCRIBED AS FOLLOWS:</w:t>
      </w:r>
    </w:p>
    <w:p>
      <w:pPr>
        <w:spacing w:after="0" w:line="125"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4"/>
          <w:szCs w:val="14"/>
          <w:color w:val="auto"/>
        </w:rPr>
        <w:t>BEGINNING AT A POINT AT THE MOST SOUTHEASTERLY CORNER OF THE PARCEL HEREINAFTER DESCRIBED, SAID POINT BEING ON THE NORTHERLY SIDELINE OF ACORN PARK AS SHOWN ON A PLAN REFERENCED BELOW, THENCE</w:t>
      </w:r>
    </w:p>
    <w:p>
      <w:pPr>
        <w:sectPr>
          <w:pgSz w:w="11900" w:h="16838" w:orient="portrait"/>
          <w:cols w:equalWidth="0" w:num="1">
            <w:col w:w="11220"/>
          </w:cols>
          <w:pgMar w:left="300" w:top="797" w:right="37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 89°27’22” W</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4"/>
          <w:szCs w:val="14"/>
          <w:color w:val="auto"/>
        </w:rPr>
        <w:t>ALONG SAID NORTHERLY LINE OF ACORN PARK A DISTANCE OF TWENTY NINE AND FIFTY-EIGHT HUNDREDTHS (29.58) FEET TO A POINT; THENCE</w:t>
      </w:r>
    </w:p>
    <w:p>
      <w:pPr>
        <w:spacing w:after="0" w:line="51"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 0°20’50”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EIGHTY FIVE AND NINETY-TWO HUNDREDTHS (85.92) FEET TO A POINT; THENCE</w:t>
      </w:r>
    </w:p>
    <w:p>
      <w:pPr>
        <w:spacing w:after="0" w:line="10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 0°08’56” 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TWENTY NINE AND THIRTY-THREE HUNDREDTHS (29.33) FEET TO A POINT; THENCE</w:t>
      </w:r>
    </w:p>
    <w:p>
      <w:pPr>
        <w:spacing w:after="0" w:line="10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NORTHWESTERLY</w:t>
      </w:r>
    </w:p>
    <w:p>
      <w:pPr>
        <w:spacing w:after="0" w:line="20" w:lineRule="exact"/>
        <w:rPr>
          <w:sz w:val="20"/>
          <w:szCs w:val="20"/>
          <w:color w:val="auto"/>
        </w:rPr>
      </w:pPr>
      <w:r>
        <w:rPr>
          <w:sz w:val="20"/>
          <w:szCs w:val="20"/>
          <w:color w:val="auto"/>
        </w:rPr>
        <w:br w:type="column"/>
      </w:r>
    </w:p>
    <w:p>
      <w:pPr>
        <w:ind w:right="180"/>
        <w:spacing w:after="0" w:line="267" w:lineRule="auto"/>
        <w:rPr>
          <w:sz w:val="20"/>
          <w:szCs w:val="20"/>
          <w:color w:val="auto"/>
        </w:rPr>
      </w:pPr>
      <w:r>
        <w:rPr>
          <w:rFonts w:ascii="Times New Roman" w:cs="Times New Roman" w:eastAsia="Times New Roman" w:hAnsi="Times New Roman"/>
          <w:sz w:val="14"/>
          <w:szCs w:val="14"/>
          <w:color w:val="auto"/>
        </w:rPr>
        <w:t>CURVING TO THE LEFT ALONG THE ARC OF A CURVE HAVING A RADIUS OF EIGHTY THREE AND SEVENTY-SEVEN HUNDREDTHS (83.77) FEET, A LENGTH OF SIXTY NINE AND EIGHTY-TWO HUNDREDTHS (69.82) FEET TO A POINT, PREVIOUS THREE (3) COURSES BY PARCEL 400; THENCE</w:t>
      </w:r>
    </w:p>
    <w:p>
      <w:pPr>
        <w:spacing w:after="0" w:line="6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N 40°38’04” 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color w:val="auto"/>
        </w:rPr>
        <w:t>ACROSS DISCOVERY WAY A DISTANCE OF TWENTY FIVE AND NO HUNDREDTHS (25.00) FEET TO A POINT; THENCE</w:t>
      </w:r>
    </w:p>
    <w:p>
      <w:pPr>
        <w:spacing w:after="0" w:line="10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SOUTHEASTERLY</w:t>
      </w:r>
    </w:p>
    <w:p>
      <w:pPr>
        <w:spacing w:after="0" w:line="20" w:lineRule="exact"/>
        <w:rPr>
          <w:sz w:val="20"/>
          <w:szCs w:val="20"/>
          <w:color w:val="auto"/>
        </w:rPr>
      </w:pPr>
      <w:r>
        <w:rPr>
          <w:sz w:val="20"/>
          <w:szCs w:val="20"/>
          <w:color w:val="auto"/>
        </w:rPr>
        <w:br w:type="column"/>
      </w:r>
    </w:p>
    <w:p>
      <w:pPr>
        <w:ind w:right="800"/>
        <w:spacing w:after="0" w:line="283" w:lineRule="auto"/>
        <w:rPr>
          <w:sz w:val="20"/>
          <w:szCs w:val="20"/>
          <w:color w:val="auto"/>
        </w:rPr>
      </w:pPr>
      <w:r>
        <w:rPr>
          <w:rFonts w:ascii="Times New Roman" w:cs="Times New Roman" w:eastAsia="Times New Roman" w:hAnsi="Times New Roman"/>
          <w:sz w:val="14"/>
          <w:szCs w:val="14"/>
          <w:color w:val="auto"/>
        </w:rPr>
        <w:t>CURVING TO THE RIGHT ALONG THE ARC OF A CURVE HAVING A RADIUS OF ONE HUNDRED EIGHT AND SEVENTY-SEVEN HUNDREDTHS (108.77) FEET, A LENGTH OF NINETY AND EIGHTY-SIX HUNDREDTHS (90.86) FEET TO A POINT; THENCE</w:t>
      </w:r>
    </w:p>
    <w:p>
      <w:pPr>
        <w:spacing w:after="0" w:line="51"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 01°08’56”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TWENTY NINE AND EIGHTY-SEVEN HUNDREDTHS (29.87) FEET TO A POINT; THENCE</w:t>
      </w:r>
    </w:p>
    <w:p>
      <w:pPr>
        <w:spacing w:after="0" w:line="10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 01°20’50” 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DISTANCE OF FIFTY SEVEN AND SEVENTY HUNDREDTHS (57.70) FEET TO A POINT; THENCE</w:t>
      </w:r>
    </w:p>
    <w:p>
      <w:pPr>
        <w:spacing w:after="0" w:line="102"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SOUTHERLY</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4"/>
          <w:szCs w:val="14"/>
          <w:color w:val="auto"/>
        </w:rPr>
        <w:t>CURVING TO THE LEFT ALONG THE ARC OF A CURVE HAVING A RADIUS OF NINETY AND NO HUNDREDTHS (90.00) FEET, A LENGTH OF TWENTY EIGHT AND EIGHTY-FOUR HUNDREDTHS (28.84) FEET TO THE POINT OF BEGINNING, THE PREVIOUS FOUR (4) COURSES BY PARCEL 500.</w:t>
      </w:r>
    </w:p>
    <w:p>
      <w:pPr>
        <w:spacing w:after="0" w:line="136" w:lineRule="exact"/>
        <w:rPr>
          <w:sz w:val="20"/>
          <w:szCs w:val="20"/>
          <w:color w:val="auto"/>
        </w:rPr>
      </w:pPr>
    </w:p>
    <w:p>
      <w:pPr>
        <w:sectPr>
          <w:pgSz w:w="11900" w:h="16838" w:orient="portrait"/>
          <w:cols w:equalWidth="0" w:num="2">
            <w:col w:w="1540" w:space="720"/>
            <w:col w:w="8960"/>
          </w:cols>
          <w:pgMar w:left="300" w:top="797" w:right="379" w:bottom="1440" w:gutter="0" w:footer="0" w:header="0"/>
          <w:type w:val="continuous"/>
        </w:sectPr>
      </w:pPr>
    </w:p>
    <w:p>
      <w:pPr>
        <w:ind w:right="160"/>
        <w:spacing w:after="0" w:line="267" w:lineRule="auto"/>
        <w:rPr>
          <w:sz w:val="20"/>
          <w:szCs w:val="20"/>
          <w:color w:val="auto"/>
        </w:rPr>
      </w:pPr>
      <w:r>
        <w:rPr>
          <w:rFonts w:ascii="Times New Roman" w:cs="Times New Roman" w:eastAsia="Times New Roman" w:hAnsi="Times New Roman"/>
          <w:sz w:val="14"/>
          <w:szCs w:val="14"/>
          <w:color w:val="auto"/>
        </w:rPr>
        <w:t>THE ABOVE DESCRIBED PARCEL OF LAND CONTAINS AN AREA OF 4,942 SQ. FT. MORE OR LESS, OR 0.113 ACRES MORE OR LESS, AND IS MORE PARTICULARLY SHOWN ON A PLAN ENTITLED “SUBDIVISION PLAN OF LAND IN ARLINGTON, BELMONT AND CAMBRIDGE, MASSACHUSETTS” PREPARED BY BSC GROUP, INC., DATED DECEMBER 29, 2016, AND RECORDED AT MIDDLESEX REGISTRY OF DEEDS, SOUTHERN DISTRICT, AS A PLAN 121 OF 2017.</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Exhibit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20"/>
          </w:cols>
          <w:pgMar w:left="300" w:top="797" w:right="379" w:bottom="1440" w:gutter="0" w:footer="0" w:header="0"/>
          <w:type w:val="continuous"/>
        </w:sectPr>
      </w:pPr>
    </w:p>
    <w:bookmarkStart w:id="571" w:name="page572"/>
    <w:bookmarkEnd w:id="571"/>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EXHIBIT D-2</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GENERAL DESCRIPTION OF TENANT’S WORK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Fog Pharma Fit-Up Phase 1, 2, 3 Scope of Work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400 Cambridge Discovery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Cambridge, MA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April 8, 2019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Fog Pharma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 Office Fit-out Phase 1 (Approximately 44,500 SF)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Scope of Work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PHASE 1 DESCRIPTION</w:t>
      </w:r>
    </w:p>
    <w:p>
      <w:pPr>
        <w:spacing w:after="0" w:line="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Fog Pharma consists of a tenant fit-up of the first floor (partial; 2500 SF), consisting of office support conferencing center. Including Lab infrastructure ( M.E.P, RODI, Vac, Air, and Nitrogen) for future space. To be caped and valved at unfinished space. The Second Floor to have (partial; 10,500SF) consisting of 40/60% Office/Chemistry lab. With Lab Infrastructure ( M.E.P, RODI, Vac, Air, and Nitrogen) forfuture space to be caped and valved at unfinished space. The Third Floor to have (partial; 10,500SF) consisting of 40/60% Office/Chemistry lab. With Lab Infrastructure ( M.E.P, RODI, Vac, Air, and Nitrogen) for future space to be caped and valved at unfinished space. The Fourth Floor to have ( partial; 10,500 SF) consisting of 40/60% Office/Biology lab. With Lab Infrastructure ( M.E.P, RODI, Vac, Air, and Nitrogen) for future space to be caped and valved at unfinished space. The Fifth Floor (Partial; 00 SF) to have 50/50% Office/Biology Lab Infrastructure ( M.E.P, RODI, Vac, Air, and Nitrogen) for future space to be caped and valved at core shafts. The Sixth Floor (Partial 10,500 SF) Consisting of 80/20, Office/Biology Lab, and break/lunch area. All of Phase 1 to be Office fit-out, with Lab Infrastructure ( M.E.P, RODI, Vac, Air, and Nitrogen) To be Valved and capped at core shafts.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 Office Fit-out Phase 2 (Approximately 49,750 SF)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Scope of Work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PHASE 2 DESCRIPTION</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Fog Pharma consists of a tenant fit-up of the first floor (partial; 2500 SF), consisting of Lab Support area. Including Lab infrastructure ( M.E.P, RODI, Vac, Air, and Nitrogen) for future space to be caped and valved at unfinished space. The Second Floor to have (partial; 5250 SF) consisting of 100% Process Manufacturing lab. The Third Floor to have (partial; 10,500SF) consisting of 40/60% Office/Chemistry lab. The Fourth Floor to have (partial; 10,500SF) consisting of 40/60 Office/Biology lab. The Fifth Floor (Partial; 21,000 SF) to have 50/50 Office/Biology. The Sixth Floor (Partial; 00 SF).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Lab/ Office Fit-out Phase 3 (Approximately 19,100 SF)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Scope of Work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PHASE 3 DESCRIPTION</w:t>
      </w:r>
    </w:p>
    <w:p>
      <w:pPr>
        <w:spacing w:after="0" w:line="9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Fog Pharma consists of a tenant fit-up of the first floor (Partial; 3350 SF), consisting of Lab Support area. The Second Floor to have (partial; 5250 SF) consisting of 100% Process Manufacturing lab. The Sixth Floor (Partial; 10,500 SF) Consisting of 80/20, Office/Biology Lab, and break/lunch area. All of Phase 3 to be Office fit-out. Lab Infrastructure to be Valved and capped at shaft walls if needed.</w:t>
      </w: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Exhibit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00"/>
          </w:cols>
          <w:pgMar w:left="300" w:top="795" w:right="399" w:bottom="1440" w:gutter="0" w:footer="0" w:header="0"/>
        </w:sectPr>
      </w:pPr>
    </w:p>
    <w:bookmarkStart w:id="572" w:name="page573"/>
    <w:bookmarkEnd w:id="57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RULES AND REGULATIONS</w:t>
      </w:r>
    </w:p>
    <w:p>
      <w:pPr>
        <w:spacing w:after="0" w:line="175" w:lineRule="exact"/>
        <w:rPr>
          <w:sz w:val="20"/>
          <w:szCs w:val="20"/>
          <w:color w:val="auto"/>
        </w:rPr>
      </w:pPr>
    </w:p>
    <w:p>
      <w:pPr>
        <w:ind w:right="240" w:firstLine="1151"/>
        <w:spacing w:after="0" w:line="267" w:lineRule="auto"/>
        <w:rPr>
          <w:sz w:val="20"/>
          <w:szCs w:val="20"/>
          <w:color w:val="auto"/>
        </w:rPr>
      </w:pPr>
      <w:r>
        <w:rPr>
          <w:rFonts w:ascii="Times New Roman" w:cs="Times New Roman" w:eastAsia="Times New Roman" w:hAnsi="Times New Roman"/>
          <w:sz w:val="14"/>
          <w:szCs w:val="14"/>
          <w:color w:val="auto"/>
        </w:rPr>
        <w:t>400 Discovery Park, LLC (“</w:t>
      </w: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hereby promulgates the rules and regulations (the “</w:t>
      </w:r>
      <w:r>
        <w:rPr>
          <w:rFonts w:ascii="Times New Roman" w:cs="Times New Roman" w:eastAsia="Times New Roman" w:hAnsi="Times New Roman"/>
          <w:sz w:val="14"/>
          <w:szCs w:val="14"/>
          <w:u w:val="single" w:color="auto"/>
          <w:color w:val="auto"/>
        </w:rPr>
        <w:t>Rules and Regulations</w:t>
      </w:r>
      <w:r>
        <w:rPr>
          <w:rFonts w:ascii="Times New Roman" w:cs="Times New Roman" w:eastAsia="Times New Roman" w:hAnsi="Times New Roman"/>
          <w:sz w:val="14"/>
          <w:szCs w:val="14"/>
          <w:color w:val="auto"/>
        </w:rPr>
        <w:t>”) set forth below with respect to the use of the buildings (the “</w:t>
      </w:r>
      <w:r>
        <w:rPr>
          <w:rFonts w:ascii="Times New Roman" w:cs="Times New Roman" w:eastAsia="Times New Roman" w:hAnsi="Times New Roman"/>
          <w:sz w:val="14"/>
          <w:szCs w:val="14"/>
          <w:u w:val="single" w:color="auto"/>
          <w:color w:val="auto"/>
        </w:rPr>
        <w:t>Buildings</w:t>
      </w:r>
      <w:r>
        <w:rPr>
          <w:rFonts w:ascii="Times New Roman" w:cs="Times New Roman" w:eastAsia="Times New Roman" w:hAnsi="Times New Roman"/>
          <w:sz w:val="14"/>
          <w:szCs w:val="14"/>
          <w:color w:val="auto"/>
        </w:rPr>
        <w:t>”) and related amenities located at and known as Cambridge Discovery Park, Cambridge, Massachusetts (the “</w:t>
      </w:r>
      <w:r>
        <w:rPr>
          <w:rFonts w:ascii="Times New Roman" w:cs="Times New Roman" w:eastAsia="Times New Roman" w:hAnsi="Times New Roman"/>
          <w:sz w:val="14"/>
          <w:szCs w:val="14"/>
          <w:u w:val="single" w:color="auto"/>
          <w:color w:val="auto"/>
        </w:rPr>
        <w:t>Property</w:t>
      </w:r>
      <w:r>
        <w:rPr>
          <w:rFonts w:ascii="Times New Roman" w:cs="Times New Roman" w:eastAsia="Times New Roman" w:hAnsi="Times New Roman"/>
          <w:sz w:val="14"/>
          <w:szCs w:val="14"/>
          <w:color w:val="auto"/>
        </w:rPr>
        <w:t>”) by tenants (collectively, the “</w:t>
      </w:r>
      <w:r>
        <w:rPr>
          <w:rFonts w:ascii="Times New Roman" w:cs="Times New Roman" w:eastAsia="Times New Roman" w:hAnsi="Times New Roman"/>
          <w:sz w:val="14"/>
          <w:szCs w:val="14"/>
          <w:u w:val="single" w:color="auto"/>
          <w:color w:val="auto"/>
        </w:rPr>
        <w:t>Tenants</w:t>
      </w:r>
      <w:r>
        <w:rPr>
          <w:rFonts w:ascii="Times New Roman" w:cs="Times New Roman" w:eastAsia="Times New Roman" w:hAnsi="Times New Roman"/>
          <w:sz w:val="14"/>
          <w:szCs w:val="14"/>
          <w:color w:val="auto"/>
        </w:rPr>
        <w:t>,” and individually, a “</w:t>
      </w: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 of the Buildings. Any space within the Buildings leased by a Tenant is called “</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The Rules and Regulations are as follows:</w:t>
      </w:r>
    </w:p>
    <w:p>
      <w:pPr>
        <w:spacing w:after="0" w:line="136" w:lineRule="exact"/>
        <w:rPr>
          <w:sz w:val="20"/>
          <w:szCs w:val="20"/>
          <w:color w:val="auto"/>
        </w:rPr>
      </w:pPr>
    </w:p>
    <w:p>
      <w:pPr>
        <w:ind w:right="180" w:firstLine="1155"/>
        <w:spacing w:after="0" w:line="267" w:lineRule="auto"/>
        <w:tabs>
          <w:tab w:leader="none" w:pos="129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Sidewalks, doorways, vestibules, stairways, elevators, corridors, halls and other similar areas within the common areas of the Property (the “</w:t>
      </w:r>
      <w:r>
        <w:rPr>
          <w:rFonts w:ascii="Times New Roman" w:cs="Times New Roman" w:eastAsia="Times New Roman" w:hAnsi="Times New Roman"/>
          <w:sz w:val="14"/>
          <w:szCs w:val="14"/>
          <w:u w:val="single" w:color="auto"/>
          <w:color w:val="auto"/>
        </w:rPr>
        <w:t>Common Areas</w:t>
      </w:r>
      <w:r>
        <w:rPr>
          <w:rFonts w:ascii="Times New Roman" w:cs="Times New Roman" w:eastAsia="Times New Roman" w:hAnsi="Times New Roman"/>
          <w:sz w:val="14"/>
          <w:szCs w:val="14"/>
          <w:color w:val="auto"/>
        </w:rPr>
        <w:t>”) shall not be obstructed by any Tenant or used for any purpose other than ingress and egress to and from the portion of the Property leased by the applicable Tenant and for going from one part of the Property to another part of the Property.</w:t>
      </w:r>
    </w:p>
    <w:p>
      <w:pPr>
        <w:spacing w:after="0" w:line="135" w:lineRule="exact"/>
        <w:rPr>
          <w:rFonts w:ascii="Times New Roman" w:cs="Times New Roman" w:eastAsia="Times New Roman" w:hAnsi="Times New Roman"/>
          <w:sz w:val="14"/>
          <w:szCs w:val="14"/>
          <w:color w:val="auto"/>
        </w:rPr>
      </w:pPr>
    </w:p>
    <w:p>
      <w:pPr>
        <w:ind w:right="180" w:firstLine="1155"/>
        <w:spacing w:after="0" w:line="283" w:lineRule="auto"/>
        <w:tabs>
          <w:tab w:leader="none" w:pos="129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sign, advertisement, notice or other lettering shall be exhibited, inscribed, painted or affixed by a Tenant on or to any window, door, corridor or other part of the Buildings which is visible from outside of the Premises without the prior written consent of Landlord.</w:t>
      </w:r>
    </w:p>
    <w:p>
      <w:pPr>
        <w:spacing w:after="0" w:line="124" w:lineRule="exact"/>
        <w:rPr>
          <w:rFonts w:ascii="Times New Roman" w:cs="Times New Roman" w:eastAsia="Times New Roman" w:hAnsi="Times New Roman"/>
          <w:sz w:val="14"/>
          <w:szCs w:val="14"/>
          <w:color w:val="auto"/>
        </w:rPr>
      </w:pPr>
    </w:p>
    <w:p>
      <w:pPr>
        <w:ind w:right="180" w:firstLine="1155"/>
        <w:spacing w:after="0" w:line="283" w:lineRule="auto"/>
        <w:tabs>
          <w:tab w:leader="none" w:pos="129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will provide and maintain a directory board in a Common Area identifying the Tenants. Without the prior written consent of Landlord, no Tenant shall be entitled to maintain any other directory or identifying sign in any Common Area.</w:t>
      </w:r>
    </w:p>
    <w:p>
      <w:pPr>
        <w:spacing w:after="0" w:line="124" w:lineRule="exact"/>
        <w:rPr>
          <w:rFonts w:ascii="Times New Roman" w:cs="Times New Roman" w:eastAsia="Times New Roman" w:hAnsi="Times New Roman"/>
          <w:sz w:val="14"/>
          <w:szCs w:val="14"/>
          <w:color w:val="auto"/>
        </w:rPr>
      </w:pPr>
    </w:p>
    <w:p>
      <w:pPr>
        <w:ind w:right="420" w:firstLine="1155"/>
        <w:spacing w:after="0" w:line="283" w:lineRule="auto"/>
        <w:tabs>
          <w:tab w:leader="none" w:pos="129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Movement of furniture, office equipment or any bulky material which requires movement through the Common Areas of the Buildings shall be restricted to such hours as Landlord may reasonably designate, and such movement shall be subject to such restrictions as Landlord may reasonably impose.</w:t>
      </w:r>
    </w:p>
    <w:p>
      <w:pPr>
        <w:spacing w:after="0" w:line="124" w:lineRule="exact"/>
        <w:rPr>
          <w:rFonts w:ascii="Times New Roman" w:cs="Times New Roman" w:eastAsia="Times New Roman" w:hAnsi="Times New Roman"/>
          <w:sz w:val="14"/>
          <w:szCs w:val="14"/>
          <w:color w:val="auto"/>
        </w:rPr>
      </w:pPr>
    </w:p>
    <w:p>
      <w:pPr>
        <w:ind w:left="1300" w:hanging="145"/>
        <w:spacing w:after="0"/>
        <w:tabs>
          <w:tab w:leader="none" w:pos="130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shall have the authority to limit the weight of, and to prescribe and restrict the positioning and manner of installation of, safes, file cabinets and other heavy equipment.</w:t>
      </w:r>
    </w:p>
    <w:p>
      <w:pPr>
        <w:spacing w:after="0" w:line="175" w:lineRule="exact"/>
        <w:rPr>
          <w:rFonts w:ascii="Times New Roman" w:cs="Times New Roman" w:eastAsia="Times New Roman" w:hAnsi="Times New Roman"/>
          <w:sz w:val="14"/>
          <w:szCs w:val="14"/>
          <w:color w:val="auto"/>
        </w:rPr>
      </w:pPr>
    </w:p>
    <w:p>
      <w:pPr>
        <w:ind w:left="1300" w:hanging="145"/>
        <w:spacing w:after="0"/>
        <w:tabs>
          <w:tab w:leader="none" w:pos="130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Tenant shall use, or permit any person making or receiving any delivery to its Premises to use, any hand trucks except those equipped with rubber tires and side guards.</w:t>
      </w:r>
    </w:p>
    <w:p>
      <w:pPr>
        <w:spacing w:after="0" w:line="175" w:lineRule="exact"/>
        <w:rPr>
          <w:rFonts w:ascii="Times New Roman" w:cs="Times New Roman" w:eastAsia="Times New Roman" w:hAnsi="Times New Roman"/>
          <w:sz w:val="14"/>
          <w:szCs w:val="14"/>
          <w:color w:val="auto"/>
        </w:rPr>
      </w:pPr>
    </w:p>
    <w:p>
      <w:pPr>
        <w:jc w:val="both"/>
        <w:ind w:right="180" w:firstLine="1155"/>
        <w:spacing w:after="0" w:line="261" w:lineRule="auto"/>
        <w:tabs>
          <w:tab w:leader="none" w:pos="129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security restrictions imposed by any governmental body for which Tenant is performing services, all locks for doors in each Tenant’s Premises shall be building standard and no Tenant shall place any additional lock or locks on any door in its Premises without Landlord’s prior written consent. All requests for duplicate keys shall be made through Landlord and charged to the Tenant Upon termination of a Tenant’s tenancy, the Tenant shall deliver to Landlord all keys to the Tenant’s Premises, to interior doors within the Tenant’s Premises, to doors within the Common Areas and to exterior Building doors which have been furnished to or obtained by the Tenant.</w:t>
      </w:r>
    </w:p>
    <w:p>
      <w:pPr>
        <w:spacing w:after="0" w:line="140" w:lineRule="exact"/>
        <w:rPr>
          <w:rFonts w:ascii="Times New Roman" w:cs="Times New Roman" w:eastAsia="Times New Roman" w:hAnsi="Times New Roman"/>
          <w:sz w:val="14"/>
          <w:szCs w:val="14"/>
          <w:color w:val="auto"/>
        </w:rPr>
      </w:pPr>
    </w:p>
    <w:p>
      <w:pPr>
        <w:ind w:left="1300" w:hanging="145"/>
        <w:spacing w:after="0"/>
        <w:tabs>
          <w:tab w:leader="none" w:pos="130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Corridor doors, when not in use, shall be kept closed.</w:t>
      </w:r>
    </w:p>
    <w:p>
      <w:pPr>
        <w:spacing w:after="0" w:line="175" w:lineRule="exact"/>
        <w:rPr>
          <w:rFonts w:ascii="Times New Roman" w:cs="Times New Roman" w:eastAsia="Times New Roman" w:hAnsi="Times New Roman"/>
          <w:sz w:val="14"/>
          <w:szCs w:val="14"/>
          <w:color w:val="auto"/>
        </w:rPr>
      </w:pPr>
    </w:p>
    <w:p>
      <w:pPr>
        <w:ind w:left="1300" w:hanging="145"/>
        <w:spacing w:after="0"/>
        <w:tabs>
          <w:tab w:leader="none" w:pos="130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Tenant shall lock all doors of its Premises leading to Common Areas at the close of its working day.</w:t>
      </w:r>
    </w:p>
    <w:p>
      <w:pPr>
        <w:spacing w:after="0" w:line="175" w:lineRule="exact"/>
        <w:rPr>
          <w:rFonts w:ascii="Times New Roman" w:cs="Times New Roman" w:eastAsia="Times New Roman" w:hAnsi="Times New Roman"/>
          <w:sz w:val="14"/>
          <w:szCs w:val="14"/>
          <w:color w:val="auto"/>
        </w:rPr>
      </w:pPr>
    </w:p>
    <w:p>
      <w:pPr>
        <w:ind w:right="100" w:firstLine="1155"/>
        <w:spacing w:after="0" w:line="283" w:lineRule="auto"/>
        <w:tabs>
          <w:tab w:leader="none" w:pos="136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curtains, blinds, draperies or other window treatments shall be attached to or hung in any window of the Premises of a Tenant on an exterior wall of the Buildings or on an interior wall of any Building dividing the Premises from Common Areas without the prior written consent of Landlord, which consent shall not be unreasonably withheld.</w:t>
      </w:r>
    </w:p>
    <w:p>
      <w:pPr>
        <w:spacing w:after="0" w:line="124" w:lineRule="exact"/>
        <w:rPr>
          <w:rFonts w:ascii="Times New Roman" w:cs="Times New Roman" w:eastAsia="Times New Roman" w:hAnsi="Times New Roman"/>
          <w:sz w:val="14"/>
          <w:szCs w:val="14"/>
          <w:color w:val="auto"/>
        </w:rPr>
      </w:pPr>
    </w:p>
    <w:p>
      <w:pPr>
        <w:ind w:right="120" w:firstLine="1155"/>
        <w:spacing w:after="0" w:line="267" w:lineRule="auto"/>
        <w:tabs>
          <w:tab w:leader="none" w:pos="136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Plumbing fixtures and appliances shall be used only for the purposes for which they were designed and constructed, and no sweepings, rubbish, rags or other material shall be thrown or placed therein. The cost of repairing any damage resulting from misuse of the plumbing fixtures or appliances by a Tenant or its employees, agents or invitees shall be borne by the responsible Tenant.</w:t>
      </w:r>
    </w:p>
    <w:p>
      <w:pPr>
        <w:spacing w:after="0" w:line="135" w:lineRule="exact"/>
        <w:rPr>
          <w:rFonts w:ascii="Times New Roman" w:cs="Times New Roman" w:eastAsia="Times New Roman" w:hAnsi="Times New Roman"/>
          <w:sz w:val="14"/>
          <w:szCs w:val="14"/>
          <w:color w:val="auto"/>
        </w:rPr>
      </w:pPr>
    </w:p>
    <w:p>
      <w:pPr>
        <w:ind w:right="100" w:firstLine="1155"/>
        <w:spacing w:after="0" w:line="283" w:lineRule="auto"/>
        <w:tabs>
          <w:tab w:leader="none" w:pos="136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Tenant shall use or permit the use of its Premises, or any part thereof, for lodging, for manufacturing, for any immoral or illegal purpose, or for any other purpose which is not permitted by the terms of its lease.</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vending machines shall be allowed in any Premises without the prior written consent of Landlord, except for vending machines for the sole use of Tenant, its employees and</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invitees.</w:t>
      </w:r>
    </w:p>
    <w:p>
      <w:pPr>
        <w:spacing w:after="0" w:line="160" w:lineRule="exact"/>
        <w:rPr>
          <w:rFonts w:ascii="Times New Roman" w:cs="Times New Roman" w:eastAsia="Times New Roman" w:hAnsi="Times New Roman"/>
          <w:sz w:val="14"/>
          <w:szCs w:val="14"/>
          <w:color w:val="auto"/>
        </w:rPr>
      </w:pPr>
    </w:p>
    <w:p>
      <w:pPr>
        <w:ind w:right="160" w:firstLine="1155"/>
        <w:spacing w:after="0" w:line="283" w:lineRule="auto"/>
        <w:tabs>
          <w:tab w:leader="none" w:pos="1361"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Tenant shall, at its expense, provide artificial light and electric current for the employees of Landlord and/or Landlord’s contractors while performing janitorial or other cleaning, maintenance or repair services in the Tenant’s Premises.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796" w:right="359" w:bottom="1440" w:gutter="0" w:footer="0" w:header="0"/>
        </w:sectPr>
      </w:pPr>
    </w:p>
    <w:bookmarkStart w:id="573" w:name="page574"/>
    <w:bookmarkEnd w:id="573"/>
    <w:p>
      <w:pPr>
        <w:ind w:right="80" w:firstLine="1155"/>
        <w:spacing w:after="0" w:line="283"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Tenant will make or permit any of its employees, agents or invitees to make any improper noises in the Buildings or to otherwise interfere in any way with other Tenants or persons having business with them.</w:t>
      </w:r>
    </w:p>
    <w:p>
      <w:pPr>
        <w:spacing w:after="0" w:line="124"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Tenant shall cause any unnecessary janitorial labor or services by reason of the Tenant’s willful misconduct or carelessness or indifference in the preservation of good order</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cleanliness.</w:t>
      </w:r>
    </w:p>
    <w:p>
      <w:pPr>
        <w:spacing w:after="0" w:line="160"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birds or animals of any kind shall be brought onto or kept on the Property, other than laboratory animals used in a Tenant’s permitted use of its Premises in accordance with</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laws.</w:t>
      </w:r>
    </w:p>
    <w:p>
      <w:pPr>
        <w:spacing w:after="0" w:line="160" w:lineRule="exact"/>
        <w:rPr>
          <w:rFonts w:ascii="Times New Roman" w:cs="Times New Roman" w:eastAsia="Times New Roman" w:hAnsi="Times New Roman"/>
          <w:sz w:val="14"/>
          <w:szCs w:val="14"/>
          <w:color w:val="auto"/>
        </w:rPr>
      </w:pPr>
    </w:p>
    <w:p>
      <w:pPr>
        <w:ind w:right="160" w:firstLine="1155"/>
        <w:spacing w:after="0" w:line="283"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prior written consent of Landlord, no Tenant shall use the name of the Project or any picture of the Project or Buildings in any materials promoting or advertising the business of the Tenant, except that each Tenant may use the address of the Project as the address of its business.</w:t>
      </w:r>
    </w:p>
    <w:p>
      <w:pPr>
        <w:spacing w:after="0" w:line="124" w:lineRule="exact"/>
        <w:rPr>
          <w:rFonts w:ascii="Times New Roman" w:cs="Times New Roman" w:eastAsia="Times New Roman" w:hAnsi="Times New Roman"/>
          <w:sz w:val="14"/>
          <w:szCs w:val="14"/>
          <w:color w:val="auto"/>
        </w:rPr>
      </w:pPr>
    </w:p>
    <w:p>
      <w:pPr>
        <w:ind w:right="320" w:firstLine="1155"/>
        <w:spacing w:after="0" w:line="267"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Tenant shall cooperate with Landlord to assure the effective operation of the heating and air conditioning systems serving the Tenant’s Premises and the Buildings. Without limiting the generality of the immediately preceding sentence, each Tenant will, at the request of Landlord, close its window treatments when the sun’s rays fall directly on windows of its Premises.</w:t>
      </w:r>
    </w:p>
    <w:p>
      <w:pPr>
        <w:spacing w:after="0" w:line="135" w:lineRule="exact"/>
        <w:rPr>
          <w:rFonts w:ascii="Times New Roman" w:cs="Times New Roman" w:eastAsia="Times New Roman" w:hAnsi="Times New Roman"/>
          <w:sz w:val="14"/>
          <w:szCs w:val="14"/>
          <w:color w:val="auto"/>
        </w:rPr>
      </w:pPr>
    </w:p>
    <w:p>
      <w:pPr>
        <w:ind w:right="20" w:firstLine="1155"/>
        <w:spacing w:after="0" w:line="283"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Landlord nor the Property manager will be responsible for lost or stolen money, jewelry or other personal property from any areas of the Property, regardless of whether the loss or theft occurs when the area in question is locked.</w:t>
      </w:r>
    </w:p>
    <w:p>
      <w:pPr>
        <w:spacing w:after="0" w:line="124" w:lineRule="exact"/>
        <w:rPr>
          <w:rFonts w:ascii="Times New Roman" w:cs="Times New Roman" w:eastAsia="Times New Roman" w:hAnsi="Times New Roman"/>
          <w:sz w:val="14"/>
          <w:szCs w:val="14"/>
          <w:color w:val="auto"/>
        </w:rPr>
      </w:pPr>
    </w:p>
    <w:p>
      <w:pPr>
        <w:ind w:right="40" w:firstLine="1155"/>
        <w:spacing w:after="0" w:line="258"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may, in its discretion, institute security measures in the operation of the Property, and Tenants will comply with all such security measures. Such security measures may include, but are not limited to, requiring persons entering the Building or the Property to identify themselves to a watchman or other person designated by Landlord and to sign in and sign out of the Property, denying access to persons who are not properly identified or appear suspicious, and conducting fire or other emergency drills. The exercise of such security measures by Landlord and any resulting interruption of a Tenant’s business shall not constitute an eviction or disturbance of a Tenant’s use and possession of its Premises, render Landlord liable to the Tenant for damages, or relieve a Tenant from its obligations under its lease.</w:t>
      </w:r>
    </w:p>
    <w:p>
      <w:pPr>
        <w:spacing w:after="0" w:line="143" w:lineRule="exact"/>
        <w:rPr>
          <w:rFonts w:ascii="Times New Roman" w:cs="Times New Roman" w:eastAsia="Times New Roman" w:hAnsi="Times New Roman"/>
          <w:sz w:val="14"/>
          <w:szCs w:val="14"/>
          <w:color w:val="auto"/>
        </w:rPr>
      </w:pPr>
    </w:p>
    <w:p>
      <w:pPr>
        <w:ind w:left="1360" w:hanging="205"/>
        <w:spacing w:after="0"/>
        <w:tabs>
          <w:tab w:leader="none" w:pos="136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bicycles or vehicles shall be brought into or kept in any Building. All bicycles and vehicles brought onto the Property shall be driven and parked only in designated, paved</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areas.</w:t>
      </w:r>
    </w:p>
    <w:p>
      <w:pPr>
        <w:spacing w:after="0" w:line="160" w:lineRule="exact"/>
        <w:rPr>
          <w:rFonts w:ascii="Times New Roman" w:cs="Times New Roman" w:eastAsia="Times New Roman" w:hAnsi="Times New Roman"/>
          <w:sz w:val="14"/>
          <w:szCs w:val="14"/>
          <w:color w:val="auto"/>
        </w:rPr>
      </w:pPr>
    </w:p>
    <w:p>
      <w:pPr>
        <w:ind w:right="20" w:firstLine="1155"/>
        <w:spacing w:after="0" w:line="255"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Parking on the Property shall be subject to the restrictions set forth in this paragraph and, with respect to any particular Tenant, to any additional restrictions on parking set forth in such Tenant’s lease. Each Tenant and such Tenant’s employees, agents and invitees shall have the right, in common with others and in connection with the conduct of Tenant’s business at the Property, to park passenger vehicles on portions of the Property which have been striped for parking; provided, however that (a) no Tenant or its employees or agents may park in any space marked “visitor,” and (b) no Tenant or its employees, agents or invitees may park in any space marked “reserved,” unless reserved for such Tenant, and (c) persons parking their vehicles will do so exclusively within the marked parking space lines. No Tenant or its employees, agents or invitees shall have a right to park vehicles on the Property for purposes other than in connection with the Tenant’s business at the Property. Landlord shall have no responsibility to any Tenant or any Tenant’s employees, agents or invitees for any theft, loss of or damage to any vehicle or its contents on the Property. Each Tenant’s parking rights, except as otherwise expressly provided in its lease, are in common with other Tenants and on a first come, first served basis, and, except as otherwise expressly provided in its lease or other written agreements with Landlord, no Tenant has the right to any designated parking spaces or to any particular number of parking spaces.</w:t>
      </w:r>
    </w:p>
    <w:p>
      <w:pPr>
        <w:spacing w:after="0" w:line="145" w:lineRule="exact"/>
        <w:rPr>
          <w:rFonts w:ascii="Times New Roman" w:cs="Times New Roman" w:eastAsia="Times New Roman" w:hAnsi="Times New Roman"/>
          <w:sz w:val="14"/>
          <w:szCs w:val="14"/>
          <w:color w:val="auto"/>
        </w:rPr>
      </w:pPr>
    </w:p>
    <w:p>
      <w:pPr>
        <w:ind w:right="420" w:firstLine="1155"/>
        <w:spacing w:after="0" w:line="283"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vehicles brought onto the Property by Tenant, its employees, agents, customers and invitees shall be in good condition and appearance and shall be drivable. No such vehicles shall be leaking oil or other fluids.</w:t>
      </w:r>
    </w:p>
    <w:p>
      <w:pPr>
        <w:spacing w:after="0" w:line="124" w:lineRule="exact"/>
        <w:rPr>
          <w:rFonts w:ascii="Times New Roman" w:cs="Times New Roman" w:eastAsia="Times New Roman" w:hAnsi="Times New Roman"/>
          <w:sz w:val="14"/>
          <w:szCs w:val="14"/>
          <w:color w:val="auto"/>
        </w:rPr>
      </w:pPr>
    </w:p>
    <w:p>
      <w:pPr>
        <w:ind w:right="320" w:firstLine="1155"/>
        <w:spacing w:after="0" w:line="283" w:lineRule="auto"/>
        <w:tabs>
          <w:tab w:leader="none" w:pos="1361"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Tenant will deposit its garbage, trash and refuse only in approved trash containers within the Tenant’s Premises or in designated trash receptacles placed by Landlord within the Common Areas. No Tenant shall deposit any hazardous, flammable or explosive substances in any trash receptacle on the Property.</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Landlord reserves the right to rescind, alter or waive any of the Rules and Regulations, and to adopt such additional rules and regulations as part of the Rules and Regulations, from time to time as Landlord reasonably deems it appropriate for the safety, protection, care and cleanliness of the Property, the operation thereof, the preservation of good order therein or the protection and comfort of the Tenants and their employees, agents and invitees. An alteration or waiver of any of the Rules and Regulations in favor of one Tenant shall not, other than with the consent of Landlord, operate as an alteration or waiver in favor of any other Tenant. Landlord shall not be responsible to any Tenant for the non-observance or violation by any other Tenant of any of the Rules and Regulations, nor for the enforcement of any of the Rules and Regulations against any other Tenant. No Tenant shall have the right to enforce any of the Rules and Regulations against any other Tenant.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574" w:name="page575"/>
    <w:bookmarkEnd w:id="574"/>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EXHIBIT F</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FORM OF LETTER OF CREDIT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IRREVOCABLE STANDBY LETTER OF CREDIT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-5715</wp:posOffset>
            </wp:positionV>
            <wp:extent cx="355600" cy="69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ISSUE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-5715</wp:posOffset>
            </wp:positionV>
            <wp:extent cx="355600" cy="69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ISSUING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SILICON VALLEY BANK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3003 TASMAN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2ND FLOOR, MAIL SORT HF210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 95054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BENEFICIARY: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 THE BULFINCH COMPANIES,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116 HUNTINGTON AVENUE, SUITE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 02116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ROBERT A SCHLAGER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color w:val="auto"/>
        </w:rPr>
        <w:t xml:space="preserve">AMOUNT: US$             </w:t>
      </w:r>
      <w:r>
        <w:rPr>
          <w:sz w:val="20"/>
          <w:szCs w:val="20"/>
          <w:color w:val="auto"/>
        </w:rPr>
        <w:tab/>
      </w:r>
      <w:r>
        <w:rPr>
          <w:rFonts w:ascii="Times New Roman" w:cs="Times New Roman" w:eastAsia="Times New Roman" w:hAnsi="Times New Roman"/>
          <w:sz w:val="13"/>
          <w:szCs w:val="13"/>
          <w:color w:val="auto"/>
        </w:rPr>
        <w:t>(         AND XX/100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-5715</wp:posOffset>
            </wp:positionV>
            <wp:extent cx="763905" cy="69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6390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EXPIRATION DATE: 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LOCATION: SANTA CLARA, CALIFORNIA</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SIR/MADAM:</w:t>
      </w:r>
    </w:p>
    <w:p>
      <w:pPr>
        <w:spacing w:after="0" w:line="17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4"/>
          <w:szCs w:val="14"/>
          <w:color w:val="auto"/>
        </w:rPr>
        <w:t>WE HEREBY ESTABLISH OUR IRREVOCABLE STANDBY LETTER OF CREDIT NO. SVBSF IN YOUR FAVOR AVAILABLE BY YOUR DRAFTS DRAWN ON US AT SIGHT IN THE FORM OF EXHIBIT “A” ATTACHED AND ACCOMPANIED BY THE FOLLOWING DOCUMENTS:</w:t>
      </w:r>
    </w:p>
    <w:p>
      <w:pPr>
        <w:spacing w:after="0" w:line="41" w:lineRule="exact"/>
        <w:rPr>
          <w:sz w:val="20"/>
          <w:szCs w:val="20"/>
          <w:color w:val="auto"/>
        </w:rPr>
      </w:pPr>
    </w:p>
    <w:p>
      <w:pPr>
        <w:ind w:left="280" w:hanging="276"/>
        <w:spacing w:after="0"/>
        <w:tabs>
          <w:tab w:leader="none" w:pos="28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OF THIS LETTER OF CREDIT AND ALL AMENDMENT(S), IF ANY.</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BENEFICIARY’S SIGNED STATEMENT STATING EITHER AS FOLLOWS:</w:t>
      </w:r>
    </w:p>
    <w:p>
      <w:pPr>
        <w:spacing w:after="0" w:line="91" w:lineRule="exact"/>
        <w:rPr>
          <w:rFonts w:ascii="Times New Roman" w:cs="Times New Roman" w:eastAsia="Times New Roman" w:hAnsi="Times New Roman"/>
          <w:sz w:val="14"/>
          <w:szCs w:val="14"/>
          <w:color w:val="auto"/>
        </w:rPr>
      </w:pPr>
    </w:p>
    <w:p>
      <w:pPr>
        <w:ind w:left="520" w:right="720" w:hanging="5"/>
        <w:spacing w:after="0" w:line="283" w:lineRule="auto"/>
        <w:tabs>
          <w:tab w:leader="none" w:pos="750" w:val="left"/>
        </w:tabs>
        <w:numPr>
          <w:ilvl w:val="1"/>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(AS DEFINED IN THE LEASE) HAS OCCURRED BY FOG PHARMACEUTICALS, INC. AS TENANT UNDER THAT CERTAIN LEASE AGREEMENT BETWEEN TENANT AND 100 DISCOVERY PARK DE, LLC AS LANDLORD..”</w:t>
      </w:r>
    </w:p>
    <w:p>
      <w:pPr>
        <w:spacing w:after="0" w:line="1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OR</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 BENEFICIARY IS ENTITLED TO DRAW UPON THIS LETTER OF CREDIT UNDER THE TERMS OF SAID LEASE.”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PARTIAL DRAWS AND MULTIPLE PRESENTATIONS ARE ALLOWED.</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THIS LETTER OF CREDIT SHALL BE AUTOMATICALLY EXTENDED FOR AN ADDITIONAL PERIOD OF ONE YEAR, WITHOUT AMENDMENT, FROM THE PRESENT OR EACH FUTURE EXPIRATION DATE UNLESS AT LEAST 60 DAYS PRIOR TO THE THEN CURRENT EXPIRATION DATE WE SEND YOU A NOTICE BY REGISTERED MAIL OR OVERNIGHT COURIER SERVICE AT THE ABOVE ADDRESS (OR ANY OTHER ADDRESS INDICATED BY YOU, IN A WRITTEN NOTICE TO US THE RECEIPT OF WHICH WE HAVE ACKNOWLEDGED, AS THE ADDRESS TO WHICH WE SHOULD SEND SUCH NOTICE) THAT THIS LETTER OF CREDIT WILL NOT BE EXTENDED BEYOND THE CURRENT EXPIRATION DATE. IN NO EVENT SHALL THIS LETTER OF CREDIT BE AUTOMATICALLY EXTENDED BEYOND 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-25400</wp:posOffset>
            </wp:positionV>
            <wp:extent cx="355600" cy="69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55600" cy="6985"/>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575" w:name="page576"/>
    <w:bookmarkEnd w:id="575"/>
    <w:p>
      <w:pPr>
        <w:ind w:right="40" w:firstLine="4"/>
        <w:spacing w:after="0" w:line="267" w:lineRule="auto"/>
        <w:tabs>
          <w:tab w:leader="none" w:pos="70" w:val="left"/>
        </w:tabs>
        <w:numPr>
          <w:ilvl w:val="0"/>
          <w:numId w:val="51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IN THE EVENT OF SUCH NOTICE OF NON-EXTENSION, YOU MAY DRAW HEREUNDER WITH A DRAFT STATED ABOVE AND ACCOMPANIED BY THIS ORIGINAL LETTER OF CREDIT AND AMENDMENT(S), IF ANY, ALONG WITH YOUR SIGNED STATEMENT STATING THAT YOU HAVE RECEIVED A NON-EXTENSION NOTICE FROM SILICON VALLEY BANK AND YOU HAVE NOT RECEIVED A REPLACEMENT LETTER OF CREDIT ACCEPTABLE TO YOU.</w:t>
      </w:r>
    </w:p>
    <w:p>
      <w:pPr>
        <w:spacing w:after="0" w:line="13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4"/>
          <w:szCs w:val="14"/>
          <w:color w:val="auto"/>
        </w:rPr>
        <w:t>THIS LETTER OF CREDIT IS TRANSFERABLE ONE OR MORE TIMES, BUT IN EACH INSTANCE ONLY TO A SINGLE BENEFICIARY AS TRANSFEREE AND ONLY UP TO THE THEN AVAILABLE AMOUNT, ASSUMING SUCH TRANSFER TO SUCH TRANSFEREE WOULD BE IN COMPLIANCE WITH THEN APPLICABLE LAW AND REGULATION,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APPLICANT SHALL PAY OUR TRANSFER FEE OF % OF 1 % OF THE TRANSFER AMOUNT (MINIMUM US $250.00) UNDER THIS LETTER OF CREDIT.</w:t>
      </w:r>
    </w:p>
    <w:p>
      <w:pPr>
        <w:spacing w:after="0" w:line="14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FACSIMILE PRESENTATIONS ARE PERMITTED. SHOULD BENEFICIARY WISH TO MAKE PRESENTATIONS UNDER THIS LETTER OF CREDIT ENTIRELY BY FACSIMILE TRANSMISSION IT NEED NOT TRANSMIT THIS LETTER OF CREDIT AND AMENDMENT(S), IF ANY. EACH FACSIMILE TRANSMISSION SHALL BE MADE AT: (408) 496-2418 OR</w:t>
      </w:r>
    </w:p>
    <w:p>
      <w:pPr>
        <w:spacing w:after="0" w:line="1" w:lineRule="exact"/>
        <w:rPr>
          <w:sz w:val="20"/>
          <w:szCs w:val="20"/>
          <w:color w:val="auto"/>
        </w:rPr>
      </w:pPr>
    </w:p>
    <w:p>
      <w:pPr>
        <w:ind w:right="100" w:firstLine="4"/>
        <w:spacing w:after="0" w:line="254" w:lineRule="auto"/>
        <w:tabs>
          <w:tab w:leader="none" w:pos="339"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969-6510 ; AND SIMULTANEOUSLY UNDER TELEPHONE ADVICE TO: (408) — —OR (408) — —, ATTENTION: STANDBY LETTER OF CREDIT NEGOTIATION SECTION WITH ORIGINALS TO FOLLOW BY OVERNIGHT COURIER SERVICE; PROVIDED, HOWEVER, THE BANK WILL DETERMINE HONOR OR DISHONOR ON THE BASIS OF PRESENTATION BY FACSIMILE ALONE, AND WILL NOT EXAMINE THE ORIGINALS. IN ADDITION, ABSENCE OF THE AFORESAID TELEPHONE ADVICE SHALL NOT AFFECT OUR OBLIGATION TO HONOR ANY DRAW REQUEST.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DRAFT(S) AND DOCUMENTS MUST INDICATE THE NUMBER AND DATE OF THIS LETTER OF CREDIT.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DOCUMENTS MUST BE FORWARDED TO US BY OVERNIGHT DELIVERY SERVICE TO: SILICON VALLEY BANK, 3003 TASMAN DRIVE, SANTA CLARA CA 95054, ATTN: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DIVISION.</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HEREBY AGREE WITH THE BENEFICIARY THAT DRAFTS DRAWN UNDER AND IN ACCORDANCE WITH THE TERMS AND CONDITIONS OF THIS LETTER OF CREDIT WILL BE DULY HONORED UPON PRESENTATION TO US ON OR BEFORE THE EXPIRATION DATE OF THIS LETTER OF CREDIT OR ANY AUTOMATICALLY EXTENDED EXPIRATION DATE.</w:t>
      </w:r>
    </w:p>
    <w:p>
      <w:pPr>
        <w:spacing w:after="0" w:line="136"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4"/>
          <w:szCs w:val="14"/>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LETTER OF CREDIT IS SUBJECT TO THE INTERNATIONAL STANDBY PRACTICES (ISP98), INTERNATIONAL CHAMBER OF COMMERCE, PUBLICATION NO. 590.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IRREVOCABLE STANDBY LETTER OF CREDIT NUMBER 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576" w:name="page577"/>
    <w:bookmarkEnd w:id="576"/>
    <w:tbl>
      <w:tblPr>
        <w:tblLayout w:type="fixed"/>
        <w:tblInd w:w="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7"/>
              </w:rPr>
              <w:t>EXHIBIT A</w:t>
            </w:r>
          </w:p>
        </w:tc>
      </w:tr>
      <w:tr>
        <w:trPr>
          <w:trHeight w:val="30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DATE:</w:t>
            </w:r>
          </w:p>
        </w:tc>
        <w:tc>
          <w:tcPr>
            <w:tcW w:w="244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REF. NO.</w:t>
            </w:r>
          </w:p>
        </w:tc>
      </w:tr>
      <w:tr>
        <w:trPr>
          <w:trHeight w:val="348"/>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 SIGHT OF THIS DRAFT</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5"/>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PAY TO THE ORDER OF</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DOLLARS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DRAWN UNDER SILICON VALLEY BANK, SANTA CLARA, CALIFORNIA, STANDBY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LETTER OF CREDIT NUMBER NO.</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DATED</w:t>
            </w:r>
          </w:p>
        </w:tc>
      </w:tr>
      <w:tr>
        <w:trPr>
          <w:trHeight w:val="354"/>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TO: SILICON VALLEY BANK</w:t>
            </w:r>
          </w:p>
        </w:tc>
        <w:tc>
          <w:tcPr>
            <w:tcW w:w="182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18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3003 TASMAN DRIVE</w:t>
            </w:r>
          </w:p>
        </w:tc>
        <w:tc>
          <w:tcPr>
            <w:tcW w:w="1640" w:type="dxa"/>
            <w:vAlign w:val="bottom"/>
          </w:tcPr>
          <w:p>
            <w:pPr>
              <w:spacing w:after="0"/>
              <w:rPr>
                <w:sz w:val="15"/>
                <w:szCs w:val="15"/>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144"/>
        </w:trPr>
        <w:tc>
          <w:tcPr>
            <w:tcW w:w="40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SANTA CLARA, CA 95054</w:t>
            </w:r>
          </w:p>
        </w:tc>
        <w:tc>
          <w:tcPr>
            <w:tcW w:w="1640" w:type="dxa"/>
            <w:vAlign w:val="bottom"/>
          </w:tcPr>
          <w:p>
            <w:pPr>
              <w:spacing w:after="0"/>
              <w:rPr>
                <w:sz w:val="12"/>
                <w:szCs w:val="12"/>
                <w:color w:val="auto"/>
              </w:rPr>
            </w:pPr>
          </w:p>
        </w:tc>
        <w:tc>
          <w:tcPr>
            <w:tcW w:w="56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(BENEFICIARY’S NAME)</w:t>
            </w:r>
          </w:p>
        </w:tc>
      </w:tr>
      <w:tr>
        <w:trPr>
          <w:trHeight w:val="183"/>
        </w:trPr>
        <w:tc>
          <w:tcPr>
            <w:tcW w:w="2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173"/>
        </w:trPr>
        <w:tc>
          <w:tcPr>
            <w:tcW w:w="2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Authorized Signature</w:t>
            </w:r>
          </w:p>
        </w:tc>
      </w:tr>
      <w:tr>
        <w:trPr>
          <w:trHeight w:val="322"/>
        </w:trPr>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GUIDELINES TO PREPARE THE DRAFT</w:t>
            </w:r>
          </w:p>
        </w:tc>
      </w:tr>
    </w:tbl>
    <w:p>
      <w:pPr>
        <w:spacing w:after="0" w:line="154" w:lineRule="exact"/>
        <w:rPr>
          <w:sz w:val="20"/>
          <w:szCs w:val="20"/>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ISSUANCE DATE OF DRAFT.</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 NO.: BENEFICIARY’S REFERENCE NUMBER, IF ANY.</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TO THE ORDER OF: NAME OF BENEFICIARY AS INDICATED IN THE L/C (MAKE SURE BENEFICIARY ENDORSES IT ON THE REVERSE SIDE).</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AMOUNT OF DRAWING IN FIGURES.</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DOLLARS; AMOUNT OF DRAWING IN WORDS.</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 OF CREDIT NUMBER: SILICON VALLEY BANK’S STANDBY L/C NUMBER THAT PERTAINS TO THE DRAWING.</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DATED: ISSUANCE DATE OF THE STANDBY L/C.</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BENEFICIARY’S NAME: NAME OF BENEFICIARY AS INDICATED IN THE L/C.</w:t>
      </w:r>
    </w:p>
    <w:p>
      <w:pPr>
        <w:spacing w:after="0" w:line="91" w:lineRule="exact"/>
        <w:rPr>
          <w:rFonts w:ascii="Times New Roman" w:cs="Times New Roman" w:eastAsia="Times New Roman" w:hAnsi="Times New Roman"/>
          <w:sz w:val="14"/>
          <w:szCs w:val="14"/>
          <w:color w:val="auto"/>
        </w:rPr>
      </w:pPr>
    </w:p>
    <w:p>
      <w:pPr>
        <w:ind w:left="280" w:hanging="276"/>
        <w:spacing w:after="0"/>
        <w:tabs>
          <w:tab w:leader="none" w:pos="280"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SIGNATURE: SIGNED BY AN AUTHORIZED SIGNER OF BENEFICIARY.</w:t>
      </w:r>
    </w:p>
    <w:p>
      <w:pPr>
        <w:spacing w:after="0" w:line="175" w:lineRule="exact"/>
        <w:rPr>
          <w:sz w:val="20"/>
          <w:szCs w:val="20"/>
          <w:color w:val="auto"/>
        </w:rPr>
      </w:pPr>
    </w:p>
    <w:p>
      <w:pPr>
        <w:spacing w:after="0"/>
        <w:tabs>
          <w:tab w:leader="none" w:pos="7500" w:val="left"/>
        </w:tabs>
        <w:rPr>
          <w:sz w:val="20"/>
          <w:szCs w:val="20"/>
          <w:color w:val="auto"/>
        </w:rPr>
      </w:pPr>
      <w:r>
        <w:rPr>
          <w:rFonts w:ascii="Times New Roman" w:cs="Times New Roman" w:eastAsia="Times New Roman" w:hAnsi="Times New Roman"/>
          <w:sz w:val="14"/>
          <w:szCs w:val="14"/>
          <w:color w:val="auto"/>
        </w:rPr>
        <w:t xml:space="preserve">IF YOU HAVE QUESTIONS RELATED TO THIS STANDBY LETTER OF CREDIT PLEASE CONTACT US AT                </w:t>
      </w:r>
      <w:r>
        <w:rPr>
          <w:sz w:val="20"/>
          <w:szCs w:val="20"/>
          <w:color w:val="auto"/>
        </w:rPr>
        <w:tab/>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578485" cy="69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57848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IRREVOCABLE STANDBY LETTER OF CREDIT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7188200"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-5715</wp:posOffset>
            </wp:positionV>
            <wp:extent cx="445135" cy="698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445135" cy="698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577" w:name="page578"/>
    <w:bookmarkEnd w:id="577"/>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B</w:t>
            </w:r>
          </w:p>
        </w:tc>
        <w:tc>
          <w:tcPr>
            <w:tcW w:w="1780" w:type="dxa"/>
            <w:vAlign w:val="bottom"/>
          </w:tcPr>
          <w:p>
            <w:pPr>
              <w:spacing w:after="0"/>
              <w:rPr>
                <w:sz w:val="14"/>
                <w:szCs w:val="14"/>
                <w:color w:val="auto"/>
              </w:rPr>
            </w:pPr>
          </w:p>
        </w:tc>
      </w:tr>
      <w:tr>
        <w:trPr>
          <w:trHeight w:val="185"/>
        </w:trPr>
        <w:tc>
          <w:tcPr>
            <w:tcW w:w="10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 FORM</w:t>
            </w:r>
          </w:p>
        </w:tc>
        <w:tc>
          <w:tcPr>
            <w:tcW w:w="1780" w:type="dxa"/>
            <w:vAlign w:val="bottom"/>
          </w:tcPr>
          <w:p>
            <w:pPr>
              <w:spacing w:after="0"/>
              <w:rPr>
                <w:sz w:val="16"/>
                <w:szCs w:val="16"/>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 SILICON VALLEY BANK</w:t>
            </w:r>
          </w:p>
        </w:tc>
        <w:tc>
          <w:tcPr>
            <w:tcW w:w="47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RE: IRREVOCABLE STANDBY LETTER OF CREDIT</w:t>
            </w:r>
          </w:p>
        </w:tc>
      </w:tr>
      <w:tr>
        <w:trPr>
          <w:trHeight w:val="151"/>
        </w:trPr>
        <w:tc>
          <w:tcPr>
            <w:tcW w:w="102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auto"/>
              </w:rPr>
              <w:t>3003</w:t>
            </w:r>
          </w:p>
        </w:tc>
        <w:tc>
          <w:tcPr>
            <w:tcW w:w="3120" w:type="dxa"/>
            <w:vAlign w:val="bottom"/>
          </w:tcPr>
          <w:p>
            <w:pPr>
              <w:ind w:left="460"/>
              <w:spacing w:after="0" w:line="151" w:lineRule="exact"/>
              <w:rPr>
                <w:sz w:val="20"/>
                <w:szCs w:val="20"/>
                <w:color w:val="auto"/>
              </w:rPr>
            </w:pPr>
            <w:r>
              <w:rPr>
                <w:rFonts w:ascii="Times New Roman" w:cs="Times New Roman" w:eastAsia="Times New Roman" w:hAnsi="Times New Roman"/>
                <w:sz w:val="14"/>
                <w:szCs w:val="14"/>
                <w:color w:val="auto"/>
              </w:rPr>
              <w:t>TASMAN DRIVE</w:t>
            </w:r>
          </w:p>
        </w:tc>
        <w:tc>
          <w:tcPr>
            <w:tcW w:w="2000" w:type="dxa"/>
            <w:vAlign w:val="bottom"/>
          </w:tcPr>
          <w:p>
            <w:pPr>
              <w:ind w:left="1760"/>
              <w:spacing w:after="0" w:line="151" w:lineRule="exact"/>
              <w:rPr>
                <w:sz w:val="20"/>
                <w:szCs w:val="20"/>
                <w:color w:val="auto"/>
              </w:rPr>
            </w:pPr>
            <w:r>
              <w:rPr>
                <w:rFonts w:ascii="Times New Roman" w:cs="Times New Roman" w:eastAsia="Times New Roman" w:hAnsi="Times New Roman"/>
                <w:sz w:val="14"/>
                <w:szCs w:val="14"/>
                <w:color w:val="auto"/>
                <w:w w:val="92"/>
              </w:rPr>
              <w:t>NO.</w:t>
            </w:r>
          </w:p>
        </w:tc>
        <w:tc>
          <w:tcPr>
            <w:tcW w:w="980" w:type="dxa"/>
            <w:vAlign w:val="bottom"/>
            <w:tcBorders>
              <w:bottom w:val="single" w:sz="8" w:color="auto"/>
            </w:tcBorders>
          </w:tcPr>
          <w:p>
            <w:pPr>
              <w:spacing w:after="0"/>
              <w:rPr>
                <w:sz w:val="13"/>
                <w:szCs w:val="13"/>
                <w:color w:val="auto"/>
              </w:rPr>
            </w:pPr>
          </w:p>
        </w:tc>
        <w:tc>
          <w:tcPr>
            <w:tcW w:w="17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ISSUED BY</w:t>
            </w:r>
          </w:p>
        </w:tc>
      </w:tr>
      <w:tr>
        <w:trPr>
          <w:trHeight w:val="165"/>
        </w:trPr>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SANTA</w:t>
            </w:r>
          </w:p>
        </w:tc>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CLARA, CA 95054</w:t>
            </w:r>
          </w:p>
        </w:tc>
        <w:tc>
          <w:tcPr>
            <w:tcW w:w="476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SILICON VALLEY BANK, SANTA CLARA</w:t>
            </w:r>
          </w:p>
        </w:tc>
      </w:tr>
      <w:tr>
        <w:trPr>
          <w:trHeight w:val="183"/>
        </w:trPr>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ATTN:</w:t>
            </w:r>
          </w:p>
        </w:tc>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INTERNATIONAL DIVISION</w:t>
            </w:r>
          </w:p>
        </w:tc>
        <w:tc>
          <w:tcPr>
            <w:tcW w:w="298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L/C AMOUNT:</w:t>
            </w:r>
          </w:p>
        </w:tc>
        <w:tc>
          <w:tcPr>
            <w:tcW w:w="1780" w:type="dxa"/>
            <w:vAlign w:val="bottom"/>
          </w:tcPr>
          <w:p>
            <w:pPr>
              <w:spacing w:after="0"/>
              <w:rPr>
                <w:sz w:val="15"/>
                <w:szCs w:val="15"/>
                <w:color w:val="auto"/>
              </w:rPr>
            </w:pPr>
          </w:p>
        </w:tc>
      </w:tr>
    </w:tbl>
    <w:p>
      <w:pPr>
        <w:ind w:left="300"/>
        <w:spacing w:after="0"/>
        <w:rPr>
          <w:sz w:val="20"/>
          <w:szCs w:val="20"/>
          <w:color w:val="auto"/>
        </w:rPr>
      </w:pPr>
      <w:r>
        <w:rPr>
          <w:rFonts w:ascii="Times New Roman" w:cs="Times New Roman" w:eastAsia="Times New Roman" w:hAnsi="Times New Roman"/>
          <w:sz w:val="14"/>
          <w:szCs w:val="14"/>
          <w:color w:val="auto"/>
        </w:rPr>
        <w:t>STANDBY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-101600</wp:posOffset>
            </wp:positionV>
            <wp:extent cx="2649855" cy="698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GENTLEMEN: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162800" cy="69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162800" cy="69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17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4"/>
          <w:szCs w:val="14"/>
          <w:color w:val="auto"/>
        </w:rPr>
        <w:t>ALL RIGHTS OF THE UNDERSIGNED BENEFICIARY TO DRAW UNDER THE ABOVE LETTER OF CREDIT UP TO ITS AVAILABLE AMOUNT AS SHOWN ABOVE AS OF THE DATE OF THIS TRANSFER.</w:t>
      </w:r>
    </w:p>
    <w:p>
      <w:pPr>
        <w:spacing w:after="0" w:line="1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4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4"/>
          <w:szCs w:val="14"/>
          <w:color w:val="auto"/>
        </w:rPr>
        <w:t>THE ORIGINAL OF SUCH LETTER OF CREDIT IS RETURNED HEREWITH, AND WE ASK YOU TO ENDORSE THE TRANSFER ON THE REVERSE THEREOF, AND FORWARD IT DIRECTLY TO THE TRANSFEREE WITH YOUR CUSTOMARY NOTICE OF TRANSFER.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SINCERELY,</w:t>
            </w: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SIGNATURE AUTHENTICATED</w:t>
            </w:r>
          </w:p>
        </w:tc>
        <w:tc>
          <w:tcPr>
            <w:tcW w:w="0" w:type="dxa"/>
            <w:vAlign w:val="bottom"/>
          </w:tcPr>
          <w:p>
            <w:pPr>
              <w:spacing w:after="0"/>
              <w:rPr>
                <w:sz w:val="1"/>
                <w:szCs w:val="1"/>
                <w:color w:val="auto"/>
              </w:rPr>
            </w:pPr>
          </w:p>
        </w:tc>
      </w:tr>
      <w:tr>
        <w:trPr>
          <w:trHeight w:val="263"/>
        </w:trPr>
        <w:tc>
          <w:tcPr>
            <w:tcW w:w="5540" w:type="dxa"/>
            <w:vAlign w:val="bottom"/>
            <w:tcBorders>
              <w:bottom w:val="single" w:sz="8" w:color="auto"/>
            </w:tcBorders>
          </w:tcPr>
          <w:p>
            <w:pPr>
              <w:spacing w:after="0"/>
              <w:rPr>
                <w:sz w:val="22"/>
                <w:szCs w:val="22"/>
                <w:color w:val="auto"/>
              </w:rPr>
            </w:pPr>
          </w:p>
        </w:tc>
        <w:tc>
          <w:tcPr>
            <w:tcW w:w="5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The name(s), title(s), and signature(s) conform to that/those on file with us for the company and</w:t>
            </w:r>
          </w:p>
        </w:tc>
        <w:tc>
          <w:tcPr>
            <w:tcW w:w="0" w:type="dxa"/>
            <w:vAlign w:val="bottom"/>
          </w:tcPr>
          <w:p>
            <w:pPr>
              <w:spacing w:after="0"/>
              <w:rPr>
                <w:sz w:val="1"/>
                <w:szCs w:val="1"/>
                <w:color w:val="auto"/>
              </w:rPr>
            </w:pPr>
          </w:p>
        </w:tc>
      </w:tr>
      <w:tr>
        <w:trPr>
          <w:trHeight w:val="49"/>
        </w:trPr>
        <w:tc>
          <w:tcPr>
            <w:tcW w:w="5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(BENEFICIARY’S NAME)</w:t>
            </w:r>
          </w:p>
        </w:tc>
        <w:tc>
          <w:tcPr>
            <w:tcW w:w="5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5540" w:type="dxa"/>
            <w:vAlign w:val="bottom"/>
            <w:vMerge w:val="continue"/>
          </w:tcPr>
          <w:p>
            <w:pPr>
              <w:spacing w:after="0"/>
              <w:rPr>
                <w:sz w:val="10"/>
                <w:szCs w:val="10"/>
                <w:color w:val="auto"/>
              </w:rPr>
            </w:pPr>
          </w:p>
        </w:tc>
        <w:tc>
          <w:tcPr>
            <w:tcW w:w="5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the signature(s) is/are authorized to execute this instrument.</w:t>
            </w:r>
          </w:p>
        </w:tc>
        <w:tc>
          <w:tcPr>
            <w:tcW w:w="0" w:type="dxa"/>
            <w:vAlign w:val="bottom"/>
          </w:tcPr>
          <w:p>
            <w:pPr>
              <w:spacing w:after="0"/>
              <w:rPr>
                <w:sz w:val="1"/>
                <w:szCs w:val="1"/>
                <w:color w:val="auto"/>
              </w:rPr>
            </w:pPr>
          </w:p>
        </w:tc>
      </w:tr>
      <w:tr>
        <w:trPr>
          <w:trHeight w:val="59"/>
        </w:trPr>
        <w:tc>
          <w:tcPr>
            <w:tcW w:w="5540" w:type="dxa"/>
            <w:vAlign w:val="bottom"/>
          </w:tcPr>
          <w:p>
            <w:pPr>
              <w:spacing w:after="0"/>
              <w:rPr>
                <w:sz w:val="5"/>
                <w:szCs w:val="5"/>
                <w:color w:val="auto"/>
              </w:rPr>
            </w:pPr>
          </w:p>
        </w:tc>
        <w:tc>
          <w:tcPr>
            <w:tcW w:w="5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auto"/>
            </w:tcBorders>
          </w:tcPr>
          <w:p>
            <w:pPr>
              <w:spacing w:after="0"/>
              <w:rPr>
                <w:sz w:val="22"/>
                <w:szCs w:val="22"/>
                <w:color w:val="auto"/>
              </w:rPr>
            </w:pPr>
          </w:p>
        </w:tc>
        <w:tc>
          <w:tcPr>
            <w:tcW w:w="220" w:type="dxa"/>
            <w:vAlign w:val="bottom"/>
            <w:vMerge w:val="restart"/>
          </w:tcPr>
          <w:p>
            <w:pPr>
              <w:spacing w:after="0"/>
              <w:rPr>
                <w:sz w:val="22"/>
                <w:szCs w:val="22"/>
                <w:color w:val="auto"/>
              </w:rPr>
            </w:pPr>
          </w:p>
        </w:tc>
        <w:tc>
          <w:tcPr>
            <w:tcW w:w="5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(SIGNATURE OF BENEFICIARY)</w:t>
            </w:r>
          </w:p>
        </w:tc>
        <w:tc>
          <w:tcPr>
            <w:tcW w:w="220" w:type="dxa"/>
            <w:vAlign w:val="bottom"/>
            <w:vMerge w:val="continue"/>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Bank)</w:t>
            </w:r>
          </w:p>
        </w:tc>
        <w:tc>
          <w:tcPr>
            <w:tcW w:w="0" w:type="dxa"/>
            <w:vAlign w:val="bottom"/>
          </w:tcPr>
          <w:p>
            <w:pPr>
              <w:spacing w:after="0"/>
              <w:rPr>
                <w:sz w:val="1"/>
                <w:szCs w:val="1"/>
                <w:color w:val="auto"/>
              </w:rPr>
            </w:pPr>
          </w:p>
        </w:tc>
      </w:tr>
      <w:tr>
        <w:trPr>
          <w:trHeight w:val="322"/>
        </w:trPr>
        <w:tc>
          <w:tcPr>
            <w:tcW w:w="5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(NAME AND TITLE)</w:t>
            </w: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Bank)</w:t>
            </w:r>
          </w:p>
        </w:tc>
        <w:tc>
          <w:tcPr>
            <w:tcW w:w="0" w:type="dxa"/>
            <w:vAlign w:val="bottom"/>
          </w:tcPr>
          <w:p>
            <w:pPr>
              <w:spacing w:after="0"/>
              <w:rPr>
                <w:sz w:val="1"/>
                <w:szCs w:val="1"/>
                <w:color w:val="auto"/>
              </w:rPr>
            </w:pPr>
          </w:p>
        </w:tc>
      </w:tr>
      <w:tr>
        <w:trPr>
          <w:trHeight w:val="322"/>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(City, State, ZIP Code)</w:t>
            </w:r>
          </w:p>
        </w:tc>
        <w:tc>
          <w:tcPr>
            <w:tcW w:w="0" w:type="dxa"/>
            <w:vAlign w:val="bottom"/>
          </w:tcPr>
          <w:p>
            <w:pPr>
              <w:spacing w:after="0"/>
              <w:rPr>
                <w:sz w:val="1"/>
                <w:szCs w:val="1"/>
                <w:color w:val="auto"/>
              </w:rPr>
            </w:pPr>
          </w:p>
        </w:tc>
      </w:tr>
      <w:tr>
        <w:trPr>
          <w:trHeight w:val="322"/>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(Authorized Name and Title)</w:t>
            </w:r>
          </w:p>
        </w:tc>
        <w:tc>
          <w:tcPr>
            <w:tcW w:w="0" w:type="dxa"/>
            <w:vAlign w:val="bottom"/>
          </w:tcPr>
          <w:p>
            <w:pPr>
              <w:spacing w:after="0"/>
              <w:rPr>
                <w:sz w:val="1"/>
                <w:szCs w:val="1"/>
                <w:color w:val="auto"/>
              </w:rPr>
            </w:pPr>
          </w:p>
        </w:tc>
      </w:tr>
      <w:tr>
        <w:trPr>
          <w:trHeight w:val="322"/>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(Authorized Signature)</w:t>
            </w:r>
          </w:p>
        </w:tc>
        <w:tc>
          <w:tcPr>
            <w:tcW w:w="0" w:type="dxa"/>
            <w:vAlign w:val="bottom"/>
          </w:tcPr>
          <w:p>
            <w:pPr>
              <w:spacing w:after="0"/>
              <w:rPr>
                <w:sz w:val="1"/>
                <w:szCs w:val="1"/>
                <w:color w:val="auto"/>
              </w:rPr>
            </w:pPr>
          </w:p>
        </w:tc>
      </w:tr>
      <w:tr>
        <w:trPr>
          <w:trHeight w:val="322"/>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(Telephone number)</w:t>
            </w:r>
          </w:p>
        </w:tc>
        <w:tc>
          <w:tcPr>
            <w:tcW w:w="0" w:type="dxa"/>
            <w:vAlign w:val="bottom"/>
          </w:tcPr>
          <w:p>
            <w:pPr>
              <w:spacing w:after="0"/>
              <w:rPr>
                <w:sz w:val="1"/>
                <w:szCs w:val="1"/>
                <w:color w:val="auto"/>
              </w:rPr>
            </w:pPr>
          </w:p>
        </w:tc>
      </w:tr>
      <w:tr>
        <w:trPr>
          <w:trHeight w:val="1080"/>
        </w:trPr>
        <w:tc>
          <w:tcPr>
            <w:tcW w:w="5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578" w:name="page579"/>
    <w:bookmarkEnd w:id="578"/>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EXHIBIT 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SECRETARY’S CERTIFICATE</w:t>
      </w:r>
    </w:p>
    <w:p>
      <w:pPr>
        <w:spacing w:after="0" w:line="17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4"/>
          <w:szCs w:val="14"/>
          <w:color w:val="auto"/>
        </w:rPr>
        <w:t>The undersigned hereby certifies that he/she is the Secretary of Fog Pharmaceuticals, Inc., a Delaware corporation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and that the execution and delivery of that certain Lease, dated as of April 22, 2109, by and between 400 Discovery Park, LLC, as Landlord, and the Corporation, as Tenant (the “</w:t>
      </w:r>
      <w:r>
        <w:rPr>
          <w:rFonts w:ascii="Times New Roman" w:cs="Times New Roman" w:eastAsia="Times New Roman" w:hAnsi="Times New Roman"/>
          <w:sz w:val="14"/>
          <w:szCs w:val="14"/>
          <w:u w:val="single" w:color="auto"/>
          <w:color w:val="auto"/>
        </w:rPr>
        <w:t>Lease</w:t>
      </w:r>
      <w:r>
        <w:rPr>
          <w:rFonts w:ascii="Times New Roman" w:cs="Times New Roman" w:eastAsia="Times New Roman" w:hAnsi="Times New Roman"/>
          <w:sz w:val="14"/>
          <w:szCs w:val="14"/>
          <w:color w:val="auto"/>
        </w:rPr>
        <w:t>”), by                  , the            of the Corporation (the “</w:t>
      </w:r>
      <w:r>
        <w:rPr>
          <w:rFonts w:ascii="Times New Roman" w:cs="Times New Roman" w:eastAsia="Times New Roman" w:hAnsi="Times New Roman"/>
          <w:sz w:val="14"/>
          <w:szCs w:val="14"/>
          <w:u w:val="single" w:color="auto"/>
          <w:color w:val="auto"/>
        </w:rPr>
        <w:t>Authorized Signatory</w:t>
      </w:r>
      <w:r>
        <w:rPr>
          <w:rFonts w:ascii="Times New Roman" w:cs="Times New Roman" w:eastAsia="Times New Roman" w:hAnsi="Times New Roman"/>
          <w:sz w:val="14"/>
          <w:szCs w:val="14"/>
          <w:color w:val="auto"/>
        </w:rPr>
        <w:t>”), has been duly authorized by either: (a) a vote of the Board of Directors of the Corporation, or (b) an action by unanimous consent of such Board of Directors, in either case, which is in full force and effect as of this date and that the Authorized Signatory has in fact signed the foregoing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459740</wp:posOffset>
            </wp:positionV>
            <wp:extent cx="7188200"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-241300</wp:posOffset>
            </wp:positionV>
            <wp:extent cx="1487805" cy="69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487805" cy="6985"/>
                    </a:xfrm>
                    <a:prstGeom prst="rect">
                      <a:avLst/>
                    </a:prstGeom>
                    <a:noFill/>
                  </pic:spPr>
                </pic:pic>
              </a:graphicData>
            </a:graphic>
          </wp:anchor>
        </w:drawing>
      </w:r>
    </w:p>
    <w:p>
      <w:pPr>
        <w:sectPr>
          <w:pgSz w:w="11900" w:h="16838" w:orient="portrait"/>
          <w:cols w:equalWidth="0" w:num="1">
            <w:col w:w="11200"/>
          </w:cols>
          <w:pgMar w:left="300" w:top="795" w:right="399" w:bottom="1440" w:gutter="0" w:footer="0" w:header="0"/>
        </w:sectPr>
      </w:pPr>
    </w:p>
    <w:bookmarkStart w:id="579" w:name="page580"/>
    <w:bookmarkEnd w:id="579"/>
    <w:p>
      <w:pPr>
        <w:jc w:val="center"/>
        <w:ind w:right="-55"/>
        <w:spacing w:after="0"/>
        <w:rPr>
          <w:sz w:val="20"/>
          <w:szCs w:val="20"/>
          <w:color w:val="auto"/>
        </w:rPr>
      </w:pPr>
      <w:r>
        <w:rPr>
          <w:rFonts w:ascii="Times New Roman" w:cs="Times New Roman" w:eastAsia="Times New Roman" w:hAnsi="Times New Roman"/>
          <w:sz w:val="14"/>
          <w:szCs w:val="14"/>
          <w:u w:val="single" w:color="auto"/>
          <w:color w:val="auto"/>
        </w:rPr>
        <w:t>EXHIBIT K-1</w:t>
      </w:r>
    </w:p>
    <w:p>
      <w:pPr>
        <w:spacing w:after="0" w:line="175"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u w:val="single" w:color="auto"/>
          <w:color w:val="auto"/>
        </w:rPr>
        <w:t>Prohibited Hazardous Materials</w:t>
      </w:r>
    </w:p>
    <w:p>
      <w:pPr>
        <w:spacing w:after="0" w:line="91" w:lineRule="exact"/>
        <w:rPr>
          <w:sz w:val="20"/>
          <w:szCs w:val="20"/>
          <w:color w:val="auto"/>
        </w:rPr>
      </w:pPr>
    </w:p>
    <w:p>
      <w:pPr>
        <w:ind w:left="516" w:right="160" w:hanging="516"/>
        <w:spacing w:after="0" w:line="283" w:lineRule="auto"/>
        <w:tabs>
          <w:tab w:leader="none" w:pos="516"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Explosive Materials:</w:t>
      </w:r>
      <w:r>
        <w:rPr>
          <w:rFonts w:ascii="Times New Roman" w:cs="Times New Roman" w:eastAsia="Times New Roman" w:hAnsi="Times New Roman"/>
          <w:sz w:val="14"/>
          <w:szCs w:val="14"/>
          <w:color w:val="auto"/>
        </w:rPr>
        <w:t xml:space="preserve"> as defined in 18 USC 841 (c) of the Federal explosives statutes in United States Code, CHAPTER 40—IMPORTATION, MANUFACTURE, DISTRIBUTION AND STORAGE OF EXPLOSIVE MATERIALS.</w:t>
      </w:r>
    </w:p>
    <w:p>
      <w:pPr>
        <w:spacing w:after="0" w:line="40" w:lineRule="exact"/>
        <w:rPr>
          <w:rFonts w:ascii="Times New Roman" w:cs="Times New Roman" w:eastAsia="Times New Roman" w:hAnsi="Times New Roman"/>
          <w:sz w:val="14"/>
          <w:szCs w:val="14"/>
          <w:color w:val="auto"/>
        </w:rPr>
      </w:pPr>
    </w:p>
    <w:p>
      <w:pPr>
        <w:ind w:left="516" w:hanging="516"/>
        <w:spacing w:after="0" w:line="283" w:lineRule="auto"/>
        <w:tabs>
          <w:tab w:leader="none" w:pos="516"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Oxidizer Class 4:</w:t>
      </w:r>
      <w:r>
        <w:rPr>
          <w:rFonts w:ascii="Times New Roman" w:cs="Times New Roman" w:eastAsia="Times New Roman" w:hAnsi="Times New Roman"/>
          <w:sz w:val="14"/>
          <w:szCs w:val="14"/>
          <w:color w:val="auto"/>
        </w:rPr>
        <w:t xml:space="preserve"> As defined in 780 CMR as an oxidizer that can undergo an explosive reaction due to contamination or exposure to thermal or physical shock. Additionally, the oxidizer will enhance the burning rate and is capable of causing spontaneous ignition of combustibles.</w:t>
      </w:r>
    </w:p>
    <w:p>
      <w:pPr>
        <w:spacing w:after="0" w:line="40" w:lineRule="exact"/>
        <w:rPr>
          <w:rFonts w:ascii="Times New Roman" w:cs="Times New Roman" w:eastAsia="Times New Roman" w:hAnsi="Times New Roman"/>
          <w:sz w:val="14"/>
          <w:szCs w:val="14"/>
          <w:color w:val="auto"/>
        </w:rPr>
      </w:pPr>
    </w:p>
    <w:p>
      <w:pPr>
        <w:ind w:left="516" w:hanging="516"/>
        <w:spacing w:after="0"/>
        <w:tabs>
          <w:tab w:leader="none" w:pos="516"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Organic Peroxides:</w:t>
      </w:r>
      <w:r>
        <w:rPr>
          <w:rFonts w:ascii="Times New Roman" w:cs="Times New Roman" w:eastAsia="Times New Roman" w:hAnsi="Times New Roman"/>
          <w:sz w:val="14"/>
          <w:szCs w:val="14"/>
          <w:color w:val="auto"/>
        </w:rPr>
        <w:t xml:space="preserve"> As defined in 780 CMR.</w:t>
      </w:r>
    </w:p>
    <w:p>
      <w:pPr>
        <w:spacing w:after="0" w:line="173" w:lineRule="exact"/>
        <w:rPr>
          <w:sz w:val="20"/>
          <w:szCs w:val="20"/>
          <w:color w:val="auto"/>
        </w:rPr>
      </w:pPr>
    </w:p>
    <w:p>
      <w:pPr>
        <w:ind w:left="1156"/>
        <w:spacing w:after="0"/>
        <w:rPr>
          <w:sz w:val="20"/>
          <w:szCs w:val="20"/>
          <w:color w:val="auto"/>
        </w:rPr>
      </w:pPr>
      <w:r>
        <w:rPr>
          <w:rFonts w:ascii="Times New Roman" w:cs="Times New Roman" w:eastAsia="Times New Roman" w:hAnsi="Times New Roman"/>
          <w:sz w:val="14"/>
          <w:szCs w:val="14"/>
          <w:b w:val="1"/>
          <w:bCs w:val="1"/>
          <w:color w:val="auto"/>
        </w:rPr>
        <w:t xml:space="preserve">Unclassified detonable: </w:t>
      </w:r>
      <w:r>
        <w:rPr>
          <w:rFonts w:ascii="Times New Roman" w:cs="Times New Roman" w:eastAsia="Times New Roman" w:hAnsi="Times New Roman"/>
          <w:sz w:val="14"/>
          <w:szCs w:val="14"/>
          <w:color w:val="auto"/>
        </w:rPr>
        <w:t>Organic peroxides which are capable of detonation. These peroxides present an extremely high explosion hazard through rapid explosive decomposition.</w:t>
      </w:r>
    </w:p>
    <w:p>
      <w:pPr>
        <w:spacing w:after="0" w:line="175" w:lineRule="exact"/>
        <w:rPr>
          <w:sz w:val="20"/>
          <w:szCs w:val="20"/>
          <w:color w:val="auto"/>
        </w:rPr>
      </w:pPr>
    </w:p>
    <w:p>
      <w:pPr>
        <w:ind w:left="1156"/>
        <w:spacing w:after="0"/>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4"/>
          <w:szCs w:val="14"/>
          <w:color w:val="auto"/>
        </w:rPr>
        <w:t>I: Class I organic peroxides are capable of deflagration, but not detonation. These peroxides present a high explosion hazard through rapid decomposition.</w:t>
      </w:r>
    </w:p>
    <w:p>
      <w:pPr>
        <w:spacing w:after="0" w:line="93" w:lineRule="exact"/>
        <w:rPr>
          <w:sz w:val="20"/>
          <w:szCs w:val="20"/>
          <w:color w:val="auto"/>
        </w:rPr>
      </w:pPr>
    </w:p>
    <w:p>
      <w:pPr>
        <w:ind w:left="516" w:hanging="516"/>
        <w:spacing w:after="0"/>
        <w:tabs>
          <w:tab w:leader="none" w:pos="516"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Unstable (reactive) materials:</w:t>
      </w:r>
      <w:r>
        <w:rPr>
          <w:rFonts w:ascii="Times New Roman" w:cs="Times New Roman" w:eastAsia="Times New Roman" w:hAnsi="Times New Roman"/>
          <w:sz w:val="14"/>
          <w:szCs w:val="14"/>
          <w:color w:val="auto"/>
        </w:rPr>
        <w:t xml:space="preserve"> As defined in 780 CMR.</w:t>
      </w:r>
    </w:p>
    <w:p>
      <w:pPr>
        <w:spacing w:after="0" w:line="173" w:lineRule="exact"/>
        <w:rPr>
          <w:sz w:val="20"/>
          <w:szCs w:val="20"/>
          <w:color w:val="auto"/>
        </w:rPr>
      </w:pPr>
    </w:p>
    <w:p>
      <w:pPr>
        <w:ind w:left="1156"/>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Class 4: </w:t>
      </w:r>
      <w:r>
        <w:rPr>
          <w:rFonts w:ascii="Times New Roman" w:cs="Times New Roman" w:eastAsia="Times New Roman" w:hAnsi="Times New Roman"/>
          <w:sz w:val="14"/>
          <w:szCs w:val="14"/>
          <w:color w:val="auto"/>
        </w:rPr>
        <w:t>Materials that in themselves are readily capable of detonation or explosive decomposition or explosive reaction at normal temperatures and pressures. This class includes,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among others, materials that are sensitive to localized thermal or mechanical shock at normal temperatures and pressures.</w:t>
      </w:r>
    </w:p>
    <w:p>
      <w:pPr>
        <w:spacing w:after="0" w:line="121" w:lineRule="exact"/>
        <w:rPr>
          <w:sz w:val="20"/>
          <w:szCs w:val="20"/>
          <w:color w:val="auto"/>
        </w:rPr>
      </w:pPr>
    </w:p>
    <w:p>
      <w:pPr>
        <w:ind w:left="1156" w:right="8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Class 3: </w:t>
      </w:r>
      <w:r>
        <w:rPr>
          <w:rFonts w:ascii="Times New Roman" w:cs="Times New Roman" w:eastAsia="Times New Roman" w:hAnsi="Times New Roman"/>
          <w:sz w:val="14"/>
          <w:szCs w:val="14"/>
          <w:color w:val="auto"/>
        </w:rPr>
        <w:t>Materials that in themselves are capable of detonation or explosive decomposition or explosive reaction, but that require a strong initiating source or that must be heated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confinement before initiation. This class includes, among others, materials that are sensitive to thermal or mechanical shock at elevated temperatures and pressures.</w:t>
      </w:r>
    </w:p>
    <w:p>
      <w:pPr>
        <w:spacing w:after="0" w:line="39" w:lineRule="exact"/>
        <w:rPr>
          <w:sz w:val="20"/>
          <w:szCs w:val="20"/>
          <w:color w:val="auto"/>
        </w:rPr>
      </w:pPr>
    </w:p>
    <w:p>
      <w:pPr>
        <w:ind w:left="516" w:hanging="516"/>
        <w:spacing w:after="0"/>
        <w:tabs>
          <w:tab w:leader="none" w:pos="516"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Water-reactive materials:</w:t>
      </w:r>
      <w:r>
        <w:rPr>
          <w:rFonts w:ascii="Times New Roman" w:cs="Times New Roman" w:eastAsia="Times New Roman" w:hAnsi="Times New Roman"/>
          <w:sz w:val="14"/>
          <w:szCs w:val="14"/>
          <w:color w:val="auto"/>
        </w:rPr>
        <w:t xml:space="preserve"> As defined in 780 CMR.</w:t>
      </w:r>
    </w:p>
    <w:p>
      <w:pPr>
        <w:spacing w:after="0" w:line="173" w:lineRule="exact"/>
        <w:rPr>
          <w:sz w:val="20"/>
          <w:szCs w:val="20"/>
          <w:color w:val="auto"/>
        </w:rPr>
      </w:pPr>
    </w:p>
    <w:p>
      <w:pPr>
        <w:ind w:left="1156"/>
        <w:spacing w:after="0"/>
        <w:rPr>
          <w:sz w:val="20"/>
          <w:szCs w:val="20"/>
          <w:color w:val="auto"/>
        </w:rPr>
      </w:pPr>
      <w:r>
        <w:rPr>
          <w:rFonts w:ascii="Times New Roman" w:cs="Times New Roman" w:eastAsia="Times New Roman" w:hAnsi="Times New Roman"/>
          <w:sz w:val="14"/>
          <w:szCs w:val="14"/>
          <w:b w:val="1"/>
          <w:bCs w:val="1"/>
          <w:color w:val="auto"/>
        </w:rPr>
        <w:t xml:space="preserve">Class 3: </w:t>
      </w:r>
      <w:r>
        <w:rPr>
          <w:rFonts w:ascii="Times New Roman" w:cs="Times New Roman" w:eastAsia="Times New Roman" w:hAnsi="Times New Roman"/>
          <w:sz w:val="14"/>
          <w:szCs w:val="14"/>
          <w:color w:val="auto"/>
        </w:rPr>
        <w:t>Materials which react explosively with water without requiring heat or confinement.</w:t>
      </w:r>
    </w:p>
    <w:p>
      <w:pPr>
        <w:spacing w:after="0" w:line="93" w:lineRule="exact"/>
        <w:rPr>
          <w:sz w:val="20"/>
          <w:szCs w:val="20"/>
          <w:color w:val="auto"/>
        </w:rPr>
      </w:pPr>
    </w:p>
    <w:p>
      <w:pPr>
        <w:ind w:left="516" w:hanging="516"/>
        <w:spacing w:after="0"/>
        <w:tabs>
          <w:tab w:leader="none" w:pos="516"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Cryogenic liquids (flammable or oxidizing):</w:t>
      </w:r>
      <w:r>
        <w:rPr>
          <w:rFonts w:ascii="Times New Roman" w:cs="Times New Roman" w:eastAsia="Times New Roman" w:hAnsi="Times New Roman"/>
          <w:sz w:val="14"/>
          <w:szCs w:val="14"/>
          <w:color w:val="auto"/>
        </w:rPr>
        <w:t xml:space="preserve"> As defined in 780 CMR as any liquid that has a boiling point below -200°F (-129X).</w:t>
      </w:r>
    </w:p>
    <w:p>
      <w:pPr>
        <w:spacing w:after="0" w:line="91" w:lineRule="exact"/>
        <w:rPr>
          <w:rFonts w:ascii="Times New Roman" w:cs="Times New Roman" w:eastAsia="Times New Roman" w:hAnsi="Times New Roman"/>
          <w:sz w:val="14"/>
          <w:szCs w:val="14"/>
          <w:color w:val="auto"/>
        </w:rPr>
      </w:pPr>
    </w:p>
    <w:p>
      <w:pPr>
        <w:jc w:val="both"/>
        <w:ind w:left="516" w:right="80" w:hanging="516"/>
        <w:spacing w:after="0" w:line="267" w:lineRule="auto"/>
        <w:tabs>
          <w:tab w:leader="none" w:pos="516"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Highly Toxic Gas:</w:t>
      </w:r>
      <w:r>
        <w:rPr>
          <w:rFonts w:ascii="Times New Roman" w:cs="Times New Roman" w:eastAsia="Times New Roman" w:hAnsi="Times New Roman"/>
          <w:sz w:val="14"/>
          <w:szCs w:val="14"/>
          <w:color w:val="auto"/>
        </w:rPr>
        <w:t xml:space="preserve"> As defined in 527 CMR as a chemical that has a median lethal concentration (LC50) in air of 200 parts per million by volume or less of gas or vapor, or 2 milligrams per liter or less of mist, fume, or dust, when administered by continuous inhalation for 1 hour (or less if death occurs within 1 hour) to albino rats weighing between 0.44 lb and 0.66 lb (200 and 300 grams) each.</w:t>
      </w:r>
    </w:p>
    <w:p>
      <w:pPr>
        <w:spacing w:after="0" w:line="51" w:lineRule="exact"/>
        <w:rPr>
          <w:rFonts w:ascii="Times New Roman" w:cs="Times New Roman" w:eastAsia="Times New Roman" w:hAnsi="Times New Roman"/>
          <w:sz w:val="14"/>
          <w:szCs w:val="14"/>
          <w:color w:val="auto"/>
        </w:rPr>
      </w:pPr>
    </w:p>
    <w:p>
      <w:pPr>
        <w:ind w:left="516" w:right="160" w:hanging="516"/>
        <w:spacing w:after="0" w:line="283" w:lineRule="auto"/>
        <w:tabs>
          <w:tab w:leader="none" w:pos="516"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Unstable (reactive) gas:</w:t>
      </w:r>
      <w:r>
        <w:rPr>
          <w:rFonts w:ascii="Times New Roman" w:cs="Times New Roman" w:eastAsia="Times New Roman" w:hAnsi="Times New Roman"/>
          <w:sz w:val="14"/>
          <w:szCs w:val="14"/>
          <w:color w:val="auto"/>
        </w:rPr>
        <w:t xml:space="preserve"> As defined in 527 CMR as a gas that, in the pure state or as commercially produced, will vigorously polymerize, decompose, or condense; become self-reactive; or otherwise undergo a violent chemical reaction under condition of shock, pressure, or temperature.</w:t>
      </w:r>
    </w:p>
    <w:p>
      <w:pPr>
        <w:spacing w:after="0" w:line="40" w:lineRule="exact"/>
        <w:rPr>
          <w:rFonts w:ascii="Times New Roman" w:cs="Times New Roman" w:eastAsia="Times New Roman" w:hAnsi="Times New Roman"/>
          <w:sz w:val="14"/>
          <w:szCs w:val="14"/>
          <w:color w:val="auto"/>
        </w:rPr>
      </w:pPr>
    </w:p>
    <w:p>
      <w:pPr>
        <w:ind w:left="516" w:hanging="516"/>
        <w:spacing w:after="0"/>
        <w:tabs>
          <w:tab w:leader="none" w:pos="516"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Pyrophoric gas</w:t>
      </w:r>
      <w:r>
        <w:rPr>
          <w:rFonts w:ascii="Times New Roman" w:cs="Times New Roman" w:eastAsia="Times New Roman" w:hAnsi="Times New Roman"/>
          <w:sz w:val="14"/>
          <w:szCs w:val="14"/>
          <w:color w:val="auto"/>
        </w:rPr>
        <w:t>: As defined in 527 CFR as a gas with an auto ignition temperature in air, at or below a temperature of 130°F (54.4°C).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481965</wp:posOffset>
            </wp:positionV>
            <wp:extent cx="7188200" cy="3873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176"/>
          </w:cols>
          <w:pgMar w:left="304" w:top="798" w:right="419" w:bottom="1440" w:gutter="0" w:footer="0" w:header="0"/>
        </w:sectPr>
      </w:pPr>
    </w:p>
    <w:bookmarkStart w:id="580" w:name="page581"/>
    <w:bookmarkEnd w:id="580"/>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Exhibit K-2</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Hazardous Materials Requiring Prior Notice to Landlord</w:t>
      </w:r>
    </w:p>
    <w:p>
      <w:pPr>
        <w:spacing w:after="0" w:line="89" w:lineRule="exact"/>
        <w:rPr>
          <w:sz w:val="20"/>
          <w:szCs w:val="20"/>
          <w:color w:val="auto"/>
        </w:rPr>
      </w:pPr>
    </w:p>
    <w:p>
      <w:pPr>
        <w:ind w:left="520" w:right="120" w:hanging="516"/>
        <w:spacing w:after="0" w:line="268" w:lineRule="auto"/>
        <w:tabs>
          <w:tab w:leader="none" w:pos="52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Selected biological agents and toxins </w:t>
      </w:r>
      <w:r>
        <w:rPr>
          <w:rFonts w:ascii="Times New Roman" w:cs="Times New Roman" w:eastAsia="Times New Roman" w:hAnsi="Times New Roman"/>
          <w:sz w:val="14"/>
          <w:szCs w:val="14"/>
          <w:color w:val="auto"/>
        </w:rPr>
        <w:t>(Select Agents) as defined by the Federal Select Agent Program (http://www.selectagents.gov/) which have the potential to pose a severe threat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public, animal or plant health or to animal or plant products </w:t>
      </w:r>
      <w:r>
        <w:rPr>
          <w:rFonts w:ascii="Times New Roman" w:cs="Times New Roman" w:eastAsia="Times New Roman" w:hAnsi="Times New Roman"/>
          <w:sz w:val="14"/>
          <w:szCs w:val="14"/>
          <w:u w:val="single" w:color="auto"/>
          <w:color w:val="auto"/>
        </w:rPr>
        <w:t>and</w:t>
      </w:r>
      <w:r>
        <w:rPr>
          <w:rFonts w:ascii="Times New Roman" w:cs="Times New Roman" w:eastAsia="Times New Roman" w:hAnsi="Times New Roman"/>
          <w:sz w:val="14"/>
          <w:szCs w:val="14"/>
          <w:color w:val="auto"/>
        </w:rPr>
        <w:t xml:space="preserve"> require registration to possess, use or transfer. Select Agents are regulated under 7CFR Part 331, 9 CFR Part 121 and 42 CFR Part 73, and may also be regulated by the Town of Needham.</w:t>
      </w:r>
    </w:p>
    <w:p>
      <w:pPr>
        <w:spacing w:after="0" w:line="49" w:lineRule="exact"/>
        <w:rPr>
          <w:rFonts w:ascii="Times New Roman" w:cs="Times New Roman" w:eastAsia="Times New Roman" w:hAnsi="Times New Roman"/>
          <w:sz w:val="14"/>
          <w:szCs w:val="14"/>
          <w:b w:val="1"/>
          <w:bCs w:val="1"/>
          <w:color w:val="auto"/>
        </w:rPr>
      </w:pPr>
    </w:p>
    <w:p>
      <w:pPr>
        <w:ind w:left="520" w:right="700" w:hanging="516"/>
        <w:spacing w:after="0" w:line="286" w:lineRule="auto"/>
        <w:tabs>
          <w:tab w:leader="none" w:pos="52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Chemicals that present a high level of security risk </w:t>
      </w:r>
      <w:r>
        <w:rPr>
          <w:rFonts w:ascii="Times New Roman" w:cs="Times New Roman" w:eastAsia="Times New Roman" w:hAnsi="Times New Roman"/>
          <w:sz w:val="14"/>
          <w:szCs w:val="14"/>
          <w:color w:val="auto"/>
        </w:rPr>
        <w:t>under the April 2007 Department of Homeland Security—Chemical Facilities Anti-Terrorism Standards (CFATS) regulation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(http://www.dhs.gov/identifying-facilities-covered-chemical-security-regulation), that are at or above the applicable Screening Threshold Quantity.</w:t>
      </w:r>
    </w:p>
    <w:p>
      <w:pPr>
        <w:spacing w:after="0" w:line="36" w:lineRule="exact"/>
        <w:rPr>
          <w:rFonts w:ascii="Times New Roman" w:cs="Times New Roman" w:eastAsia="Times New Roman" w:hAnsi="Times New Roman"/>
          <w:sz w:val="14"/>
          <w:szCs w:val="14"/>
          <w:b w:val="1"/>
          <w:bCs w:val="1"/>
          <w:color w:val="auto"/>
        </w:rPr>
      </w:pPr>
    </w:p>
    <w:p>
      <w:pPr>
        <w:ind w:left="520" w:right="9280" w:hanging="516"/>
        <w:spacing w:after="0" w:line="540" w:lineRule="auto"/>
        <w:tabs>
          <w:tab w:leader="none" w:pos="521" w:val="left"/>
        </w:tabs>
        <w:numPr>
          <w:ilvl w:val="0"/>
          <w:numId w:val="5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The following chemicals: Perchloric Acid</w:t>
      </w:r>
    </w:p>
    <w:p>
      <w:pPr>
        <w:ind w:left="52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Picric Acid</w:t>
      </w:r>
    </w:p>
    <w:p>
      <w:pPr>
        <w:spacing w:after="0" w:line="175" w:lineRule="exact"/>
        <w:rPr>
          <w:rFonts w:ascii="Times New Roman" w:cs="Times New Roman" w:eastAsia="Times New Roman" w:hAnsi="Times New Roman"/>
          <w:sz w:val="13"/>
          <w:szCs w:val="13"/>
          <w:b w:val="1"/>
          <w:bCs w:val="1"/>
          <w:color w:val="auto"/>
        </w:rPr>
      </w:pPr>
    </w:p>
    <w:p>
      <w:pPr>
        <w:ind w:left="52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Pyrophoric Material</w:t>
      </w:r>
      <w:r>
        <w:rPr>
          <w:rFonts w:ascii="Times New Roman" w:cs="Times New Roman" w:eastAsia="Times New Roman" w:hAnsi="Times New Roman"/>
          <w:sz w:val="14"/>
          <w:szCs w:val="14"/>
          <w:color w:val="auto"/>
        </w:rPr>
        <w:t>: As defined in 780 CMR as a chemical with an auto ignition temperature in air, at or below a temperature of 130T (54.4°C).</w:t>
      </w:r>
    </w:p>
    <w:p>
      <w:pPr>
        <w:spacing w:after="0" w:line="175" w:lineRule="exact"/>
        <w:rPr>
          <w:rFonts w:ascii="Times New Roman" w:cs="Times New Roman" w:eastAsia="Times New Roman" w:hAnsi="Times New Roman"/>
          <w:sz w:val="13"/>
          <w:szCs w:val="13"/>
          <w:b w:val="1"/>
          <w:bCs w:val="1"/>
          <w:color w:val="auto"/>
        </w:rPr>
      </w:pPr>
    </w:p>
    <w:p>
      <w:pPr>
        <w:ind w:left="520" w:right="240"/>
        <w:spacing w:after="0" w:line="28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Oxidizer Class 3</w:t>
      </w:r>
      <w:r>
        <w:rPr>
          <w:rFonts w:ascii="Times New Roman" w:cs="Times New Roman" w:eastAsia="Times New Roman" w:hAnsi="Times New Roman"/>
          <w:sz w:val="14"/>
          <w:szCs w:val="14"/>
          <w:color w:val="auto"/>
        </w:rPr>
        <w:t>: As defined in 780 CMR as an oxidizer that will cause a severe increase in the burning rate of combustible materials with which the oxidizer comes in contact or that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undergo vigorous self-sustained decomposition due to contamination or exposure to heat.</w:t>
      </w:r>
    </w:p>
    <w:p>
      <w:pPr>
        <w:spacing w:after="0" w:line="120" w:lineRule="exact"/>
        <w:rPr>
          <w:rFonts w:ascii="Times New Roman" w:cs="Times New Roman" w:eastAsia="Times New Roman" w:hAnsi="Times New Roman"/>
          <w:sz w:val="13"/>
          <w:szCs w:val="13"/>
          <w:b w:val="1"/>
          <w:bCs w:val="1"/>
          <w:color w:val="auto"/>
        </w:rPr>
      </w:pPr>
    </w:p>
    <w:p>
      <w:pPr>
        <w:ind w:left="520"/>
        <w:spacing w:after="0" w:line="26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Toxic Gas</w:t>
      </w:r>
      <w:r>
        <w:rPr>
          <w:rFonts w:ascii="Times New Roman" w:cs="Times New Roman" w:eastAsia="Times New Roman" w:hAnsi="Times New Roman"/>
          <w:sz w:val="14"/>
          <w:szCs w:val="14"/>
          <w:color w:val="auto"/>
        </w:rPr>
        <w:t>: As defined in 527 CMR as a gas that has a median lethal concentration (LC50) in air of more than 200 parts per million, but not more than 2,000 parts per million by volume of gas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vapor, or 2 milligrams per liter but no more than 20 milligrams per liter of mist, fume, or dust, when administered by continuous inhalation for 1 hour (or less if death occurs within 1 hour) to albino rats weighing between 0.44 lb and 0.66 lb (200 and 300 grams) each.</w:t>
      </w:r>
    </w:p>
    <w:p>
      <w:pPr>
        <w:spacing w:after="0" w:line="133" w:lineRule="exact"/>
        <w:rPr>
          <w:rFonts w:ascii="Times New Roman" w:cs="Times New Roman" w:eastAsia="Times New Roman" w:hAnsi="Times New Roman"/>
          <w:sz w:val="13"/>
          <w:szCs w:val="13"/>
          <w:b w:val="1"/>
          <w:bCs w:val="1"/>
          <w:color w:val="auto"/>
        </w:rPr>
      </w:pPr>
    </w:p>
    <w:p>
      <w:pPr>
        <w:ind w:left="52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Corrosive Gas</w:t>
      </w:r>
      <w:r>
        <w:rPr>
          <w:rFonts w:ascii="Times New Roman" w:cs="Times New Roman" w:eastAsia="Times New Roman" w:hAnsi="Times New Roman"/>
          <w:sz w:val="14"/>
          <w:szCs w:val="14"/>
          <w:color w:val="auto"/>
        </w:rPr>
        <w:t>: As defined in 527 CMR as a gas that causes visible destruction of or irreversible alterations in living tissue by chemical action at the site of contact.</w:t>
      </w:r>
    </w:p>
    <w:p>
      <w:pPr>
        <w:spacing w:after="0" w:line="91" w:lineRule="exact"/>
        <w:rPr>
          <w:rFonts w:ascii="Times New Roman" w:cs="Times New Roman" w:eastAsia="Times New Roman" w:hAnsi="Times New Roman"/>
          <w:sz w:val="13"/>
          <w:szCs w:val="13"/>
          <w:b w:val="1"/>
          <w:bCs w:val="1"/>
          <w:color w:val="auto"/>
        </w:rPr>
      </w:pPr>
    </w:p>
    <w:p>
      <w:pPr>
        <w:ind w:left="520" w:hanging="516"/>
        <w:spacing w:after="0"/>
        <w:tabs>
          <w:tab w:leader="none" w:pos="52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Radioactive Materials and Devices: </w:t>
      </w:r>
      <w:r>
        <w:rPr>
          <w:rFonts w:ascii="Times New Roman" w:cs="Times New Roman" w:eastAsia="Times New Roman" w:hAnsi="Times New Roman"/>
          <w:sz w:val="14"/>
          <w:szCs w:val="14"/>
          <w:color w:val="auto"/>
        </w:rPr>
        <w:t>as regulated in 105 CMR 120 Radiation Control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696595</wp:posOffset>
            </wp:positionV>
            <wp:extent cx="7188200"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581" w:name="page582"/>
    <w:bookmarkEnd w:id="581"/>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FIRST AMENDMENT OF LEASE</w:t>
      </w:r>
    </w:p>
    <w:p>
      <w:pPr>
        <w:spacing w:after="0" w:line="175" w:lineRule="exact"/>
        <w:rPr>
          <w:sz w:val="20"/>
          <w:szCs w:val="20"/>
          <w:color w:val="auto"/>
        </w:rPr>
      </w:pPr>
    </w:p>
    <w:p>
      <w:pPr>
        <w:ind w:right="160" w:firstLine="511"/>
        <w:spacing w:after="0" w:line="283" w:lineRule="auto"/>
        <w:rPr>
          <w:sz w:val="20"/>
          <w:szCs w:val="20"/>
          <w:color w:val="auto"/>
        </w:rPr>
      </w:pPr>
      <w:r>
        <w:rPr>
          <w:rFonts w:ascii="Times New Roman" w:cs="Times New Roman" w:eastAsia="Times New Roman" w:hAnsi="Times New Roman"/>
          <w:sz w:val="14"/>
          <w:szCs w:val="14"/>
          <w:color w:val="auto"/>
        </w:rPr>
        <w:t>THIS FIRST AMENDMENT OF LEASE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is entered into to be effective as of the 21st day of December, 2019 by 400 Discovery Park, LLC, a Delaware limited liability company (“</w:t>
      </w: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and Fog Pharmaceuticals, Inc., a Delaware corporation (“</w:t>
      </w: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Recitals</w:t>
      </w:r>
    </w:p>
    <w:p>
      <w:pPr>
        <w:spacing w:after="0" w:line="175" w:lineRule="exact"/>
        <w:rPr>
          <w:sz w:val="20"/>
          <w:szCs w:val="20"/>
          <w:color w:val="auto"/>
        </w:rPr>
      </w:pPr>
    </w:p>
    <w:p>
      <w:pPr>
        <w:ind w:right="200" w:firstLine="511"/>
        <w:spacing w:after="0" w:line="267" w:lineRule="auto"/>
        <w:rPr>
          <w:sz w:val="20"/>
          <w:szCs w:val="20"/>
          <w:color w:val="auto"/>
        </w:rPr>
      </w:pPr>
      <w:r>
        <w:rPr>
          <w:rFonts w:ascii="Times New Roman" w:cs="Times New Roman" w:eastAsia="Times New Roman" w:hAnsi="Times New Roman"/>
          <w:sz w:val="14"/>
          <w:szCs w:val="14"/>
          <w:color w:val="auto"/>
        </w:rPr>
        <w:t>A. Landlord and Tenant are parties to a Lease dated as of April 22, 2019, (the “</w:t>
      </w:r>
      <w:r>
        <w:rPr>
          <w:rFonts w:ascii="Times New Roman" w:cs="Times New Roman" w:eastAsia="Times New Roman" w:hAnsi="Times New Roman"/>
          <w:sz w:val="14"/>
          <w:szCs w:val="14"/>
          <w:u w:val="single" w:color="auto"/>
          <w:color w:val="auto"/>
        </w:rPr>
        <w:t>Lease</w:t>
      </w:r>
      <w:r>
        <w:rPr>
          <w:rFonts w:ascii="Times New Roman" w:cs="Times New Roman" w:eastAsia="Times New Roman" w:hAnsi="Times New Roman"/>
          <w:sz w:val="14"/>
          <w:szCs w:val="14"/>
          <w:color w:val="auto"/>
        </w:rPr>
        <w:t>”) pursuant to which Landlord has leased to Tenant (i) 114,490 leasable square feet of space on the first (1st) through sixth (6th) floors (the “</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of the building located at and commonly known as Tower 400, 30 Acorn Park Drive, Cambridge Discovery Park, Cambridge, Massachusetts. All capitalized terms used in this Amendment that are defined in the Lease and not otherwise defined in this Amendment shall have the meanings given in the Lease.</w:t>
      </w:r>
    </w:p>
    <w:p>
      <w:pPr>
        <w:spacing w:after="0" w:line="136" w:lineRule="exact"/>
        <w:rPr>
          <w:sz w:val="20"/>
          <w:szCs w:val="20"/>
          <w:color w:val="auto"/>
        </w:rPr>
      </w:pPr>
    </w:p>
    <w:p>
      <w:pPr>
        <w:ind w:firstLine="511"/>
        <w:spacing w:after="0" w:line="283" w:lineRule="auto"/>
        <w:rPr>
          <w:sz w:val="20"/>
          <w:szCs w:val="20"/>
          <w:color w:val="auto"/>
        </w:rPr>
      </w:pPr>
      <w:r>
        <w:rPr>
          <w:rFonts w:ascii="Times New Roman" w:cs="Times New Roman" w:eastAsia="Times New Roman" w:hAnsi="Times New Roman"/>
          <w:sz w:val="14"/>
          <w:szCs w:val="14"/>
          <w:color w:val="auto"/>
        </w:rPr>
        <w:t>B. Landlord and Tenant desire to amend the Lease to: (i) establish new terms and conditions for the performance of the Tenant’s Work; and (ii) make certain other changes to the Lease, on and subject to the terms and conditions set forth below.</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u w:val="single" w:color="auto"/>
          <w:color w:val="auto"/>
        </w:rPr>
        <w:t>Statement of Amendment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good and valuable consideration, the receipt and sufficiency of which are hereby acknowledged, Landlord and Tenant hereby agree as follows:</w:t>
      </w:r>
    </w:p>
    <w:p>
      <w:pPr>
        <w:spacing w:after="0" w:line="175" w:lineRule="exact"/>
        <w:rPr>
          <w:sz w:val="20"/>
          <w:szCs w:val="20"/>
          <w:color w:val="auto"/>
        </w:rPr>
      </w:pPr>
    </w:p>
    <w:p>
      <w:pPr>
        <w:ind w:left="660" w:hanging="145"/>
        <w:spacing w:after="0"/>
        <w:tabs>
          <w:tab w:leader="none" w:pos="66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Summary of Basic Terms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 4C is hereby inserted into the Summary of Basic Terms immediately following Item 4B:</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“4C. </w:t>
      </w:r>
      <w:r>
        <w:rPr>
          <w:rFonts w:ascii="Times New Roman" w:cs="Times New Roman" w:eastAsia="Times New Roman" w:hAnsi="Times New Roman"/>
          <w:sz w:val="14"/>
          <w:szCs w:val="14"/>
          <w:u w:val="single" w:color="auto"/>
          <w:color w:val="auto"/>
        </w:rPr>
        <w:t>Tenant’s Work</w:t>
      </w:r>
      <w:r>
        <w:rPr>
          <w:rFonts w:ascii="Times New Roman" w:cs="Times New Roman" w:eastAsia="Times New Roman" w:hAnsi="Times New Roman"/>
          <w:sz w:val="14"/>
          <w:szCs w:val="14"/>
          <w:color w:val="auto"/>
        </w:rPr>
        <w:t>: Landlord shall perform the Tenant’s Work as set forth in Section 3.1(g).”</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 Item 5D in the Summary of Basic Terms is deleted in its entirety and the following is substituted in place thereof:</w:t>
      </w:r>
    </w:p>
    <w:p>
      <w:pPr>
        <w:spacing w:after="0" w:line="175" w:lineRule="exact"/>
        <w:rPr>
          <w:sz w:val="20"/>
          <w:szCs w:val="20"/>
          <w:color w:val="auto"/>
        </w:rPr>
      </w:pPr>
    </w:p>
    <w:p>
      <w:pPr>
        <w:ind w:left="1660" w:right="300"/>
        <w:spacing w:after="0" w:line="283" w:lineRule="auto"/>
        <w:rPr>
          <w:sz w:val="20"/>
          <w:szCs w:val="20"/>
          <w:color w:val="auto"/>
        </w:rPr>
      </w:pPr>
      <w:r>
        <w:rPr>
          <w:rFonts w:ascii="Times New Roman" w:cs="Times New Roman" w:eastAsia="Times New Roman" w:hAnsi="Times New Roman"/>
          <w:sz w:val="14"/>
          <w:szCs w:val="14"/>
          <w:color w:val="auto"/>
        </w:rPr>
        <w:t xml:space="preserve">“5D. </w:t>
      </w:r>
      <w:r>
        <w:rPr>
          <w:rFonts w:ascii="Times New Roman" w:cs="Times New Roman" w:eastAsia="Times New Roman" w:hAnsi="Times New Roman"/>
          <w:sz w:val="14"/>
          <w:szCs w:val="14"/>
          <w:u w:val="single" w:color="auto"/>
          <w:color w:val="auto"/>
        </w:rPr>
        <w:t>Substantial Completion Date</w:t>
      </w:r>
      <w:r>
        <w:rPr>
          <w:rFonts w:ascii="Times New Roman" w:cs="Times New Roman" w:eastAsia="Times New Roman" w:hAnsi="Times New Roman"/>
          <w:sz w:val="14"/>
          <w:szCs w:val="14"/>
          <w:color w:val="auto"/>
        </w:rPr>
        <w:t>: December 12, 2019, it being acknowledged that such date was the date on which Landlord achieved Substantial Completion of the Base Building Work.”</w:t>
      </w:r>
    </w:p>
    <w:p>
      <w:pPr>
        <w:spacing w:after="0" w:line="125" w:lineRule="exact"/>
        <w:rPr>
          <w:sz w:val="20"/>
          <w:szCs w:val="20"/>
          <w:color w:val="auto"/>
        </w:rPr>
      </w:pPr>
    </w:p>
    <w:p>
      <w:pPr>
        <w:ind w:left="1660" w:right="3580" w:hanging="505"/>
        <w:spacing w:after="0" w:line="501" w:lineRule="auto"/>
        <w:tabs>
          <w:tab w:leader="none" w:pos="1339"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Item 5E in the Summary of Basic Terms is deleted in its entirety and the following is substituted in place thereof: “5E. </w:t>
      </w: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February 10, 2020.”</w:t>
      </w:r>
    </w:p>
    <w:p>
      <w:pPr>
        <w:ind w:left="1360" w:hanging="205"/>
        <w:spacing w:after="0"/>
        <w:tabs>
          <w:tab w:leader="none" w:pos="1360"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 5H is hereby inserted into the Summary of Basic Terms immediately following Item 5G:</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“5H. </w:t>
      </w:r>
      <w:r>
        <w:rPr>
          <w:rFonts w:ascii="Times New Roman" w:cs="Times New Roman" w:eastAsia="Times New Roman" w:hAnsi="Times New Roman"/>
          <w:sz w:val="14"/>
          <w:szCs w:val="14"/>
          <w:u w:val="single" w:color="auto"/>
          <w:color w:val="auto"/>
        </w:rPr>
        <w:t>Target Tenant’s Work Completion Date</w:t>
      </w:r>
      <w:r>
        <w:rPr>
          <w:rFonts w:ascii="Times New Roman" w:cs="Times New Roman" w:eastAsia="Times New Roman" w:hAnsi="Times New Roman"/>
          <w:sz w:val="14"/>
          <w:szCs w:val="14"/>
          <w:color w:val="auto"/>
        </w:rPr>
        <w:t>: February 15, 2020, subject to extension due to Excusable Delay and/or as provided in Section 3.1.”</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 Item 5I is hereby inserted into the Summary of Basic Terms immediately following Item 5H:</w:t>
      </w:r>
    </w:p>
    <w:p>
      <w:pPr>
        <w:spacing w:after="0" w:line="175" w:lineRule="exact"/>
        <w:rPr>
          <w:sz w:val="20"/>
          <w:szCs w:val="20"/>
          <w:color w:val="auto"/>
        </w:rPr>
      </w:pPr>
    </w:p>
    <w:p>
      <w:pPr>
        <w:ind w:left="1660" w:right="80"/>
        <w:spacing w:after="0" w:line="283" w:lineRule="auto"/>
        <w:rPr>
          <w:sz w:val="20"/>
          <w:szCs w:val="20"/>
          <w:color w:val="auto"/>
        </w:rPr>
      </w:pPr>
      <w:r>
        <w:rPr>
          <w:rFonts w:ascii="Times New Roman" w:cs="Times New Roman" w:eastAsia="Times New Roman" w:hAnsi="Times New Roman"/>
          <w:sz w:val="14"/>
          <w:szCs w:val="14"/>
          <w:color w:val="auto"/>
        </w:rPr>
        <w:t xml:space="preserve">“5I. </w:t>
      </w:r>
      <w:r>
        <w:rPr>
          <w:rFonts w:ascii="Times New Roman" w:cs="Times New Roman" w:eastAsia="Times New Roman" w:hAnsi="Times New Roman"/>
          <w:sz w:val="14"/>
          <w:szCs w:val="14"/>
          <w:u w:val="single" w:color="auto"/>
          <w:color w:val="auto"/>
        </w:rPr>
        <w:t>Tenant’s Work Completion Date</w:t>
      </w:r>
      <w:r>
        <w:rPr>
          <w:rFonts w:ascii="Times New Roman" w:cs="Times New Roman" w:eastAsia="Times New Roman" w:hAnsi="Times New Roman"/>
          <w:sz w:val="14"/>
          <w:szCs w:val="14"/>
          <w:color w:val="auto"/>
        </w:rPr>
        <w:t>: The date on which Landlord achieves Substantial Completion of the Tenant’s Work and tenders delivery of the Premises to Tenant. Landlord and Tenant acknowledge that the Tenant’s Work Completion Date occurred on February 7, 2020.”</w:t>
      </w:r>
    </w:p>
    <w:p>
      <w:pPr>
        <w:spacing w:after="0" w:line="125" w:lineRule="exact"/>
        <w:rPr>
          <w:sz w:val="20"/>
          <w:szCs w:val="20"/>
          <w:color w:val="auto"/>
        </w:rPr>
      </w:pPr>
    </w:p>
    <w:p>
      <w:pPr>
        <w:ind w:left="660" w:hanging="145"/>
        <w:spacing w:after="0"/>
        <w:tabs>
          <w:tab w:leader="none" w:pos="66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340" w:hanging="185"/>
        <w:spacing w:after="0"/>
        <w:tabs>
          <w:tab w:leader="none" w:pos="1340" w:val="left"/>
        </w:tabs>
        <w:numPr>
          <w:ilvl w:val="1"/>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definition of “Excusable Delay” is hereby deleted in its entirety and the following is substituted in place thereof:</w:t>
      </w:r>
    </w:p>
    <w:p>
      <w:pPr>
        <w:spacing w:after="0" w:line="175" w:lineRule="exact"/>
        <w:rPr>
          <w:sz w:val="20"/>
          <w:szCs w:val="20"/>
          <w:color w:val="auto"/>
        </w:rPr>
      </w:pPr>
    </w:p>
    <w:p>
      <w:pPr>
        <w:ind w:left="1660" w:right="10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Excusable Delay</w:t>
      </w:r>
      <w:r>
        <w:rPr>
          <w:rFonts w:ascii="Times New Roman" w:cs="Times New Roman" w:eastAsia="Times New Roman" w:hAnsi="Times New Roman"/>
          <w:sz w:val="14"/>
          <w:szCs w:val="14"/>
          <w:color w:val="auto"/>
        </w:rPr>
        <w:t>” means any delay in the performance of the Base Building Work or Tenant’s Work to the extent caused by (a) Tenant’s failure to perform, or delay in the performance of, any obligation which Tenant is required to perform under this Lease, (b) any act of Tenant, or Tenant’s agents, employees or contractors, including without limitation, any Tenant’s Work that delays the completion of the Base Building Work or Tenant’s Work, (c) any failure to act by Tenant, or Tenant’s agent, employees or contractors, where Tenant has a duty to act pursuant to this Lease, pursuant to any other agreement with Landlord and/or under applicable Legal Requirements, (d) any other delays caused by Tenant, including without limitation, delays due to requests by Tenant for changes to the Base Building Work or Tenant’s Work, or change orders requested by Tenant, or (e) Force Majeure.”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461010</wp:posOffset>
            </wp:positionV>
            <wp:extent cx="7188200"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582" w:name="page583"/>
    <w:bookmarkEnd w:id="582"/>
    <w:p>
      <w:pPr>
        <w:ind w:left="20"/>
        <w:spacing w:after="0"/>
        <w:rPr>
          <w:sz w:val="20"/>
          <w:szCs w:val="20"/>
          <w:color w:val="auto"/>
        </w:rPr>
      </w:pPr>
      <w:r>
        <w:rPr>
          <w:rFonts w:ascii="Times New Roman" w:cs="Times New Roman" w:eastAsia="Times New Roman" w:hAnsi="Times New Roman"/>
          <w:sz w:val="14"/>
          <w:szCs w:val="14"/>
          <w:color w:val="auto"/>
        </w:rPr>
        <w:t>(b) The definition of “Substantial Completion” is hereby deleted in its entirety and the following is substituted in place thereof:</w:t>
      </w:r>
    </w:p>
    <w:p>
      <w:pPr>
        <w:spacing w:after="0" w:line="175" w:lineRule="exact"/>
        <w:rPr>
          <w:sz w:val="20"/>
          <w:szCs w:val="20"/>
          <w:color w:val="auto"/>
        </w:rPr>
      </w:pPr>
    </w:p>
    <w:p>
      <w:pPr>
        <w:ind w:left="520"/>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Substantial Completion</w:t>
      </w:r>
      <w:r>
        <w:rPr>
          <w:rFonts w:ascii="Times New Roman" w:cs="Times New Roman" w:eastAsia="Times New Roman" w:hAnsi="Times New Roman"/>
          <w:sz w:val="14"/>
          <w:szCs w:val="14"/>
          <w:color w:val="auto"/>
        </w:rPr>
        <w:t>” (a) with respect to the Base Building Work, means the substantial completion of the Base Building Work, as determined by Landlord’s Architect, and receipt of all governmental approvals required by applicable governmental authorities to signify completion of the Base Building Work (but only if and to the extent that the Inspectional Services Department of the City of Cambridge issues such approvals for the level of completion contemplated by the Base Building Plans); and (b) with respect to the Tenant’s Work, means the substantial completion of the Tenant’s Work in accordance with the Tenant’s Work Plans and receipt of all governmental approvals required by applicable governmental authorities to signify completion of the Tenant’s Work (but only if and to the extent that the Inspectional Services Department of the City of Cambridge issues such approvals for the level of completion contemplated by the Tenant’s Work Plans).”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 The definition of “Tenant’s Work” is hereby deleted in its entirety and the following is substituted in place thereof:</w:t>
      </w:r>
    </w:p>
    <w:p>
      <w:pPr>
        <w:spacing w:after="0" w:line="175" w:lineRule="exact"/>
        <w:rPr>
          <w:sz w:val="20"/>
          <w:szCs w:val="20"/>
          <w:color w:val="auto"/>
        </w:rPr>
      </w:pPr>
    </w:p>
    <w:p>
      <w:pPr>
        <w:ind w:left="520" w:right="2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w:t>
      </w:r>
      <w:r>
        <w:rPr>
          <w:rFonts w:ascii="Times New Roman" w:cs="Times New Roman" w:eastAsia="Times New Roman" w:hAnsi="Times New Roman"/>
          <w:sz w:val="14"/>
          <w:szCs w:val="14"/>
          <w:color w:val="auto"/>
        </w:rPr>
        <w:t>” means the alterations and improvements to be made to the Premises pursuant to Section 3.1(g) to initially prepare the Premises for Tenant’s occupancy, as and to the extent set forth in the approved Tenant’s Work Plans.”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 The definition of “Tenant’s Work Costs” is hereby deleted in its entirety and the following is substituted in place thereof:</w:t>
      </w:r>
    </w:p>
    <w:p>
      <w:pPr>
        <w:spacing w:after="0" w:line="175" w:lineRule="exact"/>
        <w:rPr>
          <w:sz w:val="20"/>
          <w:szCs w:val="20"/>
          <w:color w:val="auto"/>
        </w:rPr>
      </w:pPr>
    </w:p>
    <w:p>
      <w:pPr>
        <w:ind w:left="520" w:right="10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 Costs</w:t>
      </w:r>
      <w:r>
        <w:rPr>
          <w:rFonts w:ascii="Times New Roman" w:cs="Times New Roman" w:eastAsia="Times New Roman" w:hAnsi="Times New Roman"/>
          <w:sz w:val="14"/>
          <w:szCs w:val="14"/>
          <w:color w:val="auto"/>
        </w:rPr>
        <w:t>” means all costs of performing the Tenant’s Work, including, but not limited to, general construction and mechanical equipment, but specifically excluding legal fees.”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 The definition of “Tenant’s Work Plans” is hereby deleted in its entirety and the following is substituted in place thereof:</w:t>
      </w:r>
    </w:p>
    <w:p>
      <w:pPr>
        <w:spacing w:after="0" w:line="175" w:lineRule="exact"/>
        <w:rPr>
          <w:sz w:val="20"/>
          <w:szCs w:val="20"/>
          <w:color w:val="auto"/>
        </w:rPr>
      </w:pPr>
    </w:p>
    <w:p>
      <w:pPr>
        <w:ind w:left="520" w:right="2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 Plans</w:t>
      </w:r>
      <w:r>
        <w:rPr>
          <w:rFonts w:ascii="Times New Roman" w:cs="Times New Roman" w:eastAsia="Times New Roman" w:hAnsi="Times New Roman"/>
          <w:sz w:val="14"/>
          <w:szCs w:val="14"/>
          <w:color w:val="auto"/>
        </w:rPr>
        <w:t>” means the plans and specifications for the Tenant’s Work, to be prepared and adopted as provided in Section 3.1(f), as the same may be modified from time to time pursuant to the terms of this Lease.”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 The following additional definitions are hereby added in proper alphabetical location:</w:t>
      </w:r>
    </w:p>
    <w:p>
      <w:pPr>
        <w:spacing w:after="0" w:line="175" w:lineRule="exact"/>
        <w:rPr>
          <w:sz w:val="20"/>
          <w:szCs w:val="20"/>
          <w:color w:val="auto"/>
        </w:rPr>
      </w:pPr>
    </w:p>
    <w:p>
      <w:pPr>
        <w:ind w:left="520" w:right="16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Target Tenant’s Work Completion Date</w:t>
      </w:r>
      <w:r>
        <w:rPr>
          <w:rFonts w:ascii="Times New Roman" w:cs="Times New Roman" w:eastAsia="Times New Roman" w:hAnsi="Times New Roman"/>
          <w:sz w:val="14"/>
          <w:szCs w:val="14"/>
          <w:color w:val="auto"/>
        </w:rPr>
        <w:t>” has the meaning given in Item 5H of the Summary of Basic Terms. All references in this Lease to the Target Tenant’s Work Completion Date shall be references to the Target Tenant’s Work Completion Date as extended due to Excusable Delay and/or as provided in Section 3.1.”</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Contribution</w:t>
      </w:r>
      <w:r>
        <w:rPr>
          <w:rFonts w:ascii="Times New Roman" w:cs="Times New Roman" w:eastAsia="Times New Roman" w:hAnsi="Times New Roman"/>
          <w:sz w:val="14"/>
          <w:szCs w:val="14"/>
          <w:color w:val="auto"/>
        </w:rPr>
        <w:t>” has the meaning given in Section 3.2.”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Tenant’s Work Completion Date</w:t>
      </w:r>
      <w:r>
        <w:rPr>
          <w:rFonts w:ascii="Times New Roman" w:cs="Times New Roman" w:eastAsia="Times New Roman" w:hAnsi="Times New Roman"/>
          <w:sz w:val="14"/>
          <w:szCs w:val="14"/>
          <w:color w:val="auto"/>
        </w:rPr>
        <w:t>” has the meaning given in Item 5I of the Summary of Basic Terms.”</w:t>
      </w:r>
    </w:p>
    <w:p>
      <w:pPr>
        <w:spacing w:after="0" w:line="175" w:lineRule="exact"/>
        <w:rPr>
          <w:sz w:val="20"/>
          <w:szCs w:val="20"/>
          <w:color w:val="auto"/>
        </w:rPr>
      </w:pPr>
    </w:p>
    <w:p>
      <w:pPr>
        <w:ind w:left="520" w:right="6640" w:hanging="505"/>
        <w:spacing w:after="0" w:line="501" w:lineRule="auto"/>
        <w:tabs>
          <w:tab w:leader="none" w:pos="207"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definitions of the following terms are hereby deleted: “Infrastructure Improvements Phase” “Infrastructure Work”</w:t>
      </w:r>
    </w:p>
    <w:p>
      <w:pPr>
        <w:spacing w:after="0" w:line="1" w:lineRule="exact"/>
        <w:rPr>
          <w:rFonts w:ascii="Times New Roman" w:cs="Times New Roman" w:eastAsia="Times New Roman" w:hAnsi="Times New Roman"/>
          <w:sz w:val="14"/>
          <w:szCs w:val="14"/>
          <w:color w:val="auto"/>
        </w:rPr>
      </w:pPr>
    </w:p>
    <w:p>
      <w:pPr>
        <w:ind w:left="520" w:right="8000" w:hanging="7"/>
        <w:spacing w:after="0" w:line="50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Work Plans” “Phase”</w:t>
      </w:r>
    </w:p>
    <w:p>
      <w:pPr>
        <w:ind w:left="520" w:right="8420"/>
        <w:spacing w:after="0" w:line="50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of the Work” “Phase 1”</w:t>
      </w:r>
    </w:p>
    <w:p>
      <w:pPr>
        <w:ind w:left="520" w:right="7580"/>
        <w:spacing w:after="0" w:line="4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Leasable Square Footage” “Phase 1 Tenant’s Work Plans”</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375285</wp:posOffset>
            </wp:positionV>
            <wp:extent cx="7188200"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00"/>
          </w:cols>
          <w:pgMar w:left="1440" w:top="966" w:right="359" w:bottom="1440" w:gutter="0" w:footer="0" w:header="0"/>
        </w:sectPr>
      </w:pPr>
    </w:p>
    <w:bookmarkStart w:id="583" w:name="page584"/>
    <w:bookmarkEnd w:id="583"/>
    <w:p>
      <w:pPr>
        <w:ind w:left="1145"/>
        <w:spacing w:after="0"/>
        <w:rPr>
          <w:sz w:val="20"/>
          <w:szCs w:val="20"/>
          <w:color w:val="auto"/>
        </w:rPr>
      </w:pPr>
      <w:r>
        <w:rPr>
          <w:rFonts w:ascii="Times New Roman" w:cs="Times New Roman" w:eastAsia="Times New Roman" w:hAnsi="Times New Roman"/>
          <w:sz w:val="14"/>
          <w:szCs w:val="14"/>
          <w:color w:val="auto"/>
        </w:rPr>
        <w:t>“Phase 1 Work”</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2”</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2 Leasable Square Footage”</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2 Tenant’s Work Plans”</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2 Work”</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3”</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3 Leasable Square Footage”</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3 Tenant’s Work Plans”</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“Phase 3 Work”</w:t>
      </w:r>
    </w:p>
    <w:p>
      <w:pPr>
        <w:spacing w:after="0" w:line="175"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4"/>
          <w:szCs w:val="14"/>
          <w:color w:val="auto"/>
        </w:rPr>
        <w:t>“Tenant’s Contractor”</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u w:val="single" w:color="auto"/>
          <w:color w:val="auto"/>
        </w:rPr>
        <w:t>Section 2.4(a) (Lease Term)</w:t>
      </w:r>
      <w:r>
        <w:rPr>
          <w:rFonts w:ascii="Times New Roman" w:cs="Times New Roman" w:eastAsia="Times New Roman" w:hAnsi="Times New Roman"/>
          <w:sz w:val="14"/>
          <w:szCs w:val="14"/>
          <w:color w:val="auto"/>
        </w:rPr>
        <w:t>. The following sentence is hereby added at the end of Section 2.4(a):</w:t>
      </w:r>
    </w:p>
    <w:p>
      <w:pPr>
        <w:spacing w:after="0" w:line="175" w:lineRule="exact"/>
        <w:rPr>
          <w:sz w:val="20"/>
          <w:szCs w:val="20"/>
          <w:color w:val="auto"/>
        </w:rPr>
      </w:pPr>
    </w:p>
    <w:p>
      <w:pPr>
        <w:ind w:left="1145" w:right="240"/>
        <w:spacing w:after="0" w:line="283" w:lineRule="auto"/>
        <w:rPr>
          <w:sz w:val="20"/>
          <w:szCs w:val="20"/>
          <w:color w:val="auto"/>
        </w:rPr>
      </w:pPr>
      <w:r>
        <w:rPr>
          <w:rFonts w:ascii="Times New Roman" w:cs="Times New Roman" w:eastAsia="Times New Roman" w:hAnsi="Times New Roman"/>
          <w:sz w:val="14"/>
          <w:szCs w:val="14"/>
          <w:color w:val="auto"/>
        </w:rPr>
        <w:t>“Notwithstanding anything to the contrary in this Lease, but subject to the terms and conditions of Section 3.1(i), Tenant shall not have the right to use and occupy the Premises for the Permitted Use unless and until the Tenant’s Work Completion Date has occurred.”</w:t>
      </w:r>
    </w:p>
    <w:p>
      <w:pPr>
        <w:spacing w:after="0" w:line="125" w:lineRule="exact"/>
        <w:rPr>
          <w:sz w:val="20"/>
          <w:szCs w:val="20"/>
          <w:color w:val="auto"/>
        </w:rPr>
      </w:pPr>
    </w:p>
    <w:p>
      <w:pPr>
        <w:ind w:left="145" w:hanging="145"/>
        <w:spacing w:after="0"/>
        <w:tabs>
          <w:tab w:leader="none" w:pos="145"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3.1(b) (Performance of Base Building Work)</w:t>
      </w:r>
      <w:r>
        <w:rPr>
          <w:rFonts w:ascii="Times New Roman" w:cs="Times New Roman" w:eastAsia="Times New Roman" w:hAnsi="Times New Roman"/>
          <w:sz w:val="14"/>
          <w:szCs w:val="14"/>
          <w:color w:val="auto"/>
        </w:rPr>
        <w:t>. The third sentence of Section 3.1(b) is hereby deleted.</w:t>
      </w:r>
    </w:p>
    <w:p>
      <w:pPr>
        <w:spacing w:after="0" w:line="175" w:lineRule="exact"/>
        <w:rPr>
          <w:rFonts w:ascii="Times New Roman" w:cs="Times New Roman" w:eastAsia="Times New Roman" w:hAnsi="Times New Roman"/>
          <w:sz w:val="14"/>
          <w:szCs w:val="14"/>
          <w:color w:val="auto"/>
        </w:rPr>
      </w:pPr>
    </w:p>
    <w:p>
      <w:pPr>
        <w:ind w:left="1145" w:right="2760" w:hanging="1145"/>
        <w:spacing w:after="0" w:line="501" w:lineRule="auto"/>
        <w:tabs>
          <w:tab w:leader="none" w:pos="134"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3.1(d) (Acceptance of Premises; Warranty)</w:t>
      </w:r>
      <w:r>
        <w:rPr>
          <w:rFonts w:ascii="Times New Roman" w:cs="Times New Roman" w:eastAsia="Times New Roman" w:hAnsi="Times New Roman"/>
          <w:sz w:val="14"/>
          <w:szCs w:val="14"/>
          <w:color w:val="auto"/>
        </w:rPr>
        <w:t>. Section 3.1(d) is deleted in its entirety and the following is substituted in place thereof: “(d) [Intentionally deleted.]”</w:t>
      </w:r>
    </w:p>
    <w:p>
      <w:pPr>
        <w:ind w:left="145" w:hanging="145"/>
        <w:spacing w:after="0"/>
        <w:tabs>
          <w:tab w:leader="none" w:pos="145"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3.1(f) (Tenant’s Work; Late Delivery)</w:t>
      </w:r>
      <w:r>
        <w:rPr>
          <w:rFonts w:ascii="Times New Roman" w:cs="Times New Roman" w:eastAsia="Times New Roman" w:hAnsi="Times New Roman"/>
          <w:sz w:val="14"/>
          <w:szCs w:val="14"/>
          <w:color w:val="auto"/>
        </w:rPr>
        <w:t>. Section 3.1(f) is deleted in its entirety and the following is substituted in place thereof:</w:t>
      </w:r>
    </w:p>
    <w:p>
      <w:pPr>
        <w:spacing w:after="0" w:line="175" w:lineRule="exact"/>
        <w:rPr>
          <w:sz w:val="20"/>
          <w:szCs w:val="20"/>
          <w:color w:val="auto"/>
        </w:rPr>
      </w:pPr>
    </w:p>
    <w:p>
      <w:pPr>
        <w:ind w:left="1145"/>
        <w:spacing w:after="0" w:line="255"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u w:val="single" w:color="auto"/>
          <w:color w:val="auto"/>
        </w:rPr>
        <w:t>Tenant’s Work Plans</w:t>
      </w:r>
      <w:r>
        <w:rPr>
          <w:rFonts w:ascii="Times New Roman" w:cs="Times New Roman" w:eastAsia="Times New Roman" w:hAnsi="Times New Roman"/>
          <w:sz w:val="14"/>
          <w:szCs w:val="14"/>
          <w:color w:val="auto"/>
        </w:rPr>
        <w:t xml:space="preserve">. A list of the approved Tenant’s Work Plans is attached hereto as </w:t>
      </w:r>
      <w:r>
        <w:rPr>
          <w:rFonts w:ascii="Times New Roman" w:cs="Times New Roman" w:eastAsia="Times New Roman" w:hAnsi="Times New Roman"/>
          <w:sz w:val="14"/>
          <w:szCs w:val="14"/>
          <w:u w:val="single" w:color="auto"/>
          <w:color w:val="auto"/>
        </w:rPr>
        <w:t>Exhibit M</w:t>
      </w:r>
      <w:r>
        <w:rPr>
          <w:rFonts w:ascii="Times New Roman" w:cs="Times New Roman" w:eastAsia="Times New Roman" w:hAnsi="Times New Roman"/>
          <w:sz w:val="14"/>
          <w:szCs w:val="14"/>
          <w:color w:val="auto"/>
        </w:rPr>
        <w:t>. Tenant shall not make material changes in any approved Tenant’s Work Plans without the prior written consent of Landlord, which consent shall not be unreasonably withheld, conditioned or delayed. Tenant shall be fully responsible for the compliance of the Tenant’s Work Plans with all Legal Requirements and for assuring that the Tenant’s Work Plans provide for Tenant’s Work that will be in compliance with all Legal Requirements and will satisfy Tenant’s requirements. Landlord’s approval of Tenant’s Work Plans shall not be, and shall not be deemed to be, a certification, representation or warranty by Landlord that the same are adequate, complete or in compliance with Legal Requirements. Landlord may, at its election, have one or more architects and/or engineers selected by Landlord review proposed Tenant’s Work Plans and/or any proposed changes thereto. All such reviews shall be for the sole benefit of Landlord and neither Landlord nor such architects and/or engineers shall have any liability or obligation to Tenant or any other Person with respect to the Tenant’s Work Plans or the Tenant’s Work.”</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4"/>
          <w:szCs w:val="14"/>
          <w:u w:val="single" w:color="auto"/>
          <w:color w:val="auto"/>
        </w:rPr>
        <w:t>Section 3.1(g)</w:t>
      </w:r>
      <w:r>
        <w:rPr>
          <w:rFonts w:ascii="Times New Roman" w:cs="Times New Roman" w:eastAsia="Times New Roman" w:hAnsi="Times New Roman"/>
          <w:sz w:val="14"/>
          <w:szCs w:val="14"/>
          <w:color w:val="auto"/>
        </w:rPr>
        <w:t>. Section 3.1(g) is deleted in its entirety and the following is substituted in place thereof:</w:t>
      </w:r>
    </w:p>
    <w:p>
      <w:pPr>
        <w:spacing w:after="0" w:line="175" w:lineRule="exact"/>
        <w:rPr>
          <w:sz w:val="20"/>
          <w:szCs w:val="20"/>
          <w:color w:val="auto"/>
        </w:rPr>
      </w:pPr>
    </w:p>
    <w:p>
      <w:pPr>
        <w:ind w:left="1145" w:right="100"/>
        <w:spacing w:after="0" w:line="257"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Performance of Tenant’s Work</w:t>
      </w:r>
      <w:r>
        <w:rPr>
          <w:rFonts w:ascii="Times New Roman" w:cs="Times New Roman" w:eastAsia="Times New Roman" w:hAnsi="Times New Roman"/>
          <w:sz w:val="14"/>
          <w:szCs w:val="14"/>
          <w:color w:val="auto"/>
        </w:rPr>
        <w:t>. Landlord shall use commercially reasonable efforts to cause Landlord’s Contractor to perform the Tenant’s Work in a good and workmanlike manner and substantially in accordance with the Tenant’s Work Plans. Subject to Excusable Delay, Landlord shall use commercially reasonable efforts to cause Landlord’s Contractor to cause Substantial Completion of the Tenant’s Work to be achieved by the Target Tenant’s Work Completion Date. If any of the Tenant’s Work is delayed as a result of an Excusable Delay, the Target Tenant’s Work Completion Date shall be extended upon notice from Landlord to Tenant for a reasonable period of time under the circumstances. Landlord reserves the right to make changes in the Tenant’s Work from time to time as Landlord deems necessary or appropriate in order to complete the performance of the Tenant’s</w:t>
      </w:r>
    </w:p>
    <w:p>
      <w:pPr>
        <w:spacing w:after="0" w:line="59"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375285</wp:posOffset>
            </wp:positionV>
            <wp:extent cx="7188200" cy="387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25"/>
          </w:cols>
          <w:pgMar w:left="815" w:top="966" w:right="359" w:bottom="1440" w:gutter="0" w:footer="0" w:header="0"/>
        </w:sectPr>
      </w:pPr>
    </w:p>
    <w:bookmarkStart w:id="584" w:name="page585"/>
    <w:bookmarkEnd w:id="584"/>
    <w:p>
      <w:pPr>
        <w:ind w:left="1140" w:right="20"/>
        <w:spacing w:after="0" w:line="257" w:lineRule="auto"/>
        <w:rPr>
          <w:sz w:val="20"/>
          <w:szCs w:val="20"/>
          <w:color w:val="auto"/>
        </w:rPr>
      </w:pPr>
      <w:r>
        <w:rPr>
          <w:rFonts w:ascii="Times New Roman" w:cs="Times New Roman" w:eastAsia="Times New Roman" w:hAnsi="Times New Roman"/>
          <w:sz w:val="14"/>
          <w:szCs w:val="14"/>
          <w:color w:val="auto"/>
        </w:rPr>
        <w:t xml:space="preserve">Work in a timely manner or to accommodate the requirements of other tenants of the Building, provided that such changes do not have a material adverse impact on the size, quality, functionality or aesthetic appearance of the Premises. Without limiting the generality of the foregoing, Landlord may, upon prior notice to Tenant, substitute materials to minimize delays. Tenant hereby confirms its approval of the pricing set forth in </w:t>
      </w:r>
      <w:r>
        <w:rPr>
          <w:rFonts w:ascii="Times New Roman" w:cs="Times New Roman" w:eastAsia="Times New Roman" w:hAnsi="Times New Roman"/>
          <w:sz w:val="14"/>
          <w:szCs w:val="14"/>
          <w:u w:val="single" w:color="auto"/>
          <w:color w:val="auto"/>
        </w:rPr>
        <w:t>Exhibit N</w:t>
      </w:r>
      <w:r>
        <w:rPr>
          <w:rFonts w:ascii="Times New Roman" w:cs="Times New Roman" w:eastAsia="Times New Roman" w:hAnsi="Times New Roman"/>
          <w:sz w:val="14"/>
          <w:szCs w:val="14"/>
          <w:color w:val="auto"/>
        </w:rPr>
        <w:t xml:space="preserve"> attached hereto for the Tenant’s Work contemplated by the Tenant’s Work Plans in the amount of $22,617,679.00 (the “</w:t>
      </w:r>
      <w:r>
        <w:rPr>
          <w:rFonts w:ascii="Times New Roman" w:cs="Times New Roman" w:eastAsia="Times New Roman" w:hAnsi="Times New Roman"/>
          <w:sz w:val="14"/>
          <w:szCs w:val="14"/>
          <w:u w:val="single" w:color="auto"/>
          <w:color w:val="auto"/>
        </w:rPr>
        <w:t>GMP Amount</w:t>
      </w:r>
      <w:r>
        <w:rPr>
          <w:rFonts w:ascii="Times New Roman" w:cs="Times New Roman" w:eastAsia="Times New Roman" w:hAnsi="Times New Roman"/>
          <w:sz w:val="14"/>
          <w:szCs w:val="14"/>
          <w:color w:val="auto"/>
        </w:rPr>
        <w:t>”). Tenant acknowledges that, as an accommodation to Tenant, Landlord is acting as a conduit between Tenant and Landlord’s Contractor for the performance of the Tenant’s Work, and, except to the extent expressly set forth herein, Landlord shall have no liability in connection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8. </w:t>
      </w:r>
      <w:r>
        <w:rPr>
          <w:rFonts w:ascii="Times New Roman" w:cs="Times New Roman" w:eastAsia="Times New Roman" w:hAnsi="Times New Roman"/>
          <w:sz w:val="14"/>
          <w:szCs w:val="14"/>
          <w:u w:val="single" w:color="auto"/>
          <w:color w:val="auto"/>
        </w:rPr>
        <w:t>Section 3.1(h) (Change Orders)</w:t>
      </w:r>
      <w:r>
        <w:rPr>
          <w:rFonts w:ascii="Times New Roman" w:cs="Times New Roman" w:eastAsia="Times New Roman" w:hAnsi="Times New Roman"/>
          <w:sz w:val="14"/>
          <w:szCs w:val="14"/>
          <w:color w:val="auto"/>
        </w:rPr>
        <w:t>. Section 3.1(h) is hereby inserted into the Lease immediately following Section 3.1(g):</w:t>
      </w:r>
    </w:p>
    <w:p>
      <w:pPr>
        <w:spacing w:after="0" w:line="175"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4"/>
          <w:szCs w:val="14"/>
          <w:color w:val="auto"/>
        </w:rPr>
        <w:t xml:space="preserve">“(h) </w:t>
      </w:r>
      <w:r>
        <w:rPr>
          <w:rFonts w:ascii="Times New Roman" w:cs="Times New Roman" w:eastAsia="Times New Roman" w:hAnsi="Times New Roman"/>
          <w:sz w:val="14"/>
          <w:szCs w:val="14"/>
          <w:u w:val="single" w:color="auto"/>
          <w:color w:val="auto"/>
        </w:rPr>
        <w:t>Change Orders</w:t>
      </w:r>
      <w:r>
        <w:rPr>
          <w:rFonts w:ascii="Times New Roman" w:cs="Times New Roman" w:eastAsia="Times New Roman" w:hAnsi="Times New Roman"/>
          <w:sz w:val="14"/>
          <w:szCs w:val="14"/>
          <w:color w:val="auto"/>
        </w:rPr>
        <w:t>. Tenant may request changes in the Tenant’s Work from that provided for in the Tenant’s Work Plans by giving Landlord written notice of the proposed change(s) with such details, plans and specifications as may be required by Landlord. In response to such request by Tenant, Landlord shall, within five (5) Business Days after Landlord’s receipt of such request, provide Tenant with a proposed change order, setting forth (i) the change in the Tenant’s Work Costs due to such change(s), (ii) the expected delay beyond the Target Tenant’s Work Completion Date, if any, in achieving Substantial Completion of the Tenant’s Work in connection therewith and (iii) any conditions imposed by Landlord in connection therewith. Tenant shall, within five (5) Business Days after receipt of a proposed change order, either reject or accept it. If Tenant rejects a proposed change order (or fails to respond within the specified period), the Tenant’s Work shall not be changed. If Tenant approves a proposed change order, then (x) Tenant shall execute and deliver to Landlord the change order within the specified five (5) Business Days period, together with payment of any increase in Tenant’s Contribution due to the change order, and (y) the Target Tenant’s Work Completion Date shall be extended for the period of delay specified per clause (ii)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 </w:t>
      </w:r>
      <w:r>
        <w:rPr>
          <w:rFonts w:ascii="Times New Roman" w:cs="Times New Roman" w:eastAsia="Times New Roman" w:hAnsi="Times New Roman"/>
          <w:sz w:val="14"/>
          <w:szCs w:val="14"/>
          <w:u w:val="single" w:color="auto"/>
          <w:color w:val="auto"/>
        </w:rPr>
        <w:t>Section 3.1(i) (Tenant’s Work; Pre-Term Occupancy)</w:t>
      </w:r>
      <w:r>
        <w:rPr>
          <w:rFonts w:ascii="Times New Roman" w:cs="Times New Roman" w:eastAsia="Times New Roman" w:hAnsi="Times New Roman"/>
          <w:sz w:val="14"/>
          <w:szCs w:val="14"/>
          <w:color w:val="auto"/>
        </w:rPr>
        <w:t>. Section 3.1(i) is hereby inserted into the Lease immediately following Section 3.1(h):</w:t>
      </w:r>
    </w:p>
    <w:p>
      <w:pPr>
        <w:spacing w:after="0" w:line="175" w:lineRule="exact"/>
        <w:rPr>
          <w:sz w:val="20"/>
          <w:szCs w:val="20"/>
          <w:color w:val="auto"/>
        </w:rPr>
      </w:pPr>
    </w:p>
    <w:p>
      <w:pPr>
        <w:ind w:left="1140" w:right="20"/>
        <w:spacing w:after="0" w:line="254" w:lineRule="auto"/>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Tenant’s Work; Pre-Term Occupancy</w:t>
      </w:r>
      <w:r>
        <w:rPr>
          <w:rFonts w:ascii="Times New Roman" w:cs="Times New Roman" w:eastAsia="Times New Roman" w:hAnsi="Times New Roman"/>
          <w:sz w:val="14"/>
          <w:szCs w:val="14"/>
          <w:color w:val="auto"/>
        </w:rPr>
        <w:t>. Tenant will perform all work, if any, in addition to the Tenant’s Work as is necessary to equip, furnish and use the Premises in accordance with Legal Requirements, on and subject to the conditions set forth in Section 7.5. Landlord shall afford Tenant and its contractors reasonable access to the Premises and the appropriate Common Areas during the course of the Tenant’s Work for the purposes of installing voice communication, data communication and security equipment and otherwise preparing the Premises for Tenant’s occupancy. If Tenant enters the Premises prior to the Tenant’s Work Completion Date to perform such work, such entry shall be at Tenant’s own risk solely for the purpose of preparing for occupancy by Tenant and installing fixtures and equipment; provided that in so entering the Premises prior to the Tenant’s Work Completion Date, Tenant shall not interfere with Landlord’s construction activities. During the period of any entry by Tenant prior to the Tenant’s Work Completion Date pursuant to the above provisions of this Section, Tenant shall be subject to the insurance obligations set forth in Sections 7.8 and 7.9 and to all other obligations of Tenant under this Lease, other than the obligations to pay Base Rent and Additional Rent if such entry is prior to the Commencement Date, and, prior to any such entry by Tenant prior to the Tenant’s Work Completion Date, Tenant shall furnish Landlord with a certificate of insurance confirming its procurement of the insurance required by Sections 7.8 and 7.9.”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u w:val="single" w:color="auto"/>
          <w:color w:val="auto"/>
        </w:rPr>
        <w:t>Section 3.1(j) (Acceptance of Premises; Warranty)</w:t>
      </w:r>
      <w:r>
        <w:rPr>
          <w:rFonts w:ascii="Times New Roman" w:cs="Times New Roman" w:eastAsia="Times New Roman" w:hAnsi="Times New Roman"/>
          <w:sz w:val="14"/>
          <w:szCs w:val="14"/>
          <w:color w:val="auto"/>
        </w:rPr>
        <w:t>. Section 3.1(j) is hereby inserted into the Lease immediately following Section 3.1(i):</w:t>
      </w:r>
    </w:p>
    <w:p>
      <w:pPr>
        <w:spacing w:after="0" w:line="175" w:lineRule="exact"/>
        <w:rPr>
          <w:sz w:val="20"/>
          <w:szCs w:val="20"/>
          <w:color w:val="auto"/>
        </w:rPr>
      </w:pPr>
    </w:p>
    <w:p>
      <w:pPr>
        <w:ind w:left="640" w:right="40"/>
        <w:spacing w:after="0" w:line="254" w:lineRule="auto"/>
        <w:rPr>
          <w:sz w:val="20"/>
          <w:szCs w:val="20"/>
          <w:color w:val="auto"/>
        </w:rPr>
      </w:pPr>
      <w:r>
        <w:rPr>
          <w:rFonts w:ascii="Times New Roman" w:cs="Times New Roman" w:eastAsia="Times New Roman" w:hAnsi="Times New Roman"/>
          <w:sz w:val="14"/>
          <w:szCs w:val="14"/>
          <w:color w:val="auto"/>
        </w:rPr>
        <w:t>“(j) Acceptance of Premises; Warranty. Tenant’s taking possession of the Premises on or after the Tenant’s Work Completion Date shall be conclusive evidence, as against Tenant, that the Premises were in good order and satisfactory condition in substantial accordance with the Base Building Plans and Tenant’s Work Plans when Tenant took possession, except for (i) punch list items on a list signed by both parties on or prior to the Tenant’s Work Completion Date and which are able to be completed by Landlord’s Contractor within forty-five (45) days after the Tenant’s Work Completion Date, and (ii) any claims of breach of Landlord’s warranty set forth below in this Section 3.1(j). Landlord hereby warrants to Tenant that the Base Building Work shall be performed (x) in a good and workmanlike manner, (y) free from defects in workmanship and materials, and (z) in compliance with Legal Requirements. Tenant shall be deemed to have waived any claim under such warranty except for such matters of which Tenant advises Landlord in writing on or before the first anniversary of the date on which Landlord achieves Substantial Completion of the Base Building Work. Landlord shall assign to Tenant any and all warranties provided by Landlord’s Contractor with respect to the Tenant’s Work and, at Tenant’s request, shall cooperate with Tenant’s efforts to enforce any and all such warranties against Landlord’s Contractor. Nothing herein shall relieve Landlord of its maintenance and repair obligations under this Lease nor limit repairs under warranty by Landlord’s Contractor regardless of when discovered.”</w:t>
      </w:r>
    </w:p>
    <w:p>
      <w:pPr>
        <w:spacing w:after="0" w:line="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965" w:right="319" w:bottom="1440" w:gutter="0" w:footer="0" w:header="0"/>
        </w:sectPr>
      </w:pPr>
    </w:p>
    <w:bookmarkStart w:id="585" w:name="page586"/>
    <w:bookmarkEnd w:id="585"/>
    <w:p>
      <w:pPr>
        <w:ind w:left="5"/>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Section 3.2 (Allowance)</w:t>
      </w:r>
      <w:r>
        <w:rPr>
          <w:rFonts w:ascii="Times New Roman" w:cs="Times New Roman" w:eastAsia="Times New Roman" w:hAnsi="Times New Roman"/>
          <w:sz w:val="14"/>
          <w:szCs w:val="14"/>
          <w:color w:val="auto"/>
        </w:rPr>
        <w:t>. Section 3.2 is deleted in its entirety and the following is substituted in place thereof:</w:t>
      </w:r>
    </w:p>
    <w:p>
      <w:pPr>
        <w:spacing w:after="0" w:line="175" w:lineRule="exact"/>
        <w:rPr>
          <w:sz w:val="20"/>
          <w:szCs w:val="20"/>
          <w:color w:val="auto"/>
        </w:rPr>
      </w:pPr>
    </w:p>
    <w:p>
      <w:pPr>
        <w:ind w:left="645" w:right="100"/>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Section 3.2 Allowance</w:t>
      </w:r>
      <w:r>
        <w:rPr>
          <w:rFonts w:ascii="Times New Roman" w:cs="Times New Roman" w:eastAsia="Times New Roman" w:hAnsi="Times New Roman"/>
          <w:sz w:val="14"/>
          <w:szCs w:val="14"/>
          <w:color w:val="auto"/>
        </w:rPr>
        <w:t>. Landlord shall be responsible for the Tenant’s Work Costs, to the extent of the Allowance, and Tenant shall be responsible for all Tenant’s Work Costs in excess of the Allowance. Tenant has authorized Landlord to proceed with the Tenant’s Work on the basis of the GMP Amount, subject to any changes in the GMP Amount caused by change orders requested by Tenant or any Excusable Delay. If the Tenant’s Work Costs exceed the Allowance (the amount of the difference being referred to herein as the “</w:t>
      </w:r>
      <w:r>
        <w:rPr>
          <w:rFonts w:ascii="Times New Roman" w:cs="Times New Roman" w:eastAsia="Times New Roman" w:hAnsi="Times New Roman"/>
          <w:sz w:val="14"/>
          <w:szCs w:val="14"/>
          <w:u w:val="single" w:color="auto"/>
          <w:color w:val="auto"/>
        </w:rPr>
        <w:t>Excess Costs</w:t>
      </w:r>
      <w:r>
        <w:rPr>
          <w:rFonts w:ascii="Times New Roman" w:cs="Times New Roman" w:eastAsia="Times New Roman" w:hAnsi="Times New Roman"/>
          <w:sz w:val="14"/>
          <w:szCs w:val="14"/>
          <w:color w:val="auto"/>
        </w:rPr>
        <w:t>”), Tenant shall pay the amount of the Excess Costs to Landlord (any such payment by Tenant to Landlord on account of Excess Costs being “</w:t>
      </w:r>
      <w:r>
        <w:rPr>
          <w:rFonts w:ascii="Times New Roman" w:cs="Times New Roman" w:eastAsia="Times New Roman" w:hAnsi="Times New Roman"/>
          <w:sz w:val="14"/>
          <w:szCs w:val="14"/>
          <w:u w:val="single" w:color="auto"/>
          <w:color w:val="auto"/>
        </w:rPr>
        <w:t>Tenant’s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in accordance with the terms and conditions of this Section 3.2. The parties confirm that, as of December 21, 2019, the Excess Costs have been determined to be $1,437,029.00, and Tenant has paid $1,437,029.00 of such amount on or before the effective date of this Amendment. Tenant shall be responsible for any costs associated with voice and data, security systems, furniture and signage, which will not be included in Tenant’s Work Costs. Landlord shall disburse the Allowance and any Tenant’s Contribution paid by Tenant to Landlord to pay Tenant’s Work Costs, and Landlord shall be entitled to first utilize Tenant’s Contribution to pay such Tenant’s Work Costs. With reasonable promptness after completion of the Tenant’s Work, or at any time after a re-measurement as contemplated by Section 2.6 of the Lease results in an adjustment to the Allowance, Landlord shall submit to Tenant a statement of the amount of the actual Tenant’s Work Costs and/or adjusted Allowance, as applicable, together with reasonably detailed backup information, and of the difference between the actual Tenant’s Contribution and the amount previously paid by Tenant to Landlord in respect of Tenant’s Contribution. Within 30 days after Landlord submits such statement to Tenant, the difference between the actual Tenant’s Contribution on the basis of such statement and the amount previously paid by Tenant to Landlord in respect of Tenant’s Contribution shall be reconciled by Tenant or Landlord, as appropriate, paying to the other the amount of the difference.”</w:t>
      </w:r>
    </w:p>
    <w:p>
      <w:pPr>
        <w:spacing w:after="0" w:line="1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Section 7.4 (Maintenance; Repairs; and Yield-Up; Decommissioning)</w:t>
      </w:r>
      <w:r>
        <w:rPr>
          <w:rFonts w:ascii="Times New Roman" w:cs="Times New Roman" w:eastAsia="Times New Roman" w:hAnsi="Times New Roman"/>
          <w:sz w:val="14"/>
          <w:szCs w:val="14"/>
          <w:color w:val="auto"/>
        </w:rPr>
        <w:t>. The third sentence of Section 7.4 is hereby deleted in its entirety and replaced with the following:</w:t>
      </w:r>
    </w:p>
    <w:p>
      <w:pPr>
        <w:spacing w:after="0" w:line="175" w:lineRule="exact"/>
        <w:rPr>
          <w:sz w:val="20"/>
          <w:szCs w:val="20"/>
          <w:color w:val="auto"/>
        </w:rPr>
      </w:pPr>
    </w:p>
    <w:p>
      <w:pPr>
        <w:ind w:left="645" w:right="480"/>
        <w:spacing w:after="0" w:line="283" w:lineRule="auto"/>
        <w:rPr>
          <w:sz w:val="20"/>
          <w:szCs w:val="20"/>
          <w:color w:val="auto"/>
        </w:rPr>
      </w:pPr>
      <w:r>
        <w:rPr>
          <w:rFonts w:ascii="Times New Roman" w:cs="Times New Roman" w:eastAsia="Times New Roman" w:hAnsi="Times New Roman"/>
          <w:sz w:val="14"/>
          <w:szCs w:val="14"/>
          <w:color w:val="auto"/>
        </w:rPr>
        <w:t>“There is excepted from Tenant’s such obligations under this Section only (a) damage to such portions of the Premises not the responsibility of Tenant under this Lease and originally constructed by Landlord as part of the Base Building Work, and (b) repairs and work which are otherwise the specific responsibility of Landlord hereunder.”</w:t>
      </w:r>
    </w:p>
    <w:p>
      <w:pPr>
        <w:spacing w:after="0" w:line="125" w:lineRule="exact"/>
        <w:rPr>
          <w:sz w:val="20"/>
          <w:szCs w:val="20"/>
          <w:color w:val="auto"/>
        </w:rPr>
      </w:pPr>
    </w:p>
    <w:p>
      <w:pPr>
        <w:ind w:left="645" w:right="1960" w:hanging="645"/>
        <w:spacing w:after="0" w:line="501" w:lineRule="auto"/>
        <w:tabs>
          <w:tab w:leader="none" w:pos="216"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7.5 (Alterations by Tenant)</w:t>
      </w:r>
      <w:r>
        <w:rPr>
          <w:rFonts w:ascii="Times New Roman" w:cs="Times New Roman" w:eastAsia="Times New Roman" w:hAnsi="Times New Roman"/>
          <w:sz w:val="14"/>
          <w:szCs w:val="14"/>
          <w:color w:val="auto"/>
        </w:rPr>
        <w:t>. Subsection (v) of the second sentence of Section 7.5 is hereby deleted in its entirety and replaced with the following: “(v) are not part of the Tenant’s Work.”</w:t>
      </w:r>
    </w:p>
    <w:p>
      <w:pPr>
        <w:ind w:left="205" w:hanging="205"/>
        <w:spacing w:after="0"/>
        <w:tabs>
          <w:tab w:leader="none" w:pos="205"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7.8 (Contents at Tenant’s Risk)</w:t>
      </w:r>
      <w:r>
        <w:rPr>
          <w:rFonts w:ascii="Times New Roman" w:cs="Times New Roman" w:eastAsia="Times New Roman" w:hAnsi="Times New Roman"/>
          <w:sz w:val="14"/>
          <w:szCs w:val="14"/>
          <w:color w:val="auto"/>
        </w:rPr>
        <w:t>. Section 7.8 is deleted in its entirety and the following is substituted in place thereof:</w:t>
      </w:r>
    </w:p>
    <w:p>
      <w:pPr>
        <w:spacing w:after="0" w:line="175" w:lineRule="exact"/>
        <w:rPr>
          <w:sz w:val="20"/>
          <w:szCs w:val="20"/>
          <w:color w:val="auto"/>
        </w:rPr>
      </w:pPr>
    </w:p>
    <w:p>
      <w:pPr>
        <w:ind w:left="645"/>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Section 7.8 Contents at Tenant’s Risk</w:t>
      </w:r>
      <w:r>
        <w:rPr>
          <w:rFonts w:ascii="Times New Roman" w:cs="Times New Roman" w:eastAsia="Times New Roman" w:hAnsi="Times New Roman"/>
          <w:sz w:val="14"/>
          <w:szCs w:val="14"/>
          <w:color w:val="auto"/>
        </w:rPr>
        <w:t xml:space="preserve">. All inventory, equipment, goods, merchandise, furniture, fixtures and property of every kind which may be on or off the Premises shall be at the sole risk and hazard of Tenant, and if the whole or any part thereof shall be destroyed or damaged by fire, water or otherwise, or by the use or abuse of water or by the leaking or bursting of water pipes, or by rising water, or by roof or other structural leak, or by loss of electrical service, or in any other way or manner, no part of such loss or damage shall be charged to or borne by Landlord in any case whatsoever, except that the foregoing shall not exculpate Landlord from its own negligent acts or omissions. Tenant agrees (a) (i) to maintain full and adequate insurance coverage on all of its property on or off the Premises and in the remainder of the Building, including physical damage, theft and business interruption insurance, or (ii) Tenant shall be a self-insurer thereof, in which case Tenant shall so advise Landlord in writing and shall be fully responsible for all such damage, and shall indemnify and save harmless Landlord from any loss, cost, expense, damage or liability resulting from Tenant’s failure to have such insurance as required in this Lease and (b) to maintain builder’s risk insurance for the period during which the Tenant’s Work is being performed in an amount sufficient to provide not less than 100% Replacement Cost coverage of loss, and Tenant shall deliver to Landlord prior to commencement of the Tenant’s Work, at least thirty (30) days prior to the expiration of any then effective coverage, and at such other times upon request by Landlord, a satisfactory written certificate of insurance coverages substantially in the form attached hereto as </w:t>
      </w:r>
      <w:r>
        <w:rPr>
          <w:rFonts w:ascii="Times New Roman" w:cs="Times New Roman" w:eastAsia="Times New Roman" w:hAnsi="Times New Roman"/>
          <w:sz w:val="14"/>
          <w:szCs w:val="14"/>
          <w:u w:val="single" w:color="auto"/>
          <w:color w:val="auto"/>
        </w:rPr>
        <w:t>Exhibit O</w:t>
      </w:r>
      <w:r>
        <w:rPr>
          <w:rFonts w:ascii="Times New Roman" w:cs="Times New Roman" w:eastAsia="Times New Roman" w:hAnsi="Times New Roman"/>
          <w:sz w:val="14"/>
          <w:szCs w:val="14"/>
          <w:color w:val="auto"/>
        </w:rPr>
        <w:t xml:space="preserve"> or the renewal or replacement of such coverage. All insurance on Tenant’s property shall contain a waiver of subrogation clause in favor of Landlord, or shall name Landlord as an additional insured for the sole purpose of preventing a subrogation claim against Landlord. If Tenant is a self-insurer, in whole or in part, Landlord shall be entitled to the same benefits it would have enjoyed had insurance covering the loss in full with a waiver of subrogation clause been in effect, or as if Landlord has been named on insurance covering the loss in full as an additional insured for the purpose of preventing a subrogation claim.”</w:t>
      </w:r>
    </w:p>
    <w:p>
      <w:pPr>
        <w:spacing w:after="0" w:line="63"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375285</wp:posOffset>
            </wp:positionV>
            <wp:extent cx="7188200" cy="3873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5"/>
          </w:cols>
          <w:pgMar w:left="815" w:top="966" w:right="319" w:bottom="1440" w:gutter="0" w:footer="0" w:header="0"/>
        </w:sectPr>
      </w:pPr>
    </w:p>
    <w:bookmarkStart w:id="586" w:name="page587"/>
    <w:bookmarkEnd w:id="586"/>
    <w:p>
      <w:pPr>
        <w:ind w:left="40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Article XIV Building 100 Lease</w:t>
      </w:r>
      <w:r>
        <w:rPr>
          <w:rFonts w:ascii="Times New Roman" w:cs="Times New Roman" w:eastAsia="Times New Roman" w:hAnsi="Times New Roman"/>
          <w:sz w:val="14"/>
          <w:szCs w:val="14"/>
          <w:color w:val="auto"/>
        </w:rPr>
        <w:t>. The following sentence is hereby added at the end of Article XIV:</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“Notwithstanding anything herein to the contrary, the Building 100 Lease Expiration Date shall be February 29, 2020.”</w:t>
      </w:r>
    </w:p>
    <w:p>
      <w:pPr>
        <w:spacing w:after="0" w:line="175" w:lineRule="exact"/>
        <w:rPr>
          <w:sz w:val="20"/>
          <w:szCs w:val="20"/>
          <w:color w:val="auto"/>
        </w:rPr>
      </w:pPr>
    </w:p>
    <w:p>
      <w:pPr>
        <w:ind w:left="600" w:hanging="205"/>
        <w:spacing w:after="0"/>
        <w:tabs>
          <w:tab w:leader="none" w:pos="6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 M (Tenant’s Work Plans)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attached to this Amendment is hereby attached as </w:t>
      </w:r>
      <w:r>
        <w:rPr>
          <w:rFonts w:ascii="Times New Roman" w:cs="Times New Roman" w:eastAsia="Times New Roman" w:hAnsi="Times New Roman"/>
          <w:sz w:val="14"/>
          <w:szCs w:val="14"/>
          <w:u w:val="single" w:color="auto"/>
          <w:color w:val="auto"/>
        </w:rPr>
        <w:t>Exhibit M</w:t>
      </w:r>
      <w:r>
        <w:rPr>
          <w:rFonts w:ascii="Times New Roman" w:cs="Times New Roman" w:eastAsia="Times New Roman" w:hAnsi="Times New Roman"/>
          <w:sz w:val="14"/>
          <w:szCs w:val="14"/>
          <w:color w:val="auto"/>
        </w:rPr>
        <w:t xml:space="preserve"> to the Lease.</w:t>
      </w:r>
    </w:p>
    <w:p>
      <w:pPr>
        <w:spacing w:after="0" w:line="175" w:lineRule="exact"/>
        <w:rPr>
          <w:rFonts w:ascii="Times New Roman" w:cs="Times New Roman" w:eastAsia="Times New Roman" w:hAnsi="Times New Roman"/>
          <w:sz w:val="14"/>
          <w:szCs w:val="14"/>
          <w:color w:val="auto"/>
        </w:rPr>
      </w:pPr>
    </w:p>
    <w:p>
      <w:pPr>
        <w:ind w:left="600" w:hanging="205"/>
        <w:spacing w:after="0"/>
        <w:tabs>
          <w:tab w:leader="none" w:pos="6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 N (Schedule of Values)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2</w:t>
      </w:r>
      <w:r>
        <w:rPr>
          <w:rFonts w:ascii="Times New Roman" w:cs="Times New Roman" w:eastAsia="Times New Roman" w:hAnsi="Times New Roman"/>
          <w:sz w:val="14"/>
          <w:szCs w:val="14"/>
          <w:color w:val="auto"/>
        </w:rPr>
        <w:t xml:space="preserve"> attached to this Amendment is hereby attached as </w:t>
      </w:r>
      <w:r>
        <w:rPr>
          <w:rFonts w:ascii="Times New Roman" w:cs="Times New Roman" w:eastAsia="Times New Roman" w:hAnsi="Times New Roman"/>
          <w:sz w:val="14"/>
          <w:szCs w:val="14"/>
          <w:u w:val="single" w:color="auto"/>
          <w:color w:val="auto"/>
        </w:rPr>
        <w:t>Exhibit N</w:t>
      </w:r>
      <w:r>
        <w:rPr>
          <w:rFonts w:ascii="Times New Roman" w:cs="Times New Roman" w:eastAsia="Times New Roman" w:hAnsi="Times New Roman"/>
          <w:sz w:val="14"/>
          <w:szCs w:val="14"/>
          <w:color w:val="auto"/>
        </w:rPr>
        <w:t xml:space="preserve"> to the Lease.</w:t>
      </w:r>
    </w:p>
    <w:p>
      <w:pPr>
        <w:spacing w:after="0" w:line="175" w:lineRule="exact"/>
        <w:rPr>
          <w:rFonts w:ascii="Times New Roman" w:cs="Times New Roman" w:eastAsia="Times New Roman" w:hAnsi="Times New Roman"/>
          <w:sz w:val="14"/>
          <w:szCs w:val="14"/>
          <w:color w:val="auto"/>
        </w:rPr>
      </w:pPr>
    </w:p>
    <w:p>
      <w:pPr>
        <w:ind w:left="600" w:hanging="205"/>
        <w:spacing w:after="0"/>
        <w:tabs>
          <w:tab w:leader="none" w:pos="6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 O (Certificate of Insurance – Builder’s 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xml:space="preserve"> attached to this Amendment is hereby attached as </w:t>
      </w:r>
      <w:r>
        <w:rPr>
          <w:rFonts w:ascii="Times New Roman" w:cs="Times New Roman" w:eastAsia="Times New Roman" w:hAnsi="Times New Roman"/>
          <w:sz w:val="14"/>
          <w:szCs w:val="14"/>
          <w:u w:val="single" w:color="auto"/>
          <w:color w:val="auto"/>
        </w:rPr>
        <w:t>Exhibit O</w:t>
      </w:r>
      <w:r>
        <w:rPr>
          <w:rFonts w:ascii="Times New Roman" w:cs="Times New Roman" w:eastAsia="Times New Roman" w:hAnsi="Times New Roman"/>
          <w:sz w:val="14"/>
          <w:szCs w:val="14"/>
          <w:color w:val="auto"/>
        </w:rPr>
        <w:t xml:space="preserve"> to the Lease.</w:t>
      </w:r>
    </w:p>
    <w:p>
      <w:pPr>
        <w:spacing w:after="0" w:line="175" w:lineRule="exact"/>
        <w:rPr>
          <w:rFonts w:ascii="Times New Roman" w:cs="Times New Roman" w:eastAsia="Times New Roman" w:hAnsi="Times New Roman"/>
          <w:sz w:val="14"/>
          <w:szCs w:val="14"/>
          <w:color w:val="auto"/>
        </w:rPr>
      </w:pPr>
    </w:p>
    <w:p>
      <w:pPr>
        <w:ind w:left="600" w:hanging="205"/>
        <w:spacing w:after="0"/>
        <w:tabs>
          <w:tab w:leader="none" w:pos="6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Hazardous Materials List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of the Lease is hereby deleted in its entirety and replaced with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that is contained in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of this Amendment.</w:t>
      </w:r>
    </w:p>
    <w:p>
      <w:pPr>
        <w:spacing w:after="0" w:line="175" w:lineRule="exact"/>
        <w:rPr>
          <w:rFonts w:ascii="Times New Roman" w:cs="Times New Roman" w:eastAsia="Times New Roman" w:hAnsi="Times New Roman"/>
          <w:sz w:val="14"/>
          <w:szCs w:val="14"/>
          <w:color w:val="auto"/>
        </w:rPr>
      </w:pPr>
    </w:p>
    <w:p>
      <w:pPr>
        <w:ind w:left="-120" w:firstLine="515"/>
        <w:spacing w:after="0" w:line="283" w:lineRule="auto"/>
        <w:tabs>
          <w:tab w:leader="none" w:pos="601"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Inconsistencies; Continuing Effect of Lease</w:t>
      </w:r>
      <w:r>
        <w:rPr>
          <w:rFonts w:ascii="Times New Roman" w:cs="Times New Roman" w:eastAsia="Times New Roman" w:hAnsi="Times New Roman"/>
          <w:sz w:val="14"/>
          <w:szCs w:val="14"/>
          <w:color w:val="auto"/>
        </w:rPr>
        <w:t>. To the extent that the provisions of this Amendment are inconsistent with the provisions of the Lease, the provisions of this Amendment will control and the Lease will be deemed to be amended hereby. Except as amended by this Amendment, the provisions of the Lease remain in full force and effect.</w:t>
      </w:r>
    </w:p>
    <w:p>
      <w:pPr>
        <w:spacing w:after="0" w:line="124" w:lineRule="exact"/>
        <w:rPr>
          <w:rFonts w:ascii="Times New Roman" w:cs="Times New Roman" w:eastAsia="Times New Roman" w:hAnsi="Times New Roman"/>
          <w:sz w:val="14"/>
          <w:szCs w:val="14"/>
          <w:color w:val="auto"/>
        </w:rPr>
      </w:pPr>
    </w:p>
    <w:p>
      <w:pPr>
        <w:ind w:left="-120" w:right="160" w:firstLine="515"/>
        <w:spacing w:after="0" w:line="283" w:lineRule="auto"/>
        <w:tabs>
          <w:tab w:leader="none" w:pos="601"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Multiple Counterparts</w:t>
      </w:r>
      <w:r>
        <w:rPr>
          <w:rFonts w:ascii="Times New Roman" w:cs="Times New Roman" w:eastAsia="Times New Roman" w:hAnsi="Times New Roman"/>
          <w:sz w:val="14"/>
          <w:szCs w:val="14"/>
          <w:color w:val="auto"/>
        </w:rPr>
        <w:t>. This Amendment may be executed in multiple counterparts, each of which will be an original, but all of which, taken together, will constitute one and the same Amendment.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375285</wp:posOffset>
            </wp:positionV>
            <wp:extent cx="7188200"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020"/>
          </w:cols>
          <w:pgMar w:left="420" w:top="966" w:right="45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4"/>
          <w:szCs w:val="14"/>
          <w:color w:val="auto"/>
        </w:rPr>
        <w:t>IN WITNESS WHEREOF, Landlord and Tenant have executed this Amendment as of the date first set forth above.</w:t>
      </w:r>
    </w:p>
    <w:p>
      <w:pPr>
        <w:spacing w:after="0" w:line="36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LANDLORD:</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175" w:lineRule="exact"/>
        <w:rPr>
          <w:sz w:val="20"/>
          <w:szCs w:val="20"/>
          <w:color w:val="auto"/>
        </w:rPr>
      </w:pPr>
    </w:p>
    <w:tbl>
      <w:tblPr>
        <w:tblLayout w:type="fixed"/>
        <w:tblInd w:w="570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 Schlager</w:t>
            </w:r>
          </w:p>
        </w:tc>
      </w:t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A. Schlager</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TENANT:</w:t>
      </w:r>
    </w:p>
    <w:p>
      <w:pPr>
        <w:spacing w:after="0" w:line="175"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175" w:lineRule="exact"/>
        <w:rPr>
          <w:sz w:val="20"/>
          <w:szCs w:val="20"/>
          <w:color w:val="auto"/>
        </w:rPr>
      </w:pPr>
    </w:p>
    <w:tbl>
      <w:tblPr>
        <w:tblLayout w:type="fixed"/>
        <w:tblInd w:w="570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Gregory L. Verdine</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CEO</w:t>
            </w:r>
          </w:p>
        </w:tc>
      </w:tr>
    </w:tbl>
    <w:p>
      <w:pPr>
        <w:spacing w:after="0" w:line="200" w:lineRule="exact"/>
        <w:rPr>
          <w:sz w:val="20"/>
          <w:szCs w:val="20"/>
          <w:color w:val="auto"/>
        </w:rPr>
      </w:pPr>
    </w:p>
    <w:p>
      <w:pPr>
        <w:spacing w:after="0" w:line="3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798" w:right="319" w:bottom="1440" w:gutter="0" w:footer="0" w:header="0"/>
        </w:sectPr>
      </w:pPr>
    </w:p>
    <w:bookmarkStart w:id="588" w:name="page589"/>
    <w:bookmarkEnd w:id="588"/>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SECOND AMENDMENT OF LEASE, CONFIRMATION OF TERMS AND RECONCILIATION</w:t>
      </w:r>
    </w:p>
    <w:p>
      <w:pPr>
        <w:spacing w:after="0" w:line="175" w:lineRule="exact"/>
        <w:rPr>
          <w:sz w:val="20"/>
          <w:szCs w:val="20"/>
          <w:color w:val="auto"/>
        </w:rPr>
      </w:pPr>
    </w:p>
    <w:p>
      <w:pPr>
        <w:ind w:right="180" w:firstLine="511"/>
        <w:spacing w:after="0" w:line="283" w:lineRule="auto"/>
        <w:rPr>
          <w:sz w:val="20"/>
          <w:szCs w:val="20"/>
          <w:color w:val="auto"/>
        </w:rPr>
      </w:pPr>
      <w:r>
        <w:rPr>
          <w:rFonts w:ascii="Times New Roman" w:cs="Times New Roman" w:eastAsia="Times New Roman" w:hAnsi="Times New Roman"/>
          <w:sz w:val="14"/>
          <w:szCs w:val="14"/>
          <w:color w:val="auto"/>
        </w:rPr>
        <w:t>THIS SECOND AMENDMENT OF LEASE, CONFIRMATION OF TERMS AND RECONCILIATION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is entered into on June 18, 2020, to be effective as of the 1st day of July, 2020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by 400 Discovery Park, LLC, a Delaware limited liability company (“</w:t>
      </w: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and Fog Pharmaceuticals, Inc., a Delaware corporation (“</w:t>
      </w: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Recitals</w:t>
      </w:r>
    </w:p>
    <w:p>
      <w:pPr>
        <w:spacing w:after="0" w:line="175"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4"/>
          <w:szCs w:val="14"/>
          <w:color w:val="auto"/>
        </w:rPr>
        <w:t>A. Landlord and Tenant are parties to a Lease dated as of April 22, 2019 (the “</w:t>
      </w:r>
      <w:r>
        <w:rPr>
          <w:rFonts w:ascii="Times New Roman" w:cs="Times New Roman" w:eastAsia="Times New Roman" w:hAnsi="Times New Roman"/>
          <w:sz w:val="14"/>
          <w:szCs w:val="14"/>
          <w:u w:val="single" w:color="auto"/>
          <w:color w:val="auto"/>
        </w:rPr>
        <w:t>Original Lease</w:t>
      </w:r>
      <w:r>
        <w:rPr>
          <w:rFonts w:ascii="Times New Roman" w:cs="Times New Roman" w:eastAsia="Times New Roman" w:hAnsi="Times New Roman"/>
          <w:sz w:val="14"/>
          <w:szCs w:val="14"/>
          <w:color w:val="auto"/>
        </w:rPr>
        <w:t>”), as amended pursuant to that certain First Amendment of Lease dated effective as of December 21, 2019 (the “</w:t>
      </w:r>
      <w:r>
        <w:rPr>
          <w:rFonts w:ascii="Times New Roman" w:cs="Times New Roman" w:eastAsia="Times New Roman" w:hAnsi="Times New Roman"/>
          <w:sz w:val="14"/>
          <w:szCs w:val="14"/>
          <w:u w:val="single" w:color="auto"/>
          <w:color w:val="auto"/>
        </w:rPr>
        <w:t>First Amendment</w:t>
      </w:r>
      <w:r>
        <w:rPr>
          <w:rFonts w:ascii="Times New Roman" w:cs="Times New Roman" w:eastAsia="Times New Roman" w:hAnsi="Times New Roman"/>
          <w:sz w:val="14"/>
          <w:szCs w:val="14"/>
          <w:color w:val="auto"/>
        </w:rPr>
        <w:t>,” and the Original Lease, as amended by the First Amendment and as hereafter amended, the “</w:t>
      </w:r>
      <w:r>
        <w:rPr>
          <w:rFonts w:ascii="Times New Roman" w:cs="Times New Roman" w:eastAsia="Times New Roman" w:hAnsi="Times New Roman"/>
          <w:sz w:val="14"/>
          <w:szCs w:val="14"/>
          <w:u w:val="single" w:color="auto"/>
          <w:color w:val="auto"/>
        </w:rPr>
        <w:t>Lease</w:t>
      </w:r>
      <w:r>
        <w:rPr>
          <w:rFonts w:ascii="Times New Roman" w:cs="Times New Roman" w:eastAsia="Times New Roman" w:hAnsi="Times New Roman"/>
          <w:sz w:val="14"/>
          <w:szCs w:val="14"/>
          <w:color w:val="auto"/>
        </w:rPr>
        <w:t>”) pursuant to which Landlord has leased to Tenant all of the leasable space on the first through sixth floors (collectively, the “</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of the building located at and commonly known as Tower 400, having been assigned U.S. Post Office address 30 Acorn Park Drive, Cambridge Discovery Park, Cambridge, Massachusetts. All capitalized terms used in this Amendment that are defined in the Lease and not otherwise defined in this Amendment shall have the meanings given in the Lease.</w:t>
      </w:r>
    </w:p>
    <w:p>
      <w:pPr>
        <w:spacing w:after="0" w:line="144" w:lineRule="exact"/>
        <w:rPr>
          <w:sz w:val="20"/>
          <w:szCs w:val="20"/>
          <w:color w:val="auto"/>
        </w:rPr>
      </w:pPr>
    </w:p>
    <w:p>
      <w:pPr>
        <w:ind w:right="20" w:firstLine="511"/>
        <w:spacing w:after="0" w:line="283" w:lineRule="auto"/>
        <w:rPr>
          <w:sz w:val="20"/>
          <w:szCs w:val="20"/>
          <w:color w:val="auto"/>
        </w:rPr>
      </w:pPr>
      <w:r>
        <w:rPr>
          <w:rFonts w:ascii="Times New Roman" w:cs="Times New Roman" w:eastAsia="Times New Roman" w:hAnsi="Times New Roman"/>
          <w:sz w:val="14"/>
          <w:szCs w:val="14"/>
          <w:color w:val="auto"/>
        </w:rPr>
        <w:t>B. Landlord and Tenant desire to amend the Lease to memorialize: (i) the re-measurement of the Premises pursuant to Section 2.6 of the Lease, (ii) changes to the calculations of certain terms of the Lease as a result of such re-measurement and (iii) certain other changes to the Lease, on and subject to the terms and conditions set forth below.</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Statement of Amendment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good and valuable consideration, the receipt and sufficiency of which are hereby acknowledged, Landlord and Tenant hereby agree as follows:</w:t>
      </w:r>
    </w:p>
    <w:p>
      <w:pPr>
        <w:spacing w:after="0" w:line="175" w:lineRule="exact"/>
        <w:rPr>
          <w:sz w:val="20"/>
          <w:szCs w:val="20"/>
          <w:color w:val="auto"/>
        </w:rPr>
      </w:pPr>
    </w:p>
    <w:p>
      <w:pPr>
        <w:ind w:right="180" w:firstLine="515"/>
        <w:spacing w:after="0" w:line="261" w:lineRule="auto"/>
        <w:tabs>
          <w:tab w:leader="none" w:pos="651"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Measurement</w:t>
      </w:r>
      <w:r>
        <w:rPr>
          <w:rFonts w:ascii="Times New Roman" w:cs="Times New Roman" w:eastAsia="Times New Roman" w:hAnsi="Times New Roman"/>
          <w:sz w:val="14"/>
          <w:szCs w:val="14"/>
          <w:color w:val="auto"/>
        </w:rPr>
        <w:t>. Landlord and Tenant confirm that the Premises and Building have been re-measured pursuant to Section 2.6 of the Lease, resulting in an increase of the Leasable Square Footage of the Premises from 114,490 Leasable Square Feet to 121,721 Leasable Square Feet, which measurement of the Premises and Building shall be deemed final between the parties, and there shall be no further re-measurement of the Premises or Building pursuant to Section 2.6 of the Lease or otherwise. Accordingly, pursuant to Section 2.8 of the Lease, the calculations of the following amounts made pursuant to the terms of the Lease are hereby updated in the Lease effective as of the Effective Date to reflect such re-measurement:</w:t>
      </w:r>
    </w:p>
    <w:p>
      <w:pPr>
        <w:spacing w:after="0" w:line="15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Leasable Square Footage of the Premises:</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121,721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22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w w:val="99"/>
              </w:rPr>
              <w:t>Leasable Square Footage of Tower 400:</w:t>
            </w:r>
          </w:p>
        </w:tc>
        <w:tc>
          <w:tcPr>
            <w:tcW w:w="80" w:type="dxa"/>
            <w:vAlign w:val="bottom"/>
            <w:tcBorders>
              <w:top w:val="single" w:sz="8" w:color="auto"/>
            </w:tcBorders>
            <w:gridSpan w:val="2"/>
          </w:tcPr>
          <w:p>
            <w:pPr>
              <w:spacing w:after="0"/>
              <w:rPr>
                <w:sz w:val="21"/>
                <w:szCs w:val="21"/>
                <w:color w:val="auto"/>
              </w:rPr>
            </w:pPr>
          </w:p>
        </w:tc>
        <w:tc>
          <w:tcPr>
            <w:tcW w:w="1440" w:type="dxa"/>
            <w:vAlign w:val="bottom"/>
            <w:gridSpan w:val="5"/>
          </w:tcPr>
          <w:p>
            <w:pPr>
              <w:spacing w:after="0"/>
              <w:rPr>
                <w:sz w:val="21"/>
                <w:szCs w:val="21"/>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121,721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6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w w:val="99"/>
              </w:rPr>
              <w:t>Leasable Square Footage of Tower 500 and the Connecting Area:</w:t>
            </w:r>
          </w:p>
        </w:tc>
        <w:tc>
          <w:tcPr>
            <w:tcW w:w="100" w:type="dxa"/>
            <w:vAlign w:val="bottom"/>
          </w:tcPr>
          <w:p>
            <w:pPr>
              <w:spacing w:after="0"/>
              <w:rPr>
                <w:sz w:val="21"/>
                <w:szCs w:val="21"/>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164,481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Leasable Square Footage of the Building:</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286,202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22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9"/>
              </w:rPr>
              <w:t>Leasable Square Footage of the Project:</w:t>
            </w:r>
          </w:p>
        </w:tc>
        <w:tc>
          <w:tcPr>
            <w:tcW w:w="80" w:type="dxa"/>
            <w:vAlign w:val="bottom"/>
            <w:tcBorders>
              <w:top w:val="single" w:sz="8" w:color="auto"/>
            </w:tcBorders>
            <w:gridSpan w:val="2"/>
          </w:tcPr>
          <w:p>
            <w:pPr>
              <w:spacing w:after="0"/>
              <w:rPr>
                <w:sz w:val="21"/>
                <w:szCs w:val="21"/>
                <w:color w:val="auto"/>
              </w:rPr>
            </w:pPr>
          </w:p>
        </w:tc>
        <w:tc>
          <w:tcPr>
            <w:tcW w:w="1460" w:type="dxa"/>
            <w:vAlign w:val="bottom"/>
            <w:gridSpan w:val="6"/>
          </w:tcPr>
          <w:p>
            <w:pPr>
              <w:spacing w:after="0"/>
              <w:rPr>
                <w:sz w:val="21"/>
                <w:szCs w:val="21"/>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699,105</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Allowance:</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$22,518,385</w:t>
            </w:r>
          </w:p>
        </w:tc>
      </w:tr>
      <w:tr>
        <w:trPr>
          <w:trHeight w:val="180"/>
        </w:trPr>
        <w:tc>
          <w:tcPr>
            <w:tcW w:w="4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(121,721 x $185)</w:t>
            </w:r>
          </w:p>
        </w:tc>
      </w:t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Tenant’s Building Share:</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42.6%</w:t>
            </w:r>
          </w:p>
        </w:tc>
      </w:tr>
      <w:tr>
        <w:trPr>
          <w:trHeight w:val="180"/>
        </w:trPr>
        <w:tc>
          <w:tcPr>
            <w:tcW w:w="4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7"/>
              </w:rPr>
              <w:t>(121,721/286,202)</w:t>
            </w:r>
          </w:p>
        </w:tc>
      </w:t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3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w w:val="99"/>
              </w:rPr>
              <w:t>Building Share of Tower 500 and the Connecting Area:</w:t>
            </w:r>
          </w:p>
        </w:tc>
        <w:tc>
          <w:tcPr>
            <w:tcW w:w="660" w:type="dxa"/>
            <w:vAlign w:val="bottom"/>
            <w:gridSpan w:val="2"/>
          </w:tcPr>
          <w:p>
            <w:pPr>
              <w:spacing w:after="0"/>
              <w:rPr>
                <w:sz w:val="20"/>
                <w:szCs w:val="20"/>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57.4%</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Tenant’s Project Share (or “Campus Expenses”):</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4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7"/>
              </w:rPr>
              <w:t>(121,721/699,105)</w:t>
            </w:r>
          </w:p>
        </w:tc>
      </w:t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(j)</w:t>
            </w:r>
          </w:p>
        </w:tc>
        <w:tc>
          <w:tcPr>
            <w:tcW w:w="30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w w:val="99"/>
              </w:rPr>
              <w:t>Project Share of Tower 500 and the Connecting Area:</w:t>
            </w:r>
          </w:p>
        </w:tc>
        <w:tc>
          <w:tcPr>
            <w:tcW w:w="760" w:type="dxa"/>
            <w:vAlign w:val="bottom"/>
            <w:gridSpan w:val="3"/>
          </w:tcPr>
          <w:p>
            <w:pPr>
              <w:spacing w:after="0"/>
              <w:rPr>
                <w:sz w:val="20"/>
                <w:szCs w:val="20"/>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23.5%</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(k)</w:t>
            </w:r>
          </w:p>
        </w:tc>
        <w:tc>
          <w:tcPr>
            <w:tcW w:w="37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Tenant’s Parking Share:</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127 parking</w:t>
            </w:r>
          </w:p>
        </w:tc>
      </w:tr>
      <w:tr>
        <w:trPr>
          <w:trHeight w:val="180"/>
        </w:trPr>
        <w:tc>
          <w:tcPr>
            <w:tcW w:w="4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spaces</w:t>
            </w:r>
          </w:p>
        </w:tc>
      </w:tr>
    </w:tbl>
    <w:p>
      <w:pPr>
        <w:spacing w:after="0" w:line="80" w:lineRule="exact"/>
        <w:rPr>
          <w:sz w:val="20"/>
          <w:szCs w:val="20"/>
          <w:color w:val="auto"/>
        </w:rPr>
      </w:pPr>
    </w:p>
    <w:p>
      <w:pPr>
        <w:ind w:left="2140" w:hanging="443"/>
        <w:spacing w:after="0"/>
        <w:tabs>
          <w:tab w:leader="none" w:pos="2140"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Rent</w:t>
      </w:r>
      <w:r>
        <w:rPr>
          <w:rFonts w:ascii="Times New Roman" w:cs="Times New Roman" w:eastAsia="Times New Roman" w:hAnsi="Times New Roman"/>
          <w:sz w:val="14"/>
          <w:szCs w:val="14"/>
          <w:color w:val="auto"/>
        </w:rPr>
        <w:t>: Base Rent shall be paid in monthly installments at the Annual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7188200"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40"/>
          </w:cols>
          <w:pgMar w:left="300" w:top="798" w:right="359" w:bottom="1440" w:gutter="0" w:footer="0" w:header="0"/>
        </w:sectPr>
      </w:pPr>
    </w:p>
    <w:bookmarkStart w:id="589" w:name="page590"/>
    <w:bookmarkEnd w:id="589"/>
    <w:tbl>
      <w:tblPr>
        <w:tblLayout w:type="fixed"/>
        <w:tblInd w:w="1136"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1"/>
                <w:szCs w:val="11"/>
                <w:color w:val="auto"/>
              </w:rPr>
              <w:t>MONTHLY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9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PERIOD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color w:val="auto"/>
              </w:rPr>
              <w:t>ANNUAL RATE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113"/>
              <w:spacing w:after="0" w:line="116" w:lineRule="exact"/>
              <w:rPr>
                <w:sz w:val="20"/>
                <w:szCs w:val="20"/>
                <w:color w:val="auto"/>
              </w:rPr>
            </w:pPr>
            <w:r>
              <w:rPr>
                <w:rFonts w:ascii="Times New Roman" w:cs="Times New Roman" w:eastAsia="Times New Roman" w:hAnsi="Times New Roman"/>
                <w:sz w:val="11"/>
                <w:szCs w:val="11"/>
                <w:color w:val="auto"/>
              </w:rPr>
              <w:t>INSTALLMENT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11"/>
              <w:spacing w:after="0"/>
              <w:rPr>
                <w:sz w:val="20"/>
                <w:szCs w:val="20"/>
                <w:color w:val="auto"/>
              </w:rPr>
            </w:pPr>
            <w:r>
              <w:rPr>
                <w:rFonts w:ascii="Times New Roman" w:cs="Times New Roman" w:eastAsia="Times New Roman" w:hAnsi="Times New Roman"/>
                <w:sz w:val="11"/>
                <w:szCs w:val="11"/>
                <w:color w:val="auto"/>
              </w:rPr>
              <w:t>PSF RATE</w:t>
            </w:r>
          </w:p>
        </w:tc>
        <w:tc>
          <w:tcPr>
            <w:tcW w:w="0" w:type="dxa"/>
            <w:vAlign w:val="bottom"/>
          </w:tcPr>
          <w:p>
            <w:pPr>
              <w:spacing w:after="0"/>
              <w:rPr>
                <w:sz w:val="1"/>
                <w:szCs w:val="1"/>
                <w:color w:val="auto"/>
              </w:rPr>
            </w:pPr>
          </w:p>
        </w:tc>
      </w:tr>
      <w:tr>
        <w:trPr>
          <w:trHeight w:val="133"/>
        </w:trPr>
        <w:tc>
          <w:tcPr>
            <w:tcW w:w="49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color w:val="auto"/>
                <w:w w:val="97"/>
              </w:rPr>
              <w:t>RATE</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Lease Year 1*</w:t>
            </w:r>
          </w:p>
        </w:tc>
        <w:tc>
          <w:tcPr>
            <w:tcW w:w="12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8,094,446.50</w:t>
            </w:r>
          </w:p>
        </w:tc>
        <w:tc>
          <w:tcPr>
            <w:tcW w:w="12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674,537.21</w:t>
            </w:r>
          </w:p>
        </w:tc>
        <w:tc>
          <w:tcPr>
            <w:tcW w:w="1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66.50</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2</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8,296,503.36</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691,375.28</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3</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8,504,646.27</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708,720.52</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4</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8,716,440.81</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726,370.07</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5</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8,934,321.40</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744,526.78</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6</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9,158,288.04</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763,190.67</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7</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9,387,123.52</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782,260.29</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8</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9,622,045.05</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801,837.09</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9</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9,861,835.42</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821,819.62</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10</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10,108,929.05</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842,410.75</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Lease Year 11</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10,362,108.73</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863,509.06</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16" w:hanging="516"/>
        <w:spacing w:after="0" w:line="283" w:lineRule="auto"/>
        <w:tabs>
          <w:tab w:leader="none" w:pos="285"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Annual Rate and Monthly Installment Rate for Lease Year 1 stated above, so long as an Event of Default does not then exist, Base Rent during Lease Year 1 shall be abated as follows:</w:t>
      </w:r>
    </w:p>
    <w:p>
      <w:pPr>
        <w:spacing w:after="0" w:line="133" w:lineRule="exact"/>
        <w:rPr>
          <w:sz w:val="20"/>
          <w:szCs w:val="20"/>
          <w:color w:val="auto"/>
        </w:rPr>
      </w:pPr>
    </w:p>
    <w:tbl>
      <w:tblPr>
        <w:tblLayout w:type="fixed"/>
        <w:tblInd w:w="1136" w:type="dxa"/>
        <w:tblCellMar>
          <w:top w:w="0" w:type="dxa"/>
          <w:left w:w="0" w:type="dxa"/>
          <w:bottom w:w="0" w:type="dxa"/>
          <w:right w:w="0" w:type="dxa"/>
        </w:tblCellMar>
      </w:tblPr>
      <w:tr>
        <w:trPr>
          <w:trHeight w:val="126"/>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35"/>
              <w:spacing w:after="0"/>
              <w:rPr>
                <w:sz w:val="20"/>
                <w:szCs w:val="20"/>
                <w:color w:val="auto"/>
              </w:rPr>
            </w:pPr>
            <w:r>
              <w:rPr>
                <w:rFonts w:ascii="Times New Roman" w:cs="Times New Roman" w:eastAsia="Times New Roman" w:hAnsi="Times New Roman"/>
                <w:sz w:val="11"/>
                <w:szCs w:val="11"/>
                <w:color w:val="auto"/>
              </w:rPr>
              <w:t>ANNUAL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1"/>
                <w:szCs w:val="11"/>
                <w:color w:val="auto"/>
              </w:rPr>
              <w:t>MONTHLY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8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PERIOD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36"/>
              <w:spacing w:after="0" w:line="116" w:lineRule="exact"/>
              <w:rPr>
                <w:sz w:val="20"/>
                <w:szCs w:val="20"/>
                <w:color w:val="auto"/>
              </w:rPr>
            </w:pPr>
            <w:r>
              <w:rPr>
                <w:rFonts w:ascii="Times New Roman" w:cs="Times New Roman" w:eastAsia="Times New Roman" w:hAnsi="Times New Roman"/>
                <w:sz w:val="11"/>
                <w:szCs w:val="11"/>
                <w:color w:val="auto"/>
              </w:rPr>
              <w:t>INSTALLMENT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Times New Roman" w:cs="Times New Roman" w:eastAsia="Times New Roman" w:hAnsi="Times New Roman"/>
                <w:sz w:val="11"/>
                <w:szCs w:val="11"/>
                <w:color w:val="auto"/>
              </w:rPr>
              <w:t>PSF RATE</w:t>
            </w:r>
          </w:p>
        </w:tc>
        <w:tc>
          <w:tcPr>
            <w:tcW w:w="0" w:type="dxa"/>
            <w:vAlign w:val="bottom"/>
          </w:tcPr>
          <w:p>
            <w:pPr>
              <w:spacing w:after="0"/>
              <w:rPr>
                <w:sz w:val="1"/>
                <w:szCs w:val="1"/>
                <w:color w:val="auto"/>
              </w:rPr>
            </w:pPr>
          </w:p>
        </w:tc>
      </w:tr>
      <w:tr>
        <w:trPr>
          <w:trHeight w:val="133"/>
        </w:trPr>
        <w:tc>
          <w:tcPr>
            <w:tcW w:w="48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color w:val="auto"/>
              </w:rPr>
              <w:t>RATE***</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color w:val="auto"/>
              </w:rPr>
              <w:t>PAYMENT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2/10/2020 – 2/29/2020</w:t>
            </w:r>
          </w:p>
        </w:tc>
        <w:tc>
          <w:tcPr>
            <w:tcW w:w="120" w:type="dxa"/>
            <w:vAlign w:val="bottom"/>
          </w:tcPr>
          <w:p>
            <w:pPr>
              <w:spacing w:after="0"/>
              <w:rPr>
                <w:sz w:val="12"/>
                <w:szCs w:val="12"/>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7,883,109.50</w:t>
            </w:r>
          </w:p>
        </w:tc>
        <w:tc>
          <w:tcPr>
            <w:tcW w:w="12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453,052.27**</w:t>
            </w:r>
          </w:p>
        </w:tc>
        <w:tc>
          <w:tcPr>
            <w:tcW w:w="1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66.50</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3/1/2020 – 6/30/2020</w:t>
            </w:r>
          </w:p>
        </w:tc>
        <w:tc>
          <w:tcPr>
            <w:tcW w:w="40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2,627,747.50</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218,978.96</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w:t>
            </w:r>
          </w:p>
        </w:tc>
        <w:tc>
          <w:tcPr>
            <w:tcW w:w="0" w:type="dxa"/>
            <w:vAlign w:val="bottom"/>
          </w:tcPr>
          <w:p>
            <w:pPr>
              <w:spacing w:after="0"/>
              <w:rPr>
                <w:sz w:val="1"/>
                <w:szCs w:val="1"/>
                <w:color w:val="auto"/>
              </w:rPr>
            </w:pPr>
          </w:p>
        </w:tc>
      </w:tr>
      <w:tr>
        <w:trPr>
          <w:trHeight w:val="16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7/1/2020 – 8/31/2020</w:t>
            </w:r>
          </w:p>
        </w:tc>
        <w:tc>
          <w:tcPr>
            <w:tcW w:w="40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2,698,171.00</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224,847.58</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9/1/2020 – 2/28/2020</w:t>
            </w:r>
          </w:p>
        </w:tc>
        <w:tc>
          <w:tcPr>
            <w:tcW w:w="40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5,396,275.50</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449,689.63</w:t>
            </w:r>
          </w:p>
        </w:tc>
        <w:tc>
          <w:tcPr>
            <w:tcW w:w="26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76" w:hanging="276"/>
        <w:spacing w:after="0"/>
        <w:tabs>
          <w:tab w:leader="none" w:pos="276"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proration for partial month.</w:t>
      </w:r>
    </w:p>
    <w:p>
      <w:pPr>
        <w:spacing w:after="0" w:line="21" w:lineRule="exact"/>
        <w:rPr>
          <w:rFonts w:ascii="Times New Roman" w:cs="Times New Roman" w:eastAsia="Times New Roman" w:hAnsi="Times New Roman"/>
          <w:sz w:val="14"/>
          <w:szCs w:val="14"/>
          <w:color w:val="auto"/>
        </w:rPr>
      </w:pPr>
    </w:p>
    <w:p>
      <w:pPr>
        <w:ind w:left="516" w:right="120" w:hanging="516"/>
        <w:spacing w:after="0" w:line="256" w:lineRule="auto"/>
        <w:tabs>
          <w:tab w:leader="none" w:pos="285"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abated rent schedule mirrors the scheduled phase-in of Base Rent from the Original Lease, as increased proportionally by the increased Leasable Square Footage of the Premises determined by the re-measurement. In addition, by agreement of the parties, the portion of the increased Leasable Square Footage of the Premises attributable to the amenity space (i.e., the fitness center and Food Service Area) is not being added until its July 1, 2020 opening date.</w:t>
      </w:r>
    </w:p>
    <w:p>
      <w:pPr>
        <w:spacing w:after="0" w:line="48" w:lineRule="exact"/>
        <w:rPr>
          <w:rFonts w:ascii="Times New Roman" w:cs="Times New Roman" w:eastAsia="Times New Roman" w:hAnsi="Times New Roman"/>
          <w:sz w:val="14"/>
          <w:szCs w:val="14"/>
          <w:color w:val="auto"/>
        </w:rPr>
      </w:pPr>
    </w:p>
    <w:p>
      <w:pPr>
        <w:ind w:left="2076" w:hanging="286"/>
        <w:spacing w:after="0"/>
        <w:tabs>
          <w:tab w:leader="none" w:pos="2076" w:val="left"/>
        </w:tabs>
        <w:numPr>
          <w:ilvl w:val="2"/>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Tenant’s obligation to pay Base Rent shall be subject to the Building 100 Rent Credit (as defined in Article XIV of the Lease).</w:t>
      </w:r>
    </w:p>
    <w:p>
      <w:pPr>
        <w:spacing w:after="0" w:line="91" w:lineRule="exact"/>
        <w:rPr>
          <w:rFonts w:ascii="Times New Roman" w:cs="Times New Roman" w:eastAsia="Times New Roman" w:hAnsi="Times New Roman"/>
          <w:sz w:val="14"/>
          <w:szCs w:val="14"/>
          <w:color w:val="auto"/>
        </w:rPr>
      </w:pPr>
    </w:p>
    <w:p>
      <w:pPr>
        <w:ind w:left="2296" w:right="740" w:hanging="506"/>
        <w:spacing w:after="0" w:line="283" w:lineRule="auto"/>
        <w:tabs>
          <w:tab w:leader="none" w:pos="2065" w:val="left"/>
        </w:tabs>
        <w:numPr>
          <w:ilvl w:val="2"/>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pay to Landlord any shortfall in Base Rent owing from any prior period upon the effectiveness of this Amendment in accordance with the reconciliation schedule dated as of June 22, 2020 and approved by the parties (the “</w:t>
      </w:r>
      <w:r>
        <w:rPr>
          <w:rFonts w:ascii="Times New Roman" w:cs="Times New Roman" w:eastAsia="Times New Roman" w:hAnsi="Times New Roman"/>
          <w:sz w:val="14"/>
          <w:szCs w:val="14"/>
          <w:u w:val="single" w:color="auto"/>
          <w:color w:val="auto"/>
        </w:rPr>
        <w:t>Reconciliation Schedule</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2076" w:hanging="286"/>
        <w:spacing w:after="0"/>
        <w:tabs>
          <w:tab w:leader="none" w:pos="2076" w:val="left"/>
        </w:tabs>
        <w:numPr>
          <w:ilvl w:val="2"/>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Rent during the Extension Terms will be determined in accordance with Section 4.1(b) of the Lease.</w:t>
      </w:r>
    </w:p>
    <w:p>
      <w:pPr>
        <w:spacing w:after="0" w:line="175" w:lineRule="exact"/>
        <w:rPr>
          <w:rFonts w:ascii="Times New Roman" w:cs="Times New Roman" w:eastAsia="Times New Roman" w:hAnsi="Times New Roman"/>
          <w:sz w:val="14"/>
          <w:szCs w:val="14"/>
          <w:color w:val="auto"/>
        </w:rPr>
      </w:pPr>
    </w:p>
    <w:p>
      <w:pPr>
        <w:ind w:left="-4" w:right="80" w:firstLine="515"/>
        <w:spacing w:after="0" w:line="256" w:lineRule="auto"/>
        <w:tabs>
          <w:tab w:leader="none" w:pos="647"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Allowance</w:t>
      </w:r>
      <w:r>
        <w:rPr>
          <w:rFonts w:ascii="Times New Roman" w:cs="Times New Roman" w:eastAsia="Times New Roman" w:hAnsi="Times New Roman"/>
          <w:sz w:val="14"/>
          <w:szCs w:val="14"/>
          <w:color w:val="auto"/>
        </w:rPr>
        <w:t>. Notwithstanding the completion of the Tenant’s Work, as of the Effective Date, Landlord and Tenant acknowledge that a portion of the Premises comprised of approximately 9,878 square feet has not been completed to the full extent needed for use for its intended purpose. Notwithstanding anything to the contrary in the Lease, Landlord and Tenant hereby agree that, to provide for completion of the buildout work for such space, $987,800.00 of the Allowance (representing $100.00 per square foot) (the “</w:t>
      </w:r>
      <w:r>
        <w:rPr>
          <w:rFonts w:ascii="Times New Roman" w:cs="Times New Roman" w:eastAsia="Times New Roman" w:hAnsi="Times New Roman"/>
          <w:sz w:val="14"/>
          <w:szCs w:val="14"/>
          <w:u w:val="single" w:color="auto"/>
          <w:color w:val="auto"/>
        </w:rPr>
        <w:t>Remaining Allowance</w:t>
      </w:r>
      <w:r>
        <w:rPr>
          <w:rFonts w:ascii="Times New Roman" w:cs="Times New Roman" w:eastAsia="Times New Roman" w:hAnsi="Times New Roman"/>
          <w:sz w:val="14"/>
          <w:szCs w:val="14"/>
          <w:color w:val="auto"/>
        </w:rPr>
        <w:t>”) shall be reserved pending the completion of such space and disbursed to Tenant in accordance with the terms and conditions of Sections 3.2(a), 3.2(b), 3.2(c), 3.2(f) and 3.2(g) of the Original Lease. Any such work shall be subject to the terms and conditions of Section 7.5 of the Lease and, except for the application of the Remaining Allowance as provided herein, shall be conducted at Tenant’s sole cost and expense. Notwithstanding anything to the contrary contained in the Lease, any portion of the Remaining Allowance that Tenant has not duly requested and qualified for disbursement by December 31, 2022 shall be forfeited by Tenant.</w:t>
      </w:r>
    </w:p>
    <w:p>
      <w:pPr>
        <w:spacing w:after="0" w:line="143" w:lineRule="exact"/>
        <w:rPr>
          <w:rFonts w:ascii="Times New Roman" w:cs="Times New Roman" w:eastAsia="Times New Roman" w:hAnsi="Times New Roman"/>
          <w:sz w:val="14"/>
          <w:szCs w:val="14"/>
          <w:color w:val="auto"/>
        </w:rPr>
      </w:pPr>
    </w:p>
    <w:p>
      <w:pPr>
        <w:ind w:left="-4" w:right="200" w:firstLine="515"/>
        <w:spacing w:after="0" w:line="257" w:lineRule="auto"/>
        <w:tabs>
          <w:tab w:leader="none" w:pos="647" w:val="left"/>
        </w:tabs>
        <w:numPr>
          <w:ilvl w:val="1"/>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Reconciliation of Tenant’s Contribution</w:t>
      </w:r>
      <w:r>
        <w:rPr>
          <w:rFonts w:ascii="Times New Roman" w:cs="Times New Roman" w:eastAsia="Times New Roman" w:hAnsi="Times New Roman"/>
          <w:sz w:val="14"/>
          <w:szCs w:val="14"/>
          <w:color w:val="auto"/>
        </w:rPr>
        <w:t>. Landlord and Tenant confirm that the Tenant Improvements Costs for the Tenant’s Work have been determined to be $21,975,547.00, and the portion of the Allowance available therefor is $21,530,585.00 (i.e., $22,518,385.00 - $987,800.00). Accordingly, the Excess Costs of the Tenant’s Work are $444,962.00 (i.e., $21,975,547.00 – $21,530,585.00). Tenant previously paid $1,437,029.00 to Landlord as Tenant’s Contribution. Accordingly, pursuant to Section 3.2(f) of the Lease, Landlord will refund the amount of $992,067.00 (i.e., $444,962.00 – $1,437,029.00), which amount the parties agree will be offset by all amounts owed by Tenant to Landlord in accordance with the Reconciliation Schedule. The parties agree that any reconciliation payments will be made to within two (2) Business Days following the date on which this Amendment has been fully executed, delivered and become effective, with the Tenant acknowledging that the effectiveness of this Amendment will be subject to Landlord’s receipt of all necessary approvals from its partners and lender.</w:t>
      </w:r>
    </w:p>
    <w:p>
      <w:pPr>
        <w:spacing w:after="0" w:line="5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375285</wp:posOffset>
            </wp:positionV>
            <wp:extent cx="7188200"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56"/>
          </w:cols>
          <w:pgMar w:left="304" w:top="974" w:right="339" w:bottom="1440" w:gutter="0" w:footer="0" w:header="0"/>
        </w:sectPr>
      </w:pPr>
    </w:p>
    <w:bookmarkStart w:id="590" w:name="page591"/>
    <w:bookmarkEnd w:id="590"/>
    <w:p>
      <w:pPr>
        <w:ind w:right="560" w:firstLine="515"/>
        <w:spacing w:after="0" w:line="283" w:lineRule="auto"/>
        <w:tabs>
          <w:tab w:leader="none" w:pos="651"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Current Additional Rent.</w:t>
      </w:r>
      <w:r>
        <w:rPr>
          <w:rFonts w:ascii="Times New Roman" w:cs="Times New Roman" w:eastAsia="Times New Roman" w:hAnsi="Times New Roman"/>
          <w:sz w:val="14"/>
          <w:szCs w:val="14"/>
          <w:color w:val="auto"/>
        </w:rPr>
        <w:t xml:space="preserve"> Landlord and Tenant hereby confirm that, as of the Effective Date, the monthly installment amount being collected for each of the following categories of Additional Rent is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4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96"/>
              <w:spacing w:after="0"/>
              <w:rPr>
                <w:sz w:val="20"/>
                <w:szCs w:val="20"/>
                <w:color w:val="auto"/>
              </w:rPr>
            </w:pPr>
            <w:r>
              <w:rPr>
                <w:rFonts w:ascii="Times New Roman" w:cs="Times New Roman" w:eastAsia="Times New Roman" w:hAnsi="Times New Roman"/>
                <w:sz w:val="11"/>
                <w:szCs w:val="11"/>
                <w:color w:val="auto"/>
              </w:rPr>
              <w:t>Monthly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right"/>
              <w:ind w:right="393"/>
              <w:spacing w:after="0"/>
              <w:rPr>
                <w:sz w:val="20"/>
                <w:szCs w:val="20"/>
                <w:color w:val="auto"/>
              </w:rPr>
            </w:pPr>
            <w:r>
              <w:rPr>
                <w:rFonts w:ascii="Times New Roman" w:cs="Times New Roman" w:eastAsia="Times New Roman" w:hAnsi="Times New Roman"/>
                <w:sz w:val="11"/>
                <w:szCs w:val="11"/>
                <w:color w:val="auto"/>
              </w:rPr>
              <w:t>Annual Rate</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176"/>
              <w:spacing w:after="0" w:line="116" w:lineRule="exact"/>
              <w:rPr>
                <w:sz w:val="20"/>
                <w:szCs w:val="20"/>
                <w:color w:val="auto"/>
              </w:rPr>
            </w:pPr>
            <w:r>
              <w:rPr>
                <w:rFonts w:ascii="Times New Roman" w:cs="Times New Roman" w:eastAsia="Times New Roman" w:hAnsi="Times New Roman"/>
                <w:sz w:val="11"/>
                <w:szCs w:val="11"/>
                <w:color w:val="auto"/>
              </w:rPr>
              <w:t>Installment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1"/>
                <w:szCs w:val="11"/>
                <w:color w:val="auto"/>
              </w:rPr>
              <w:t>PSF Rate</w:t>
            </w:r>
          </w:p>
        </w:tc>
        <w:tc>
          <w:tcPr>
            <w:tcW w:w="0" w:type="dxa"/>
            <w:vAlign w:val="bottom"/>
          </w:tcPr>
          <w:p>
            <w:pPr>
              <w:spacing w:after="0"/>
              <w:rPr>
                <w:sz w:val="1"/>
                <w:szCs w:val="1"/>
                <w:color w:val="auto"/>
              </w:rPr>
            </w:pPr>
          </w:p>
        </w:tc>
      </w:tr>
      <w:tr>
        <w:trPr>
          <w:trHeight w:val="13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Project Operating Costs and Building Operating Costs</w:t>
            </w:r>
          </w:p>
        </w:tc>
        <w:tc>
          <w:tcPr>
            <w:tcW w:w="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1"/>
                <w:szCs w:val="11"/>
                <w:color w:val="auto"/>
                <w:w w:val="98"/>
              </w:rPr>
              <w:t>Rate</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1,883,024.00</w:t>
            </w:r>
          </w:p>
        </w:tc>
        <w:tc>
          <w:tcPr>
            <w:tcW w:w="140" w:type="dxa"/>
            <w:vAlign w:val="bottom"/>
          </w:tcPr>
          <w:p>
            <w:pPr>
              <w:spacing w:after="0"/>
              <w:rPr>
                <w:sz w:val="12"/>
                <w:szCs w:val="12"/>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156,919.00</w:t>
            </w:r>
          </w:p>
        </w:tc>
        <w:tc>
          <w:tcPr>
            <w:tcW w:w="10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Project Insurance Costs and Building Insurance Costs</w:t>
            </w: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40,168.00</w:t>
            </w:r>
          </w:p>
        </w:tc>
        <w:tc>
          <w:tcPr>
            <w:tcW w:w="38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3,347.00</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Project Taxes and Building Taxes</w:t>
            </w: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730,326.00</w:t>
            </w:r>
          </w:p>
        </w:tc>
        <w:tc>
          <w:tcPr>
            <w:tcW w:w="38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60,861.00</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Parking</w:t>
            </w:r>
          </w:p>
        </w:tc>
        <w:tc>
          <w:tcPr>
            <w:tcW w:w="122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266,700.00</w:t>
            </w:r>
          </w:p>
        </w:tc>
        <w:tc>
          <w:tcPr>
            <w:tcW w:w="380" w:type="dxa"/>
            <w:vAlign w:val="bottom"/>
            <w:gridSpan w:val="2"/>
          </w:tcPr>
          <w:p>
            <w:pPr>
              <w:jc w:val="right"/>
              <w:ind w:right="125"/>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160" w:right="500"/>
        <w:spacing w:after="0" w:line="283" w:lineRule="auto"/>
        <w:rPr>
          <w:sz w:val="20"/>
          <w:szCs w:val="20"/>
          <w:color w:val="auto"/>
        </w:rPr>
      </w:pPr>
      <w:r>
        <w:rPr>
          <w:rFonts w:ascii="Times New Roman" w:cs="Times New Roman" w:eastAsia="Times New Roman" w:hAnsi="Times New Roman"/>
          <w:sz w:val="14"/>
          <w:szCs w:val="14"/>
          <w:color w:val="auto"/>
        </w:rPr>
        <w:t>Tenant shall pay to Landlord any shortfall in Additional Rent owing from any prior period upon the effectiveness of this Amendment in accordance with the Reconciliation Schedule.</w:t>
      </w:r>
    </w:p>
    <w:p>
      <w:pPr>
        <w:spacing w:after="0" w:line="41" w:lineRule="exact"/>
        <w:rPr>
          <w:sz w:val="20"/>
          <w:szCs w:val="20"/>
          <w:color w:val="auto"/>
        </w:rPr>
      </w:pPr>
    </w:p>
    <w:p>
      <w:pPr>
        <w:ind w:firstLine="515"/>
        <w:spacing w:after="0" w:line="283" w:lineRule="auto"/>
        <w:tabs>
          <w:tab w:leader="none" w:pos="651"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Reallocation of Certain Responsibilities</w:t>
      </w:r>
      <w:r>
        <w:rPr>
          <w:rFonts w:ascii="Times New Roman" w:cs="Times New Roman" w:eastAsia="Times New Roman" w:hAnsi="Times New Roman"/>
          <w:sz w:val="14"/>
          <w:szCs w:val="14"/>
          <w:color w:val="auto"/>
        </w:rPr>
        <w:t xml:space="preserve">. Landlord and Tenant have agreed that, notwithstanding anything to the contrary in the Lease, the responsibility for coordinating certain services and the maintenance, repair and replacement of certain systems and equipment shall be allocated as set forth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attached hereto.</w:t>
      </w:r>
    </w:p>
    <w:p>
      <w:pPr>
        <w:spacing w:after="0" w:line="40" w:lineRule="exact"/>
        <w:rPr>
          <w:rFonts w:ascii="Times New Roman" w:cs="Times New Roman" w:eastAsia="Times New Roman" w:hAnsi="Times New Roman"/>
          <w:sz w:val="14"/>
          <w:szCs w:val="14"/>
          <w:color w:val="auto"/>
        </w:rPr>
      </w:pPr>
    </w:p>
    <w:p>
      <w:pPr>
        <w:ind w:right="20" w:firstLine="1155"/>
        <w:spacing w:after="0" w:line="255" w:lineRule="auto"/>
        <w:tabs>
          <w:tab w:leader="none" w:pos="1341"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Tower 400 – Landlord Responsibility - Partial Building Expenses</w:t>
      </w:r>
      <w:r>
        <w:rPr>
          <w:rFonts w:ascii="Times New Roman" w:cs="Times New Roman" w:eastAsia="Times New Roman" w:hAnsi="Times New Roman"/>
          <w:sz w:val="14"/>
          <w:szCs w:val="14"/>
          <w:color w:val="auto"/>
        </w:rPr>
        <w:t xml:space="preserve">. Notwithstanding anything to the contrary in the Lease, Tenant shall reimburse Landlord for 100% of the costs of maintaining, repairing and replacing the items identified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as “Tower 400 - Landlord Responsibility (otherwise known as ‘Partial Building Expenses’)” (collectively, “</w:t>
      </w:r>
      <w:r>
        <w:rPr>
          <w:rFonts w:ascii="Times New Roman" w:cs="Times New Roman" w:eastAsia="Times New Roman" w:hAnsi="Times New Roman"/>
          <w:sz w:val="14"/>
          <w:szCs w:val="14"/>
          <w:u w:val="single" w:color="auto"/>
          <w:color w:val="auto"/>
        </w:rPr>
        <w:t>Partial Building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as Additional Rent, which Partial Building Expenses shall be estimated in good faith by Landlord from time to time, and shall be payable in equal estimated monthly installments on the first day of each calendar month during the Lease Term (prorated for any partial months), subject to readjustment from time to time as determined by Landlord and also when the actual Partial Building Expenses for any period are determined. After a readjustment, any shortage shall be due and payable by Tenant within thirty (30) days after demand by Landlord and any excess shall, unless an Event of Default then exists, be credited against future Additional Rent obligations, or refunded promptly if the Lease Term has ended and Tenant has no further obligations to Landlord. Landlord shall provide Tenant upon request with reasonable supporting documentation for the Partial Building Expenses for the preceding calendar year and access to Landlord’s books and records with respect thereto in the event of an audit as provided in Section 4.7 of the Lease.</w:t>
      </w:r>
    </w:p>
    <w:p>
      <w:pPr>
        <w:spacing w:after="0" w:line="61" w:lineRule="exact"/>
        <w:rPr>
          <w:rFonts w:ascii="Times New Roman" w:cs="Times New Roman" w:eastAsia="Times New Roman" w:hAnsi="Times New Roman"/>
          <w:sz w:val="14"/>
          <w:szCs w:val="14"/>
          <w:color w:val="auto"/>
        </w:rPr>
      </w:pPr>
    </w:p>
    <w:p>
      <w:pPr>
        <w:ind w:right="180" w:firstLine="1155"/>
        <w:spacing w:after="0" w:line="267" w:lineRule="auto"/>
        <w:tabs>
          <w:tab w:leader="none" w:pos="1349"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Tower 400 – Tenant Responsibility – Paid Directly by Tenant to Vendors/Suppliers</w:t>
      </w:r>
      <w:r>
        <w:rPr>
          <w:rFonts w:ascii="Times New Roman" w:cs="Times New Roman" w:eastAsia="Times New Roman" w:hAnsi="Times New Roman"/>
          <w:sz w:val="14"/>
          <w:szCs w:val="14"/>
          <w:color w:val="auto"/>
        </w:rPr>
        <w:t xml:space="preserve">. Notwithstanding anything to the contrary in the Lease, Tenant shall be solely responsible for the maintenance, repair and replacement of the items identified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as “Tower 400 – Tenant Responsibility – Paid Directly by Tenant to Vendors/Suppliers,” with any maintenance, repairs and replacements conducted in accordance with Section 7.4 of the Lease. Tenant shall pay the costs of any such items directly to the applicable vendors and/or suppliers.</w:t>
      </w:r>
    </w:p>
    <w:p>
      <w:pPr>
        <w:spacing w:after="0" w:line="51" w:lineRule="exact"/>
        <w:rPr>
          <w:rFonts w:ascii="Times New Roman" w:cs="Times New Roman" w:eastAsia="Times New Roman" w:hAnsi="Times New Roman"/>
          <w:sz w:val="14"/>
          <w:szCs w:val="14"/>
          <w:color w:val="auto"/>
        </w:rPr>
      </w:pPr>
    </w:p>
    <w:p>
      <w:pPr>
        <w:ind w:firstLine="1155"/>
        <w:spacing w:after="0" w:line="261" w:lineRule="auto"/>
        <w:tabs>
          <w:tab w:leader="none" w:pos="1341"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Tower 400 - Tenant Responsibility – Tenant to Request Work Orders From Landlord and Landlord to Bill Tenant</w:t>
      </w:r>
      <w:r>
        <w:rPr>
          <w:rFonts w:ascii="Times New Roman" w:cs="Times New Roman" w:eastAsia="Times New Roman" w:hAnsi="Times New Roman"/>
          <w:sz w:val="14"/>
          <w:szCs w:val="14"/>
          <w:color w:val="auto"/>
        </w:rPr>
        <w:t xml:space="preserve">. Notwithstanding anything to the contrary in the Lease, Tenant shall be solely responsible for the items identified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as “Tenant Responsibility – Tenant to Request Work Orders From Landlord and Landlord to Bill Tenant,” but Landlord shall maintain and repair such items in response to work orders issued by Tenant, and Tenant shall pay Landlord for the costs of such maintenance and repairs within 15 days after Landlord issues an invoice</w:t>
      </w:r>
      <w:r>
        <w:rPr>
          <w:rFonts w:ascii="Times New Roman" w:cs="Times New Roman" w:eastAsia="Times New Roman" w:hAnsi="Times New Roman"/>
          <w:sz w:val="14"/>
          <w:szCs w:val="14"/>
          <w:color w:val="auto"/>
          <w:strike w:val="1"/>
        </w:rPr>
        <w:t>s</w:t>
      </w:r>
      <w:r>
        <w:rPr>
          <w:rFonts w:ascii="Times New Roman" w:cs="Times New Roman" w:eastAsia="Times New Roman" w:hAnsi="Times New Roman"/>
          <w:sz w:val="14"/>
          <w:szCs w:val="14"/>
          <w:color w:val="auto"/>
        </w:rPr>
        <w:t xml:space="preserve"> therefor (such invoices to be issued from time to time as determined by Landlord and may include prepayments for materials and equipment that need to be ordered).</w:t>
      </w:r>
    </w:p>
    <w:p>
      <w:pPr>
        <w:spacing w:after="0" w:line="56" w:lineRule="exact"/>
        <w:rPr>
          <w:rFonts w:ascii="Times New Roman" w:cs="Times New Roman" w:eastAsia="Times New Roman" w:hAnsi="Times New Roman"/>
          <w:sz w:val="14"/>
          <w:szCs w:val="14"/>
          <w:color w:val="auto"/>
        </w:rPr>
      </w:pPr>
    </w:p>
    <w:p>
      <w:pPr>
        <w:ind w:right="120" w:firstLine="1155"/>
        <w:spacing w:after="0" w:line="258" w:lineRule="auto"/>
        <w:tabs>
          <w:tab w:leader="none" w:pos="1349" w:val="left"/>
        </w:tabs>
        <w:numPr>
          <w:ilvl w:val="1"/>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Operating Costs</w:t>
      </w:r>
      <w:r>
        <w:rPr>
          <w:rFonts w:ascii="Times New Roman" w:cs="Times New Roman" w:eastAsia="Times New Roman" w:hAnsi="Times New Roman"/>
          <w:sz w:val="14"/>
          <w:szCs w:val="14"/>
          <w:color w:val="auto"/>
        </w:rPr>
        <w:t>. Landlord and Tenant acknowledge that some of the expenses designated as “Partial Building Expenses” would otherwise constitute “Operating Costs” that would be aggregated with corresponding expenses for Tower 500 and the Connecting Area, and for which Tenant and other tenants of the Building would otherwise be responsible for their respective Building Shares. Notwithstanding anything to the contrary in this Amendment and/or the Lease, the calculation of Operating Costs shall exclude: (i) Partial Building Expenses (and the corresponding expenses for Tower 500 and the Connecting Area, excluding the fitness center and Food Service Area), and (ii) the costs of providing Tower 500 lobby security guard(s) and janitorial services for the Common Areas of Tower 500 (excluding the fitness center and Food Service Area).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specifically noted in this Amendment, the allocation of responsibility for services and maintenance, repairs and replacements shall be as set forth in the Lease.</w:t>
      </w:r>
    </w:p>
    <w:p>
      <w:pPr>
        <w:spacing w:after="0" w:line="91" w:lineRule="exact"/>
        <w:rPr>
          <w:sz w:val="20"/>
          <w:szCs w:val="20"/>
          <w:color w:val="auto"/>
        </w:rPr>
      </w:pPr>
    </w:p>
    <w:p>
      <w:pPr>
        <w:ind w:right="40" w:firstLine="515"/>
        <w:spacing w:after="0" w:line="267" w:lineRule="auto"/>
        <w:tabs>
          <w:tab w:leader="none" w:pos="651"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Future Closure of Amenity Space</w:t>
      </w:r>
      <w:r>
        <w:rPr>
          <w:rFonts w:ascii="Times New Roman" w:cs="Times New Roman" w:eastAsia="Times New Roman" w:hAnsi="Times New Roman"/>
          <w:sz w:val="14"/>
          <w:szCs w:val="14"/>
          <w:color w:val="auto"/>
        </w:rPr>
        <w:t>. Notwithstanding anything to the contrary in the Lease and/or this Amendment, in the event that the fitness center and/or Food Service Area is closed for a period of more than fifteen (15) consecutive Business Days, the portion of the Base Rent attributable to the Leasable Square Footage of such amenity space shall be abated commencing on the next following Business Day and continuing through the duration of the closure.</w:t>
      </w:r>
    </w:p>
    <w:p>
      <w:pPr>
        <w:spacing w:after="0" w:line="103"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10.1 (Damage From Casualty)</w:t>
      </w:r>
      <w:r>
        <w:rPr>
          <w:rFonts w:ascii="Times New Roman" w:cs="Times New Roman" w:eastAsia="Times New Roman" w:hAnsi="Times New Roman"/>
          <w:sz w:val="14"/>
          <w:szCs w:val="14"/>
          <w:color w:val="auto"/>
        </w:rPr>
        <w:t>. Section 10.1(a) of the Lease hereby deleted in its entirety and the following is substituted in place thereof:</w:t>
      </w:r>
    </w:p>
    <w:p>
      <w:pPr>
        <w:spacing w:after="0" w:line="91" w:lineRule="exact"/>
        <w:rPr>
          <w:rFonts w:ascii="Times New Roman" w:cs="Times New Roman" w:eastAsia="Times New Roman" w:hAnsi="Times New Roman"/>
          <w:sz w:val="14"/>
          <w:szCs w:val="14"/>
          <w:color w:val="auto"/>
        </w:rPr>
      </w:pPr>
    </w:p>
    <w:p>
      <w:pPr>
        <w:ind w:right="320" w:firstLine="1155"/>
        <w:spacing w:after="0" w:line="283" w:lineRule="auto"/>
        <w:tabs>
          <w:tab w:leader="none" w:pos="1341" w:val="left"/>
        </w:tabs>
        <w:numPr>
          <w:ilvl w:val="1"/>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Premises or the Building affecting Tenant’s use of the Premises is damaged by fire or other casualty, Tenant shall give Landlord written notice of such casualty promptly after Tenant becomes aware of such casualty. Within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591" w:name="page592"/>
    <w:bookmarkEnd w:id="591"/>
    <w:p>
      <w:pPr>
        <w:spacing w:after="0" w:line="253" w:lineRule="auto"/>
        <w:rPr>
          <w:sz w:val="20"/>
          <w:szCs w:val="20"/>
          <w:color w:val="auto"/>
        </w:rPr>
      </w:pPr>
      <w:r>
        <w:rPr>
          <w:rFonts w:ascii="Times New Roman" w:cs="Times New Roman" w:eastAsia="Times New Roman" w:hAnsi="Times New Roman"/>
          <w:sz w:val="14"/>
          <w:szCs w:val="14"/>
          <w:color w:val="auto"/>
        </w:rPr>
        <w:t>sixty (60) days after Tenant gives Landlord written notice of such casualty or Landlord otherwise becomes aware of such casualty, Landlord shall reasonably estimate, and give Tenant written notice of, the period commencing with the date of such notice (the “</w:t>
      </w:r>
      <w:r>
        <w:rPr>
          <w:rFonts w:ascii="Times New Roman" w:cs="Times New Roman" w:eastAsia="Times New Roman" w:hAnsi="Times New Roman"/>
          <w:sz w:val="14"/>
          <w:szCs w:val="14"/>
          <w:u w:val="single" w:color="auto"/>
          <w:color w:val="auto"/>
        </w:rPr>
        <w:t>Restoration Period</w:t>
      </w:r>
      <w:r>
        <w:rPr>
          <w:rFonts w:ascii="Times New Roman" w:cs="Times New Roman" w:eastAsia="Times New Roman" w:hAnsi="Times New Roman"/>
          <w:sz w:val="14"/>
          <w:szCs w:val="14"/>
          <w:color w:val="auto"/>
        </w:rPr>
        <w:t>”) that Landlord anticipates will be reasonably required to perform the restoration work with respect to the damage to the Premises and other portions of the Building affecting Tenant’s use of the Premises which is the responsibility of Landlord as provided below. If Landlord reasonably estimates that either (i) Tenant will not be able to occupy more than 50% of the Premises at any time during the nine months after the commencement of the Restoration Period or (ii) the Restoration Period will be longer than one year (or if less than one year, longer than the remaining Lease Term), then either Landlord or Tenant may terminate this Lease by giving to the other written notice of termination within fifteen (15) Business Days after Landlord gives Tenant written notice of such estimate. Such notice of termination shall be effective on the date thereof, and if Tenant is then occupying the Premises, Tenant shall thereafter have a reasonable period of time in which to vacate the Premises. If (i) Landlord reasonably estimates that the Restoration Period will be one year or shorter, or (ii) Landlord reasonably estimates that the Restoration Period will be longer than one year but neither Landlord nor Tenant exercises its right to terminate this Lease as set forth above, then this Lease shall not terminate; and in such event, Landlord shall, unless Landlord exercises its termination right pursuant to Section 10.3, with reasonable dispatch, repair or rebuild so much of the Premises (and those portions of the Building affecting Tenant’s use of the Premises, as applicable) as were originally constructed by Landlord (but excluding Tenant’s Alterations (as defined below)) to substantially their condition immediately prior to the casualty (subject, however, to Legal Requirements then in existence), and Tenant shall concurrently (to the extent practical and consistent with good construction practices) (i) repair and restore the following (collectively, “</w:t>
      </w:r>
      <w:r>
        <w:rPr>
          <w:rFonts w:ascii="Times New Roman" w:cs="Times New Roman" w:eastAsia="Times New Roman" w:hAnsi="Times New Roman"/>
          <w:sz w:val="14"/>
          <w:szCs w:val="14"/>
          <w:u w:val="single" w:color="auto"/>
          <w:color w:val="auto"/>
        </w:rPr>
        <w:t>Tenant’s Alterations</w:t>
      </w:r>
      <w:r>
        <w:rPr>
          <w:rFonts w:ascii="Times New Roman" w:cs="Times New Roman" w:eastAsia="Times New Roman" w:hAnsi="Times New Roman"/>
          <w:sz w:val="14"/>
          <w:szCs w:val="14"/>
          <w:color w:val="auto"/>
        </w:rPr>
        <w:t>”) (A) Tenant’s Work, (B) any other alterations made pursuant to Section 7.5 (whether performed by Landlord or Tenant) and (C) so much of the Premises as were constructed by Tenant or are the responsibility of Tenant under this Lease and (ii) repair and restore its fixtures and personal property (but only to the extent of the proceeds of insurance carried or required by this Lease to be carried by Tenant). Landlord shall have no obligation to insure Tenant’s Alterations and/or any fixtures or personal property of Tenant. Tenant shall, at its sole cost and expense, insure such fixtures and personal property and the value of Tenant’s Alterations.”</w:t>
      </w:r>
    </w:p>
    <w:p>
      <w:pPr>
        <w:spacing w:after="0" w:line="61" w:lineRule="exact"/>
        <w:rPr>
          <w:sz w:val="20"/>
          <w:szCs w:val="20"/>
          <w:color w:val="auto"/>
        </w:rPr>
      </w:pPr>
    </w:p>
    <w:p>
      <w:pPr>
        <w:ind w:right="200" w:firstLine="515"/>
        <w:spacing w:after="0" w:line="283" w:lineRule="auto"/>
        <w:tabs>
          <w:tab w:leader="none" w:pos="651"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Inconsistencies; Continuing Effect of Lease.</w:t>
      </w:r>
      <w:r>
        <w:rPr>
          <w:rFonts w:ascii="Times New Roman" w:cs="Times New Roman" w:eastAsia="Times New Roman" w:hAnsi="Times New Roman"/>
          <w:sz w:val="14"/>
          <w:szCs w:val="14"/>
          <w:color w:val="auto"/>
        </w:rPr>
        <w:t xml:space="preserve"> To the extent that the provisions of this Amendment are inconsistent with the provisions of the Lease, the provisions of this Amendment will control and the Lease will be deemed to be amended hereby. Except as amended by this Amendment, the provisions of the Lease remain in full force and effect.</w:t>
      </w:r>
    </w:p>
    <w:p>
      <w:pPr>
        <w:spacing w:after="0" w:line="40" w:lineRule="exact"/>
        <w:rPr>
          <w:rFonts w:ascii="Times New Roman" w:cs="Times New Roman" w:eastAsia="Times New Roman" w:hAnsi="Times New Roman"/>
          <w:sz w:val="14"/>
          <w:szCs w:val="14"/>
          <w:color w:val="auto"/>
        </w:rPr>
      </w:pPr>
    </w:p>
    <w:p>
      <w:pPr>
        <w:ind w:right="100" w:firstLine="515"/>
        <w:spacing w:after="0" w:line="267" w:lineRule="auto"/>
        <w:tabs>
          <w:tab w:leader="none" w:pos="651"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Multiple Counterparts; Electronic Signatures.</w:t>
      </w:r>
      <w:r>
        <w:rPr>
          <w:rFonts w:ascii="Times New Roman" w:cs="Times New Roman" w:eastAsia="Times New Roman" w:hAnsi="Times New Roman"/>
          <w:sz w:val="14"/>
          <w:szCs w:val="14"/>
          <w:color w:val="auto"/>
        </w:rPr>
        <w:t xml:space="preserve"> This Amendment may be executed in multiple counterparts, each of which will be an original, but all of which, taken together, will constitute one and the same Amendment. This Amendment may be electronically signed and the electronic signatures appearing on this Amendment are the same as handwritten signatures for the purposes of validity, enforceability and admissibility.</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881" w:right="31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4"/>
          <w:szCs w:val="14"/>
          <w:color w:val="auto"/>
        </w:rPr>
        <w:t>IN WITNESS WHEREOF, Landlord and Tenant have executed this Amendment as of the date first set forth above.</w:t>
      </w:r>
    </w:p>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LANDLORD:</w:t>
      </w:r>
    </w:p>
    <w:p>
      <w:pPr>
        <w:spacing w:after="0" w:line="1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400 DISCOVERY PARK, LLC</w:t>
      </w:r>
    </w:p>
    <w:p>
      <w:pPr>
        <w:spacing w:after="0" w:line="175" w:lineRule="exact"/>
        <w:rPr>
          <w:sz w:val="20"/>
          <w:szCs w:val="20"/>
          <w:color w:val="auto"/>
        </w:rPr>
      </w:pPr>
    </w:p>
    <w:tbl>
      <w:tblPr>
        <w:tblLayout w:type="fixed"/>
        <w:tblInd w:w="570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 Schlager</w:t>
            </w:r>
          </w:p>
        </w:tc>
      </w:t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A. Schlager</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TENANT:</w:t>
      </w:r>
    </w:p>
    <w:p>
      <w:pPr>
        <w:spacing w:after="0" w:line="175"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4"/>
          <w:szCs w:val="14"/>
          <w:color w:val="auto"/>
        </w:rPr>
        <w:t>FOG PHARMACEUTICALS, INC.</w:t>
      </w:r>
    </w:p>
    <w:p>
      <w:pPr>
        <w:spacing w:after="0" w:line="175" w:lineRule="exact"/>
        <w:rPr>
          <w:sz w:val="20"/>
          <w:szCs w:val="20"/>
          <w:color w:val="auto"/>
        </w:rPr>
      </w:pPr>
    </w:p>
    <w:tbl>
      <w:tblPr>
        <w:tblLayout w:type="fixed"/>
        <w:tblInd w:w="570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Gregory L. Verdine</w:t>
            </w:r>
          </w:p>
        </w:tc>
      </w:t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Gregory L. Verdine</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CEO</w:t>
            </w:r>
          </w:p>
        </w:tc>
      </w:tr>
    </w:tbl>
    <w:p>
      <w:pPr>
        <w:spacing w:after="0" w:line="33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375285</wp:posOffset>
            </wp:positionV>
            <wp:extent cx="7188200"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760"/>
          </w:cols>
          <w:pgMar w:left="820" w:top="798" w:right="319" w:bottom="1440" w:gutter="0" w:footer="0" w:header="0"/>
        </w:sectPr>
      </w:pPr>
    </w:p>
    <w:bookmarkStart w:id="593" w:name="page594"/>
    <w:bookmarkEnd w:id="593"/>
    <w:p>
      <w:pPr>
        <w:jc w:val="center"/>
        <w:ind w:right="-1080"/>
        <w:spacing w:after="0"/>
        <w:rPr>
          <w:sz w:val="20"/>
          <w:szCs w:val="20"/>
          <w:color w:val="auto"/>
        </w:rPr>
      </w:pPr>
      <w:r>
        <w:rPr>
          <w:rFonts w:ascii="Times New Roman" w:cs="Times New Roman" w:eastAsia="Times New Roman" w:hAnsi="Times New Roman"/>
          <w:sz w:val="14"/>
          <w:szCs w:val="14"/>
          <w:u w:val="single" w:color="auto"/>
          <w:color w:val="auto"/>
        </w:rPr>
        <w:t>Schedule 1</w:t>
      </w:r>
    </w:p>
    <w:p>
      <w:pPr>
        <w:spacing w:after="0" w:line="17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u w:val="single" w:color="auto"/>
          <w:color w:val="auto"/>
        </w:rPr>
        <w:t>Allocation of Responsibility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Tower 400 - Landlord Responsibility (otherwise known as “Partial Building Expenses”):</w:t>
      </w:r>
    </w:p>
    <w:p>
      <w:pPr>
        <w:spacing w:after="0" w:line="91" w:lineRule="exact"/>
        <w:rPr>
          <w:sz w:val="20"/>
          <w:szCs w:val="20"/>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HVAC</w:t>
      </w:r>
      <w:r>
        <w:rPr>
          <w:rFonts w:ascii="Times New Roman" w:cs="Times New Roman" w:eastAsia="Times New Roman" w:hAnsi="Times New Roman"/>
          <w:sz w:val="14"/>
          <w:szCs w:val="14"/>
          <w:b w:val="1"/>
          <w:bCs w:val="1"/>
          <w:color w:val="auto"/>
        </w:rPr>
        <w:t>:</w:t>
      </w:r>
    </w:p>
    <w:p>
      <w:pPr>
        <w:spacing w:after="0" w:line="93"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Chiller</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Cooling Tower</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AHU</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Boilers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Condenser Water Pumps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Chilled Water Pumps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 Water recovery pumps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 Fans</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Water Treatment</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Life Safety Generator</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Elevators</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BMS</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Waste Removal, subject to the provisions of (i) Section 7.3 of the Lease with respect to Lab Areas (as defined therein) and (ii) Sections 5.3 and 5.4 of the Lease</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Exterior window cleaning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Tower 400 - Tenant Responsibility – Paid Directly by Tenant to Vendors/Suppliers:</w:t>
      </w:r>
    </w:p>
    <w:p>
      <w:pPr>
        <w:spacing w:after="0" w:line="93" w:lineRule="exact"/>
        <w:rPr>
          <w:sz w:val="20"/>
          <w:szCs w:val="20"/>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Cleaning – night and day, and consistent, at minimum, with the janitorial standards applied to Tower 500 from time to time</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Lobby Security, consistent, at minimum, with the levels and hours of lobby security service applied to Tower 500 from time to time</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Compressed air</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Vacuum Pump</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Standby generator</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PH System</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Nitrogen</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Hazardous material removal</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RODI</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1 ductless split in cold room</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Interior Pest control</w:t>
      </w:r>
    </w:p>
    <w:p>
      <w:pPr>
        <w:spacing w:after="0" w:line="91" w:lineRule="exact"/>
        <w:rPr>
          <w:rFonts w:ascii="Times New Roman" w:cs="Times New Roman" w:eastAsia="Times New Roman" w:hAnsi="Times New Roman"/>
          <w:sz w:val="14"/>
          <w:szCs w:val="14"/>
          <w:color w:val="auto"/>
        </w:rPr>
      </w:pPr>
    </w:p>
    <w:p>
      <w:pPr>
        <w:ind w:left="1140" w:hanging="369"/>
        <w:spacing w:after="0"/>
        <w:tabs>
          <w:tab w:leader="none" w:pos="11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Lighting Control and Wattstopper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Tower 400 - Tenant Responsibility – Tenant to Request Work Orders From Landlord Tenant and Landlord to Bill Tenant:</w:t>
      </w:r>
    </w:p>
    <w:p>
      <w:pPr>
        <w:spacing w:after="0" w:line="91" w:lineRule="exact"/>
        <w:rPr>
          <w:sz w:val="20"/>
          <w:szCs w:val="20"/>
          <w:color w:val="auto"/>
        </w:rPr>
      </w:pPr>
    </w:p>
    <w:p>
      <w:pPr>
        <w:ind w:left="1140" w:hanging="369"/>
        <w:spacing w:after="0"/>
        <w:tabs>
          <w:tab w:leader="none" w:pos="114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 400 HVAC</w:t>
      </w:r>
      <w:r>
        <w:rPr>
          <w:rFonts w:ascii="Times New Roman" w:cs="Times New Roman" w:eastAsia="Times New Roman" w:hAnsi="Times New Roman"/>
          <w:sz w:val="14"/>
          <w:szCs w:val="14"/>
          <w:b w:val="1"/>
          <w:bCs w:val="1"/>
          <w:color w:val="auto"/>
        </w:rPr>
        <w:t>:</w:t>
      </w:r>
    </w:p>
    <w:p>
      <w:pPr>
        <w:spacing w:after="0" w:line="93"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 Ductless splits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Fan Powered Boxes</w:t>
      </w:r>
    </w:p>
    <w:p>
      <w:pPr>
        <w:spacing w:after="0" w:line="91" w:lineRule="exact"/>
        <w:rPr>
          <w:rFonts w:ascii="Times New Roman" w:cs="Times New Roman" w:eastAsia="Times New Roman" w:hAnsi="Times New Roman"/>
          <w:sz w:val="14"/>
          <w:szCs w:val="14"/>
          <w:color w:val="auto"/>
        </w:rPr>
      </w:pPr>
    </w:p>
    <w:p>
      <w:pPr>
        <w:ind w:left="1520" w:hanging="373"/>
        <w:spacing w:after="0"/>
        <w:tabs>
          <w:tab w:leader="none" w:pos="1520" w:val="left"/>
        </w:tabs>
        <w:numPr>
          <w:ilvl w:val="1"/>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 hood exhaust fans</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375285</wp:posOffset>
            </wp:positionV>
            <wp:extent cx="7188200"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59"/>
          </w:cols>
          <w:pgMar w:left="300" w:top="798" w:right="1440" w:bottom="1440" w:gutter="0" w:footer="0" w:header="0"/>
        </w:sectPr>
      </w:pPr>
    </w:p>
    <w:bookmarkStart w:id="594" w:name="page595"/>
    <w:bookmarkEnd w:id="594"/>
    <w:p>
      <w:pPr>
        <w:ind w:left="1052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68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532"/>
        </w:trPr>
        <w:tc>
          <w:tcPr>
            <w:tcW w:w="4480" w:type="dxa"/>
            <w:vAlign w:val="bottom"/>
          </w:tcPr>
          <w:p>
            <w:pPr>
              <w:jc w:val="center"/>
              <w:ind w:left="1090"/>
              <w:spacing w:after="0"/>
              <w:rPr>
                <w:sz w:val="20"/>
                <w:szCs w:val="20"/>
                <w:color w:val="auto"/>
              </w:rPr>
            </w:pPr>
            <w:r>
              <w:rPr>
                <w:rFonts w:ascii="Times New Roman" w:cs="Times New Roman" w:eastAsia="Times New Roman" w:hAnsi="Times New Roman"/>
                <w:sz w:val="14"/>
                <w:szCs w:val="14"/>
                <w:b w:val="1"/>
                <w:bCs w:val="1"/>
                <w:color w:val="auto"/>
                <w:w w:val="99"/>
              </w:rPr>
              <w:t>Subsidiary</w:t>
            </w:r>
          </w:p>
        </w:tc>
        <w:tc>
          <w:tcPr>
            <w:tcW w:w="6800" w:type="dxa"/>
            <w:vAlign w:val="bottom"/>
          </w:tcPr>
          <w:p>
            <w:pPr>
              <w:jc w:val="center"/>
              <w:ind w:left="1110"/>
              <w:spacing w:after="0"/>
              <w:rPr>
                <w:sz w:val="20"/>
                <w:szCs w:val="20"/>
                <w:color w:val="auto"/>
              </w:rPr>
            </w:pPr>
            <w:r>
              <w:rPr>
                <w:rFonts w:ascii="Times New Roman" w:cs="Times New Roman" w:eastAsia="Times New Roman" w:hAnsi="Times New Roman"/>
                <w:sz w:val="14"/>
                <w:szCs w:val="14"/>
                <w:b w:val="1"/>
                <w:bCs w:val="1"/>
                <w:color w:val="auto"/>
                <w:w w:val="99"/>
              </w:rPr>
              <w:t>Jurisdiction of Incorporation</w:t>
            </w:r>
          </w:p>
        </w:tc>
      </w:tr>
      <w:tr>
        <w:trPr>
          <w:trHeight w:val="168"/>
        </w:trPr>
        <w:tc>
          <w:tcPr>
            <w:tcW w:w="4480" w:type="dxa"/>
            <w:vAlign w:val="bottom"/>
          </w:tcPr>
          <w:p>
            <w:pPr>
              <w:jc w:val="center"/>
              <w:ind w:left="1110"/>
              <w:spacing w:after="0"/>
              <w:rPr>
                <w:sz w:val="20"/>
                <w:szCs w:val="20"/>
                <w:color w:val="auto"/>
              </w:rPr>
            </w:pPr>
            <w:r>
              <w:rPr>
                <w:rFonts w:ascii="Times New Roman" w:cs="Times New Roman" w:eastAsia="Times New Roman" w:hAnsi="Times New Roman"/>
                <w:sz w:val="14"/>
                <w:szCs w:val="14"/>
                <w:color w:val="auto"/>
                <w:w w:val="99"/>
              </w:rPr>
              <w:t>Parabilis Security Corporation</w:t>
            </w:r>
          </w:p>
        </w:tc>
        <w:tc>
          <w:tcPr>
            <w:tcW w:w="6800" w:type="dxa"/>
            <w:vAlign w:val="bottom"/>
          </w:tcPr>
          <w:p>
            <w:pPr>
              <w:jc w:val="center"/>
              <w:ind w:left="1110"/>
              <w:spacing w:after="0"/>
              <w:rPr>
                <w:sz w:val="20"/>
                <w:szCs w:val="20"/>
                <w:color w:val="auto"/>
              </w:rPr>
            </w:pPr>
            <w:r>
              <w:rPr>
                <w:rFonts w:ascii="Times New Roman" w:cs="Times New Roman" w:eastAsia="Times New Roman" w:hAnsi="Times New Roman"/>
                <w:sz w:val="14"/>
                <w:szCs w:val="14"/>
                <w:color w:val="auto"/>
              </w:rPr>
              <w:t>Massachusetts</w:t>
            </w:r>
          </w:p>
        </w:tc>
      </w:tr>
      <w:tr>
        <w:trPr>
          <w:trHeight w:val="183"/>
        </w:trPr>
        <w:tc>
          <w:tcPr>
            <w:tcW w:w="4480" w:type="dxa"/>
            <w:vAlign w:val="bottom"/>
          </w:tcPr>
          <w:p>
            <w:pPr>
              <w:jc w:val="center"/>
              <w:ind w:left="1110"/>
              <w:spacing w:after="0"/>
              <w:rPr>
                <w:sz w:val="20"/>
                <w:szCs w:val="20"/>
                <w:color w:val="auto"/>
              </w:rPr>
            </w:pPr>
            <w:r>
              <w:rPr>
                <w:rFonts w:ascii="Times New Roman" w:cs="Times New Roman" w:eastAsia="Times New Roman" w:hAnsi="Times New Roman"/>
                <w:sz w:val="14"/>
                <w:szCs w:val="14"/>
                <w:color w:val="auto"/>
                <w:w w:val="99"/>
              </w:rPr>
              <w:t>Parabilis Medicines (Shanghai) Ltd Co</w:t>
            </w:r>
          </w:p>
        </w:tc>
        <w:tc>
          <w:tcPr>
            <w:tcW w:w="6800" w:type="dxa"/>
            <w:vAlign w:val="bottom"/>
          </w:tcPr>
          <w:p>
            <w:pPr>
              <w:jc w:val="center"/>
              <w:ind w:left="1090"/>
              <w:spacing w:after="0"/>
              <w:rPr>
                <w:sz w:val="20"/>
                <w:szCs w:val="20"/>
                <w:color w:val="auto"/>
              </w:rPr>
            </w:pPr>
            <w:r>
              <w:rPr>
                <w:rFonts w:ascii="Times New Roman" w:cs="Times New Roman" w:eastAsia="Times New Roman" w:hAnsi="Times New Roman"/>
                <w:sz w:val="14"/>
                <w:szCs w:val="14"/>
                <w:color w:val="auto"/>
                <w:w w:val="99"/>
              </w:rPr>
              <w:t>Shanghai, China</w:t>
            </w:r>
          </w:p>
        </w:tc>
      </w:tr>
      <w:tr>
        <w:trPr>
          <w:trHeight w:val="947"/>
        </w:trPr>
        <w:tc>
          <w:tcPr>
            <w:tcW w:w="448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595" w:name="page596"/>
    <w:bookmarkEnd w:id="59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Parabilis Medicines, Inc. of our report dated April 2, 2026 relating to the financial statements of Parabilis Medicines, Inc., which appears in this Registration Statement. We also consent to the reference to us under the heading “Experts” in such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365760</wp:posOffset>
            </wp:positionV>
            <wp:extent cx="7188200"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628" w:right="319" w:bottom="1440" w:gutter="0" w:footer="0" w:header="0"/>
        </w:sectPr>
      </w:pPr>
    </w:p>
    <w:bookmarkStart w:id="596" w:name="page597"/>
    <w:bookmarkEnd w:id="596"/>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Parabilis Medicines,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2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40" w:type="dxa"/>
            <w:vAlign w:val="bottom"/>
          </w:tcPr>
          <w:p>
            <w:pPr>
              <w:spacing w:after="0"/>
              <w:rPr>
                <w:sz w:val="10"/>
                <w:szCs w:val="10"/>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19"/>
              <w:spacing w:after="0" w:line="168"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9"/>
              <w:spacing w:after="0" w:line="189"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9"/>
              <w:spacing w:after="0"/>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260"/>
        <w:spacing w:after="0" w:line="248" w:lineRule="auto"/>
        <w:rPr>
          <w:sz w:val="20"/>
          <w:szCs w:val="20"/>
          <w:color w:val="auto"/>
        </w:rPr>
      </w:pPr>
      <w:r>
        <w:rPr>
          <w:rFonts w:ascii="Arial" w:cs="Arial" w:eastAsia="Arial" w:hAnsi="Arial"/>
          <w:sz w:val="17"/>
          <w:szCs w:val="17"/>
          <w:color w:val="auto"/>
        </w:rPr>
        <w:t>Maximum Aggregate Offering Price estimated solely for the purpose of calculating the registration fee pursuant to Rule 457(o) under the Securities Act of 1933, as amended. Includes the aggregate offering price of additional shares that the underwriters have the option to purchase from the registrant,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4819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shd w:val="clear" w:color="auto" w:fill="9ADAF6"/>
          </w:tcPr>
          <w:p>
            <w:pPr>
              <w:jc w:val="center"/>
              <w:ind w:right="21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3"/>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76"/>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82503"/>
    <w:multiLevelType w:val="hybridMultilevel"/>
    <w:lvl w:ilvl="0">
      <w:lvlJc w:val="left"/>
      <w:lvlText w:val="(%1)"/>
      <w:numFmt w:val="decimal"/>
      <w:start w:val="1"/>
    </w:lvl>
  </w:abstractNum>
  <w:abstractNum w:abstractNumId="1">
    <w:nsid w:val="59B76E28"/>
    <w:multiLevelType w:val="hybridMultilevel"/>
    <w:lvl w:ilvl="0">
      <w:lvlJc w:val="left"/>
      <w:lvlText w:val="•"/>
      <w:numFmt w:val="bullet"/>
      <w:start w:val="1"/>
    </w:lvl>
  </w:abstractNum>
  <w:abstractNum w:abstractNumId="2">
    <w:nsid w:val="4252C2DA"/>
    <w:multiLevelType w:val="hybridMultilevel"/>
    <w:lvl w:ilvl="0">
      <w:lvlJc w:val="left"/>
      <w:lvlText w:val="•"/>
      <w:numFmt w:val="bullet"/>
      <w:start w:val="1"/>
    </w:lvl>
  </w:abstractNum>
  <w:abstractNum w:abstractNumId="3">
    <w:nsid w:val="6A92EF4C"/>
    <w:multiLevelType w:val="hybridMultilevel"/>
    <w:lvl w:ilvl="0">
      <w:lvlJc w:val="left"/>
      <w:lvlText w:val="•"/>
      <w:numFmt w:val="bullet"/>
      <w:start w:val="1"/>
    </w:lvl>
  </w:abstractNum>
  <w:abstractNum w:abstractNumId="4">
    <w:nsid w:val="41ED20D7"/>
    <w:multiLevelType w:val="hybridMultilevel"/>
    <w:lvl w:ilvl="0">
      <w:lvlJc w:val="left"/>
      <w:lvlText w:val="•"/>
      <w:numFmt w:val="bullet"/>
      <w:start w:val="1"/>
    </w:lvl>
  </w:abstractNum>
  <w:abstractNum w:abstractNumId="5">
    <w:nsid w:val="E6B3F6A"/>
    <w:multiLevelType w:val="hybridMultilevel"/>
    <w:lvl w:ilvl="0">
      <w:lvlJc w:val="left"/>
      <w:lvlText w:val="•"/>
      <w:numFmt w:val="bullet"/>
      <w:start w:val="1"/>
    </w:lvl>
  </w:abstractNum>
  <w:abstractNum w:abstractNumId="6">
    <w:nsid w:val="3EB21819"/>
    <w:multiLevelType w:val="hybridMultilevel"/>
    <w:lvl w:ilvl="0">
      <w:lvlJc w:val="left"/>
      <w:lvlText w:val="•"/>
      <w:numFmt w:val="bullet"/>
      <w:start w:val="1"/>
    </w:lvl>
  </w:abstractNum>
  <w:abstractNum w:abstractNumId="7">
    <w:nsid w:val="41531DED"/>
    <w:multiLevelType w:val="hybridMultilevel"/>
    <w:lvl w:ilvl="0">
      <w:lvlJc w:val="left"/>
      <w:lvlText w:val="•"/>
      <w:numFmt w:val="bullet"/>
      <w:start w:val="1"/>
    </w:lvl>
  </w:abstractNum>
  <w:abstractNum w:abstractNumId="8">
    <w:nsid w:val="6353CD2"/>
    <w:multiLevelType w:val="hybridMultilevel"/>
    <w:lvl w:ilvl="0">
      <w:lvlJc w:val="left"/>
      <w:lvlText w:val="•"/>
      <w:numFmt w:val="bullet"/>
      <w:start w:val="1"/>
    </w:lvl>
  </w:abstractNum>
  <w:abstractNum w:abstractNumId="9">
    <w:nsid w:val="683CAAD3"/>
    <w:multiLevelType w:val="hybridMultilevel"/>
    <w:lvl w:ilvl="0">
      <w:lvlJc w:val="left"/>
      <w:lvlText w:val="•"/>
      <w:numFmt w:val="bullet"/>
      <w:start w:val="1"/>
    </w:lvl>
  </w:abstractNum>
  <w:abstractNum w:abstractNumId="10">
    <w:nsid w:val="313C7C99"/>
    <w:multiLevelType w:val="hybridMultilevel"/>
    <w:lvl w:ilvl="0">
      <w:lvlJc w:val="left"/>
      <w:lvlText w:val="•"/>
      <w:numFmt w:val="bullet"/>
      <w:start w:val="1"/>
    </w:lvl>
  </w:abstractNum>
  <w:abstractNum w:abstractNumId="11">
    <w:nsid w:val="519EB94C"/>
    <w:multiLevelType w:val="hybridMultilevel"/>
    <w:lvl w:ilvl="0">
      <w:lvlJc w:val="left"/>
      <w:lvlText w:val="(%1)"/>
      <w:numFmt w:val="decimal"/>
      <w:start w:val="1"/>
    </w:lvl>
  </w:abstractNum>
  <w:abstractNum w:abstractNumId="12">
    <w:nsid w:val="39DF2579"/>
    <w:multiLevelType w:val="hybridMultilevel"/>
    <w:lvl w:ilvl="0">
      <w:lvlJc w:val="left"/>
      <w:lvlText w:val="(%1)"/>
      <w:numFmt w:val="decimal"/>
      <w:start w:val="1"/>
    </w:lvl>
  </w:abstractNum>
  <w:abstractNum w:abstractNumId="13">
    <w:nsid w:val="126E008B"/>
    <w:multiLevelType w:val="hybridMultilevel"/>
    <w:lvl w:ilvl="0">
      <w:lvlJc w:val="left"/>
      <w:lvlText w:val="(%1)"/>
      <w:numFmt w:val="decimal"/>
      <w:start w:val="2"/>
    </w:lvl>
  </w:abstractNum>
  <w:abstractNum w:abstractNumId="14">
    <w:nsid w:val="34DFBC00"/>
    <w:multiLevelType w:val="hybridMultilevel"/>
    <w:lvl w:ilvl="0">
      <w:lvlJc w:val="left"/>
      <w:lvlText w:val="(%1)"/>
      <w:numFmt w:val="decimal"/>
      <w:start w:val="3"/>
    </w:lvl>
  </w:abstractNum>
  <w:abstractNum w:abstractNumId="15">
    <w:nsid w:val="1F9EC322"/>
    <w:multiLevelType w:val="hybridMultilevel"/>
    <w:lvl w:ilvl="0">
      <w:lvlJc w:val="left"/>
      <w:lvlText w:val="•"/>
      <w:numFmt w:val="bullet"/>
      <w:start w:val="1"/>
    </w:lvl>
  </w:abstractNum>
  <w:abstractNum w:abstractNumId="16">
    <w:nsid w:val="3410ED56"/>
    <w:multiLevelType w:val="hybridMultilevel"/>
    <w:lvl w:ilvl="0">
      <w:lvlJc w:val="left"/>
      <w:lvlText w:val="•"/>
      <w:numFmt w:val="bullet"/>
      <w:start w:val="1"/>
    </w:lvl>
  </w:abstractNum>
  <w:abstractNum w:abstractNumId="17">
    <w:nsid w:val="23C049A"/>
    <w:multiLevelType w:val="hybridMultilevel"/>
    <w:lvl w:ilvl="0">
      <w:lvlJc w:val="left"/>
      <w:lvlText w:val="•"/>
      <w:numFmt w:val="bullet"/>
      <w:start w:val="1"/>
    </w:lvl>
  </w:abstractNum>
  <w:abstractNum w:abstractNumId="18">
    <w:nsid w:val="5BDA35D4"/>
    <w:multiLevelType w:val="hybridMultilevel"/>
    <w:lvl w:ilvl="0">
      <w:lvlJc w:val="left"/>
      <w:lvlText w:val="•"/>
      <w:numFmt w:val="bullet"/>
      <w:start w:val="1"/>
    </w:lvl>
  </w:abstractNum>
  <w:abstractNum w:abstractNumId="19">
    <w:nsid w:val="496FB218"/>
    <w:multiLevelType w:val="hybridMultilevel"/>
    <w:lvl w:ilvl="0">
      <w:lvlJc w:val="left"/>
      <w:lvlText w:val="•"/>
      <w:numFmt w:val="bullet"/>
      <w:start w:val="1"/>
    </w:lvl>
  </w:abstractNum>
  <w:abstractNum w:abstractNumId="20">
    <w:nsid w:val="680EA5D1"/>
    <w:multiLevelType w:val="hybridMultilevel"/>
    <w:lvl w:ilvl="0">
      <w:lvlJc w:val="left"/>
      <w:lvlText w:val="•"/>
      <w:numFmt w:val="bullet"/>
      <w:start w:val="1"/>
    </w:lvl>
  </w:abstractNum>
  <w:abstractNum w:abstractNumId="21">
    <w:nsid w:val="4A9554FE"/>
    <w:multiLevelType w:val="hybridMultilevel"/>
    <w:lvl w:ilvl="0">
      <w:lvlJc w:val="left"/>
      <w:lvlText w:val="•"/>
      <w:numFmt w:val="bullet"/>
      <w:start w:val="1"/>
    </w:lvl>
  </w:abstractNum>
  <w:abstractNum w:abstractNumId="22">
    <w:nsid w:val="392EDBE4"/>
    <w:multiLevelType w:val="hybridMultilevel"/>
    <w:lvl w:ilvl="0">
      <w:lvlJc w:val="left"/>
      <w:lvlText w:val="•"/>
      <w:numFmt w:val="bullet"/>
      <w:start w:val="1"/>
    </w:lvl>
  </w:abstractNum>
  <w:abstractNum w:abstractNumId="23">
    <w:nsid w:val="3D1A2DD9"/>
    <w:multiLevelType w:val="hybridMultilevel"/>
    <w:lvl w:ilvl="0">
      <w:lvlJc w:val="left"/>
      <w:lvlText w:val="•"/>
      <w:numFmt w:val="bullet"/>
      <w:start w:val="1"/>
    </w:lvl>
  </w:abstractNum>
  <w:abstractNum w:abstractNumId="24">
    <w:nsid w:val="7F618FCD"/>
    <w:multiLevelType w:val="hybridMultilevel"/>
    <w:lvl w:ilvl="0">
      <w:lvlJc w:val="left"/>
      <w:lvlText w:val="•"/>
      <w:numFmt w:val="bullet"/>
      <w:start w:val="1"/>
    </w:lvl>
  </w:abstractNum>
  <w:abstractNum w:abstractNumId="25">
    <w:nsid w:val="7843E45"/>
    <w:multiLevelType w:val="hybridMultilevel"/>
    <w:lvl w:ilvl="0">
      <w:lvlJc w:val="left"/>
      <w:lvlText w:val="•"/>
      <w:numFmt w:val="bullet"/>
      <w:start w:val="1"/>
    </w:lvl>
  </w:abstractNum>
  <w:abstractNum w:abstractNumId="26">
    <w:nsid w:val="9815DA3"/>
    <w:multiLevelType w:val="hybridMultilevel"/>
    <w:lvl w:ilvl="0">
      <w:lvlJc w:val="left"/>
      <w:lvlText w:val="•"/>
      <w:numFmt w:val="bullet"/>
      <w:start w:val="1"/>
    </w:lvl>
  </w:abstractNum>
  <w:abstractNum w:abstractNumId="27">
    <w:nsid w:val="5204A191"/>
    <w:multiLevelType w:val="hybridMultilevel"/>
    <w:lvl w:ilvl="0">
      <w:lvlJc w:val="left"/>
      <w:lvlText w:val="•"/>
      <w:numFmt w:val="bullet"/>
      <w:start w:val="1"/>
    </w:lvl>
  </w:abstractNum>
  <w:abstractNum w:abstractNumId="28">
    <w:nsid w:val="4C73A9C6"/>
    <w:multiLevelType w:val="hybridMultilevel"/>
    <w:lvl w:ilvl="0">
      <w:lvlJc w:val="left"/>
      <w:lvlText w:val="•"/>
      <w:numFmt w:val="bullet"/>
      <w:start w:val="1"/>
    </w:lvl>
  </w:abstractNum>
  <w:abstractNum w:abstractNumId="29">
    <w:nsid w:val="1C7E3C01"/>
    <w:multiLevelType w:val="hybridMultilevel"/>
    <w:lvl w:ilvl="0">
      <w:lvlJc w:val="left"/>
      <w:lvlText w:val="•"/>
      <w:numFmt w:val="bullet"/>
      <w:start w:val="1"/>
    </w:lvl>
  </w:abstractNum>
  <w:abstractNum w:abstractNumId="30">
    <w:nsid w:val="1C2201FF"/>
    <w:multiLevelType w:val="hybridMultilevel"/>
    <w:lvl w:ilvl="0">
      <w:lvlJc w:val="left"/>
      <w:lvlText w:val="•"/>
      <w:numFmt w:val="bullet"/>
      <w:start w:val="1"/>
    </w:lvl>
  </w:abstractNum>
  <w:abstractNum w:abstractNumId="31">
    <w:nsid w:val="50ABCEC9"/>
    <w:multiLevelType w:val="hybridMultilevel"/>
    <w:lvl w:ilvl="0">
      <w:lvlJc w:val="left"/>
      <w:lvlText w:val="•"/>
      <w:numFmt w:val="bullet"/>
      <w:start w:val="1"/>
    </w:lvl>
  </w:abstractNum>
  <w:abstractNum w:abstractNumId="32">
    <w:nsid w:val="7635AA2A"/>
    <w:multiLevelType w:val="hybridMultilevel"/>
    <w:lvl w:ilvl="0">
      <w:lvlJc w:val="left"/>
      <w:lvlText w:val="(%1)"/>
      <w:numFmt w:val="lowerRoman"/>
      <w:start w:val="7"/>
    </w:lvl>
  </w:abstractNum>
  <w:abstractNum w:abstractNumId="33">
    <w:nsid w:val="5E74C4D9"/>
    <w:multiLevelType w:val="hybridMultilevel"/>
    <w:lvl w:ilvl="0">
      <w:lvlJc w:val="left"/>
      <w:lvlText w:val="•"/>
      <w:numFmt w:val="bullet"/>
      <w:start w:val="1"/>
    </w:lvl>
  </w:abstractNum>
  <w:abstractNum w:abstractNumId="34">
    <w:nsid w:val="3B3EBE15"/>
    <w:multiLevelType w:val="hybridMultilevel"/>
    <w:lvl w:ilvl="0">
      <w:lvlJc w:val="left"/>
      <w:lvlText w:val="•"/>
      <w:numFmt w:val="bullet"/>
      <w:start w:val="1"/>
    </w:lvl>
  </w:abstractNum>
  <w:abstractNum w:abstractNumId="35">
    <w:nsid w:val="3822CB01"/>
    <w:multiLevelType w:val="hybridMultilevel"/>
    <w:lvl w:ilvl="0">
      <w:lvlJc w:val="left"/>
      <w:lvlText w:val="•"/>
      <w:numFmt w:val="bullet"/>
      <w:start w:val="1"/>
    </w:lvl>
  </w:abstractNum>
  <w:abstractNum w:abstractNumId="36">
    <w:nsid w:val="6CE00443"/>
    <w:multiLevelType w:val="hybridMultilevel"/>
    <w:lvl w:ilvl="0">
      <w:lvlJc w:val="left"/>
      <w:lvlText w:val="•"/>
      <w:numFmt w:val="bullet"/>
      <w:start w:val="1"/>
    </w:lvl>
  </w:abstractNum>
  <w:abstractNum w:abstractNumId="37">
    <w:nsid w:val="79F0D62F"/>
    <w:multiLevelType w:val="hybridMultilevel"/>
    <w:lvl w:ilvl="0">
      <w:lvlJc w:val="left"/>
      <w:lvlText w:val="•"/>
      <w:numFmt w:val="bullet"/>
      <w:start w:val="1"/>
    </w:lvl>
  </w:abstractNum>
  <w:abstractNum w:abstractNumId="38">
    <w:nsid w:val="7975E8EE"/>
    <w:multiLevelType w:val="hybridMultilevel"/>
    <w:lvl w:ilvl="0">
      <w:lvlJc w:val="left"/>
      <w:lvlText w:val="•"/>
      <w:numFmt w:val="bullet"/>
      <w:start w:val="1"/>
    </w:lvl>
  </w:abstractNum>
  <w:abstractNum w:abstractNumId="39">
    <w:nsid w:val="73154115"/>
    <w:multiLevelType w:val="hybridMultilevel"/>
    <w:lvl w:ilvl="0">
      <w:lvlJc w:val="left"/>
      <w:lvlText w:val="•"/>
      <w:numFmt w:val="bullet"/>
      <w:start w:val="1"/>
    </w:lvl>
  </w:abstractNum>
  <w:abstractNum w:abstractNumId="40">
    <w:nsid w:val="622D8102"/>
    <w:multiLevelType w:val="hybridMultilevel"/>
    <w:lvl w:ilvl="0">
      <w:lvlJc w:val="left"/>
      <w:lvlText w:val="•"/>
      <w:numFmt w:val="bullet"/>
      <w:start w:val="1"/>
    </w:lvl>
  </w:abstractNum>
  <w:abstractNum w:abstractNumId="41">
    <w:nsid w:val="2AB26587"/>
    <w:multiLevelType w:val="hybridMultilevel"/>
    <w:lvl w:ilvl="0">
      <w:lvlJc w:val="left"/>
      <w:lvlText w:val="•"/>
      <w:numFmt w:val="bullet"/>
      <w:start w:val="1"/>
    </w:lvl>
  </w:abstractNum>
  <w:abstractNum w:abstractNumId="42">
    <w:nsid w:val="44B3FA61"/>
    <w:multiLevelType w:val="hybridMultilevel"/>
    <w:lvl w:ilvl="0">
      <w:lvlJc w:val="left"/>
      <w:lvlText w:val="•"/>
      <w:numFmt w:val="bullet"/>
      <w:start w:val="1"/>
    </w:lvl>
  </w:abstractNum>
  <w:abstractNum w:abstractNumId="43">
    <w:nsid w:val="1C0CA67C"/>
    <w:multiLevelType w:val="hybridMultilevel"/>
    <w:lvl w:ilvl="0">
      <w:lvlJc w:val="left"/>
      <w:lvlText w:val="•"/>
      <w:numFmt w:val="bullet"/>
      <w:start w:val="1"/>
    </w:lvl>
  </w:abstractNum>
  <w:abstractNum w:abstractNumId="44">
    <w:nsid w:val="3D206613"/>
    <w:multiLevelType w:val="hybridMultilevel"/>
    <w:lvl w:ilvl="0">
      <w:lvlJc w:val="left"/>
      <w:lvlText w:val="•"/>
      <w:numFmt w:val="bullet"/>
      <w:start w:val="1"/>
    </w:lvl>
  </w:abstractNum>
  <w:abstractNum w:abstractNumId="45">
    <w:nsid w:val="7993B662"/>
    <w:multiLevelType w:val="hybridMultilevel"/>
    <w:lvl w:ilvl="0">
      <w:lvlJc w:val="left"/>
      <w:lvlText w:val="•"/>
      <w:numFmt w:val="bullet"/>
      <w:start w:val="1"/>
    </w:lvl>
  </w:abstractNum>
  <w:abstractNum w:abstractNumId="46">
    <w:nsid w:val="3BAB699E"/>
    <w:multiLevelType w:val="hybridMultilevel"/>
    <w:lvl w:ilvl="0">
      <w:lvlJc w:val="left"/>
      <w:lvlText w:val="•"/>
      <w:numFmt w:val="bullet"/>
      <w:start w:val="1"/>
    </w:lvl>
  </w:abstractNum>
  <w:abstractNum w:abstractNumId="47">
    <w:nsid w:val="71315369"/>
    <w:multiLevelType w:val="hybridMultilevel"/>
    <w:lvl w:ilvl="0">
      <w:lvlJc w:val="left"/>
      <w:lvlText w:val="•"/>
      <w:numFmt w:val="bullet"/>
      <w:start w:val="1"/>
    </w:lvl>
  </w:abstractNum>
  <w:abstractNum w:abstractNumId="48">
    <w:nsid w:val="7BCFBAFC"/>
    <w:multiLevelType w:val="hybridMultilevel"/>
    <w:lvl w:ilvl="0">
      <w:lvlJc w:val="left"/>
      <w:lvlText w:val="•"/>
      <w:numFmt w:val="bullet"/>
      <w:start w:val="1"/>
    </w:lvl>
  </w:abstractNum>
  <w:abstractNum w:abstractNumId="49">
    <w:nsid w:val="17859F72"/>
    <w:multiLevelType w:val="hybridMultilevel"/>
    <w:lvl w:ilvl="0">
      <w:lvlJc w:val="left"/>
      <w:lvlText w:val="•"/>
      <w:numFmt w:val="bullet"/>
      <w:start w:val="1"/>
    </w:lvl>
  </w:abstractNum>
  <w:abstractNum w:abstractNumId="50">
    <w:nsid w:val="3AA10581"/>
    <w:multiLevelType w:val="hybridMultilevel"/>
    <w:lvl w:ilvl="0">
      <w:lvlJc w:val="left"/>
      <w:lvlText w:val="•"/>
      <w:numFmt w:val="bullet"/>
      <w:start w:val="1"/>
    </w:lvl>
  </w:abstractNum>
  <w:abstractNum w:abstractNumId="51">
    <w:nsid w:val="63DE60CD"/>
    <w:multiLevelType w:val="hybridMultilevel"/>
    <w:lvl w:ilvl="0">
      <w:lvlJc w:val="left"/>
      <w:lvlText w:val="•"/>
      <w:numFmt w:val="bullet"/>
      <w:start w:val="1"/>
    </w:lvl>
  </w:abstractNum>
  <w:abstractNum w:abstractNumId="52">
    <w:nsid w:val="621AF471"/>
    <w:multiLevelType w:val="hybridMultilevel"/>
    <w:lvl w:ilvl="0">
      <w:lvlJc w:val="left"/>
      <w:lvlText w:val="•"/>
      <w:numFmt w:val="bullet"/>
      <w:start w:val="1"/>
    </w:lvl>
  </w:abstractNum>
  <w:abstractNum w:abstractNumId="53">
    <w:nsid w:val="73CFE165"/>
    <w:multiLevelType w:val="hybridMultilevel"/>
    <w:lvl w:ilvl="0">
      <w:lvlJc w:val="left"/>
      <w:lvlText w:val="•"/>
      <w:numFmt w:val="bullet"/>
      <w:start w:val="1"/>
    </w:lvl>
  </w:abstractNum>
  <w:abstractNum w:abstractNumId="54">
    <w:nsid w:val="20F88EA6"/>
    <w:multiLevelType w:val="hybridMultilevel"/>
    <w:lvl w:ilvl="0">
      <w:lvlJc w:val="left"/>
      <w:lvlText w:val="•"/>
      <w:numFmt w:val="bullet"/>
      <w:start w:val="1"/>
    </w:lvl>
  </w:abstractNum>
  <w:abstractNum w:abstractNumId="55">
    <w:nsid w:val="617C843E"/>
    <w:multiLevelType w:val="hybridMultilevel"/>
    <w:lvl w:ilvl="0">
      <w:lvlJc w:val="left"/>
      <w:lvlText w:val="•"/>
      <w:numFmt w:val="bullet"/>
      <w:start w:val="1"/>
    </w:lvl>
  </w:abstractNum>
  <w:abstractNum w:abstractNumId="56">
    <w:nsid w:val="7B541FAB"/>
    <w:multiLevelType w:val="hybridMultilevel"/>
    <w:lvl w:ilvl="0">
      <w:lvlJc w:val="left"/>
      <w:lvlText w:val="•"/>
      <w:numFmt w:val="bullet"/>
      <w:start w:val="1"/>
    </w:lvl>
  </w:abstractNum>
  <w:abstractNum w:abstractNumId="57">
    <w:nsid w:val="2A79EC49"/>
    <w:multiLevelType w:val="hybridMultilevel"/>
    <w:lvl w:ilvl="0">
      <w:lvlJc w:val="left"/>
      <w:lvlText w:val="•"/>
      <w:numFmt w:val="bullet"/>
      <w:start w:val="1"/>
    </w:lvl>
  </w:abstractNum>
  <w:abstractNum w:abstractNumId="58">
    <w:nsid w:val="338125CF"/>
    <w:multiLevelType w:val="hybridMultilevel"/>
    <w:lvl w:ilvl="0">
      <w:lvlJc w:val="left"/>
      <w:lvlText w:val="•"/>
      <w:numFmt w:val="bullet"/>
      <w:start w:val="1"/>
    </w:lvl>
  </w:abstractNum>
  <w:abstractNum w:abstractNumId="59">
    <w:nsid w:val="47C7C971"/>
    <w:multiLevelType w:val="hybridMultilevel"/>
    <w:lvl w:ilvl="0">
      <w:lvlJc w:val="left"/>
      <w:lvlText w:val="•"/>
      <w:numFmt w:val="bullet"/>
      <w:start w:val="1"/>
    </w:lvl>
  </w:abstractNum>
  <w:abstractNum w:abstractNumId="60">
    <w:nsid w:val="46F8284B"/>
    <w:multiLevelType w:val="hybridMultilevel"/>
    <w:lvl w:ilvl="0">
      <w:lvlJc w:val="left"/>
      <w:lvlText w:val="•"/>
      <w:numFmt w:val="bullet"/>
      <w:start w:val="1"/>
    </w:lvl>
  </w:abstractNum>
  <w:abstractNum w:abstractNumId="61">
    <w:nsid w:val="4FA327CE"/>
    <w:multiLevelType w:val="hybridMultilevel"/>
    <w:lvl w:ilvl="0">
      <w:lvlJc w:val="left"/>
      <w:lvlText w:val="•"/>
      <w:numFmt w:val="bullet"/>
      <w:start w:val="1"/>
    </w:lvl>
  </w:abstractNum>
  <w:abstractNum w:abstractNumId="62">
    <w:nsid w:val="1873983A"/>
    <w:multiLevelType w:val="hybridMultilevel"/>
    <w:lvl w:ilvl="0">
      <w:lvlJc w:val="left"/>
      <w:lvlText w:val="•"/>
      <w:numFmt w:val="bullet"/>
      <w:start w:val="1"/>
    </w:lvl>
  </w:abstractNum>
  <w:abstractNum w:abstractNumId="63">
    <w:nsid w:val="3D2DD275"/>
    <w:multiLevelType w:val="hybridMultilevel"/>
    <w:lvl w:ilvl="0">
      <w:lvlJc w:val="left"/>
      <w:lvlText w:val="•"/>
      <w:numFmt w:val="bullet"/>
      <w:start w:val="1"/>
    </w:lvl>
  </w:abstractNum>
  <w:abstractNum w:abstractNumId="64">
    <w:nsid w:val="2E17ECA7"/>
    <w:multiLevelType w:val="hybridMultilevel"/>
    <w:lvl w:ilvl="0">
      <w:lvlJc w:val="left"/>
      <w:lvlText w:val="•"/>
      <w:numFmt w:val="bullet"/>
      <w:start w:val="1"/>
    </w:lvl>
  </w:abstractNum>
  <w:abstractNum w:abstractNumId="65">
    <w:nsid w:val="53B2564F"/>
    <w:multiLevelType w:val="hybridMultilevel"/>
    <w:lvl w:ilvl="0">
      <w:lvlJc w:val="left"/>
      <w:lvlText w:val="•"/>
      <w:numFmt w:val="bullet"/>
      <w:start w:val="1"/>
    </w:lvl>
  </w:abstractNum>
  <w:abstractNum w:abstractNumId="66">
    <w:nsid w:val="75509D76"/>
    <w:multiLevelType w:val="hybridMultilevel"/>
    <w:lvl w:ilvl="0">
      <w:lvlJc w:val="left"/>
      <w:lvlText w:val="•"/>
      <w:numFmt w:val="bullet"/>
      <w:start w:val="1"/>
    </w:lvl>
  </w:abstractNum>
  <w:abstractNum w:abstractNumId="67">
    <w:nsid w:val="1AF7F0EA"/>
    <w:multiLevelType w:val="hybridMultilevel"/>
    <w:lvl w:ilvl="0">
      <w:lvlJc w:val="left"/>
      <w:lvlText w:val="•"/>
      <w:numFmt w:val="bullet"/>
      <w:start w:val="1"/>
    </w:lvl>
  </w:abstractNum>
  <w:abstractNum w:abstractNumId="68">
    <w:nsid w:val="4DA32C7E"/>
    <w:multiLevelType w:val="hybridMultilevel"/>
    <w:lvl w:ilvl="0">
      <w:lvlJc w:val="left"/>
      <w:lvlText w:val="•"/>
      <w:numFmt w:val="bullet"/>
      <w:start w:val="1"/>
    </w:lvl>
  </w:abstractNum>
  <w:abstractNum w:abstractNumId="69">
    <w:nsid w:val="6EC68664"/>
    <w:multiLevelType w:val="hybridMultilevel"/>
    <w:lvl w:ilvl="0">
      <w:lvlJc w:val="left"/>
      <w:lvlText w:val="•"/>
      <w:numFmt w:val="bullet"/>
      <w:start w:val="1"/>
    </w:lvl>
  </w:abstractNum>
  <w:abstractNum w:abstractNumId="70">
    <w:nsid w:val="E0D31FF"/>
    <w:multiLevelType w:val="hybridMultilevel"/>
    <w:lvl w:ilvl="0">
      <w:lvlJc w:val="left"/>
      <w:lvlText w:val="%1."/>
      <w:numFmt w:val="decimal"/>
      <w:start w:val="1"/>
    </w:lvl>
  </w:abstractNum>
  <w:abstractNum w:abstractNumId="71">
    <w:nsid w:val="2FD0AD81"/>
    <w:multiLevelType w:val="hybridMultilevel"/>
    <w:lvl w:ilvl="0">
      <w:lvlJc w:val="left"/>
      <w:lvlText w:val="^"/>
      <w:numFmt w:val="bullet"/>
      <w:start w:val="1"/>
    </w:lvl>
  </w:abstractNum>
  <w:abstractNum w:abstractNumId="72">
    <w:nsid w:val="1978EBEB"/>
    <w:multiLevelType w:val="hybridMultilevel"/>
    <w:lvl w:ilvl="0">
      <w:lvlJc w:val="left"/>
      <w:lvlText w:val="**"/>
      <w:numFmt w:val="bullet"/>
      <w:start w:val="1"/>
    </w:lvl>
  </w:abstractNum>
  <w:abstractNum w:abstractNumId="73">
    <w:nsid w:val="52C12C61"/>
    <w:multiLevelType w:val="hybridMultilevel"/>
    <w:lvl w:ilvl="0">
      <w:lvlJc w:val="left"/>
      <w:lvlText w:val="*"/>
      <w:numFmt w:val="bullet"/>
      <w:start w:val="1"/>
    </w:lvl>
  </w:abstractNum>
  <w:abstractNum w:abstractNumId="74">
    <w:nsid w:val="4BDD53FD"/>
    <w:multiLevelType w:val="hybridMultilevel"/>
    <w:lvl w:ilvl="0">
      <w:lvlJc w:val="left"/>
      <w:lvlText w:val="a"/>
      <w:numFmt w:val="bullet"/>
      <w:start w:val="1"/>
    </w:lvl>
  </w:abstractNum>
  <w:abstractNum w:abstractNumId="75">
    <w:nsid w:val="569951FE"/>
    <w:multiLevelType w:val="hybridMultilevel"/>
    <w:lvl w:ilvl="0">
      <w:lvlJc w:val="left"/>
      <w:lvlText w:val="•"/>
      <w:numFmt w:val="bullet"/>
      <w:start w:val="1"/>
    </w:lvl>
  </w:abstractNum>
  <w:abstractNum w:abstractNumId="76">
    <w:nsid w:val="4C54E2C3"/>
    <w:multiLevelType w:val="hybridMultilevel"/>
    <w:lvl w:ilvl="0">
      <w:lvlJc w:val="left"/>
      <w:lvlText w:val="•"/>
      <w:numFmt w:val="bullet"/>
      <w:start w:val="1"/>
    </w:lvl>
  </w:abstractNum>
  <w:abstractNum w:abstractNumId="77">
    <w:nsid w:val="788BD9B"/>
    <w:multiLevelType w:val="hybridMultilevel"/>
    <w:lvl w:ilvl="0">
      <w:lvlJc w:val="left"/>
      <w:lvlText w:val="#"/>
      <w:numFmt w:val="bullet"/>
      <w:start w:val="1"/>
    </w:lvl>
  </w:abstractNum>
  <w:abstractNum w:abstractNumId="78">
    <w:nsid w:val="47CAA567"/>
    <w:multiLevelType w:val="hybridMultilevel"/>
    <w:lvl w:ilvl="0">
      <w:lvlJc w:val="left"/>
      <w:lvlText w:val="%1."/>
      <w:numFmt w:val="decimal"/>
      <w:start w:val="1"/>
    </w:lvl>
  </w:abstractNum>
  <w:abstractNum w:abstractNumId="79">
    <w:nsid w:val="48249DBF"/>
    <w:multiLevelType w:val="hybridMultilevel"/>
    <w:lvl w:ilvl="0">
      <w:lvlJc w:val="left"/>
      <w:lvlText w:val="%1."/>
      <w:numFmt w:val="decimal"/>
      <w:start w:val="2"/>
    </w:lvl>
  </w:abstractNum>
  <w:abstractNum w:abstractNumId="80">
    <w:nsid w:val="1F0E5D0D"/>
    <w:multiLevelType w:val="hybridMultilevel"/>
    <w:lvl w:ilvl="0">
      <w:lvlJc w:val="left"/>
      <w:lvlText w:val="(%1)"/>
      <w:numFmt w:val="decimal"/>
      <w:start w:val="3"/>
    </w:lvl>
  </w:abstractNum>
  <w:abstractNum w:abstractNumId="81">
    <w:nsid w:val="26BAAE9"/>
    <w:multiLevelType w:val="hybridMultilevel"/>
    <w:lvl w:ilvl="0">
      <w:lvlJc w:val="left"/>
      <w:lvlText w:val="•"/>
      <w:numFmt w:val="bullet"/>
      <w:start w:val="1"/>
    </w:lvl>
  </w:abstractNum>
  <w:abstractNum w:abstractNumId="82">
    <w:nsid w:val="2C02FE8C"/>
    <w:multiLevelType w:val="hybridMultilevel"/>
    <w:lvl w:ilvl="0">
      <w:lvlJc w:val="left"/>
      <w:lvlText w:val="•"/>
      <w:numFmt w:val="bullet"/>
      <w:start w:val="1"/>
    </w:lvl>
  </w:abstractNum>
  <w:abstractNum w:abstractNumId="83">
    <w:nsid w:val="129517E"/>
    <w:multiLevelType w:val="hybridMultilevel"/>
    <w:lvl w:ilvl="0">
      <w:lvlJc w:val="left"/>
      <w:lvlText w:val="•"/>
      <w:numFmt w:val="bullet"/>
      <w:start w:val="1"/>
    </w:lvl>
  </w:abstractNum>
  <w:abstractNum w:abstractNumId="84">
    <w:nsid w:val="763B8C4E"/>
    <w:multiLevelType w:val="hybridMultilevel"/>
    <w:lvl w:ilvl="0">
      <w:lvlJc w:val="left"/>
      <w:lvlText w:val="•"/>
      <w:numFmt w:val="bullet"/>
      <w:start w:val="1"/>
    </w:lvl>
  </w:abstractNum>
  <w:abstractNum w:abstractNumId="85">
    <w:nsid w:val="4CFB8D32"/>
    <w:multiLevelType w:val="hybridMultilevel"/>
    <w:lvl w:ilvl="0">
      <w:lvlJc w:val="left"/>
      <w:lvlText w:val="•"/>
      <w:numFmt w:val="bullet"/>
      <w:start w:val="1"/>
    </w:lvl>
  </w:abstractNum>
  <w:abstractNum w:abstractNumId="86">
    <w:nsid w:val="62A5D5BD"/>
    <w:multiLevelType w:val="hybridMultilevel"/>
    <w:lvl w:ilvl="0">
      <w:lvlJc w:val="left"/>
      <w:lvlText w:val="•"/>
      <w:numFmt w:val="bullet"/>
      <w:start w:val="1"/>
    </w:lvl>
  </w:abstractNum>
  <w:abstractNum w:abstractNumId="87">
    <w:nsid w:val="718FABF9"/>
    <w:multiLevelType w:val="hybridMultilevel"/>
    <w:lvl w:ilvl="0">
      <w:lvlJc w:val="left"/>
      <w:lvlText w:val="•"/>
      <w:numFmt w:val="bullet"/>
      <w:start w:val="1"/>
    </w:lvl>
  </w:abstractNum>
  <w:abstractNum w:abstractNumId="88">
    <w:nsid w:val="7775797C"/>
    <w:multiLevelType w:val="hybridMultilevel"/>
    <w:lvl w:ilvl="0">
      <w:lvlJc w:val="left"/>
      <w:lvlText w:val="•"/>
      <w:numFmt w:val="bullet"/>
      <w:start w:val="1"/>
    </w:lvl>
  </w:abstractNum>
  <w:abstractNum w:abstractNumId="89">
    <w:nsid w:val="1626FB8C"/>
    <w:multiLevelType w:val="hybridMultilevel"/>
    <w:lvl w:ilvl="0">
      <w:lvlJc w:val="left"/>
      <w:lvlText w:val="•"/>
      <w:numFmt w:val="bullet"/>
      <w:start w:val="1"/>
    </w:lvl>
  </w:abstractNum>
  <w:abstractNum w:abstractNumId="90">
    <w:nsid w:val="3957756A"/>
    <w:multiLevelType w:val="hybridMultilevel"/>
    <w:lvl w:ilvl="0">
      <w:lvlJc w:val="left"/>
      <w:lvlText w:val="(%1)"/>
      <w:numFmt w:val="decimal"/>
      <w:start w:val="1"/>
    </w:lvl>
  </w:abstractNum>
  <w:abstractNum w:abstractNumId="91">
    <w:nsid w:val="3E6DA1C7"/>
    <w:multiLevelType w:val="hybridMultilevel"/>
    <w:lvl w:ilvl="0">
      <w:lvlJc w:val="left"/>
      <w:lvlText w:val="•"/>
      <w:numFmt w:val="bullet"/>
      <w:start w:val="1"/>
    </w:lvl>
  </w:abstractNum>
  <w:abstractNum w:abstractNumId="92">
    <w:nsid w:val="65CA235B"/>
    <w:multiLevelType w:val="hybridMultilevel"/>
    <w:lvl w:ilvl="0">
      <w:lvlJc w:val="left"/>
      <w:lvlText w:val="•"/>
      <w:numFmt w:val="bullet"/>
      <w:start w:val="1"/>
    </w:lvl>
  </w:abstractNum>
  <w:abstractNum w:abstractNumId="93">
    <w:nsid w:val="51CB0DA4"/>
    <w:multiLevelType w:val="hybridMultilevel"/>
    <w:lvl w:ilvl="0">
      <w:lvlJc w:val="left"/>
      <w:lvlText w:val="•"/>
      <w:numFmt w:val="bullet"/>
      <w:start w:val="1"/>
    </w:lvl>
  </w:abstractNum>
  <w:abstractNum w:abstractNumId="94">
    <w:nsid w:val="7B9B743C"/>
    <w:multiLevelType w:val="hybridMultilevel"/>
    <w:lvl w:ilvl="0">
      <w:lvlJc w:val="left"/>
      <w:lvlText w:val="•"/>
      <w:numFmt w:val="bullet"/>
      <w:start w:val="1"/>
    </w:lvl>
  </w:abstractNum>
  <w:abstractNum w:abstractNumId="95">
    <w:nsid w:val="13E21002"/>
    <w:multiLevelType w:val="hybridMultilevel"/>
    <w:lvl w:ilvl="0">
      <w:lvlJc w:val="left"/>
      <w:lvlText w:val="•"/>
      <w:numFmt w:val="bullet"/>
      <w:start w:val="1"/>
    </w:lvl>
  </w:abstractNum>
  <w:abstractNum w:abstractNumId="96">
    <w:nsid w:val="257D63F4"/>
    <w:multiLevelType w:val="hybridMultilevel"/>
    <w:lvl w:ilvl="0">
      <w:lvlJc w:val="left"/>
      <w:lvlText w:val="•"/>
      <w:numFmt w:val="bullet"/>
      <w:start w:val="1"/>
    </w:lvl>
  </w:abstractNum>
  <w:abstractNum w:abstractNumId="97">
    <w:nsid w:val="70EC11B2"/>
    <w:multiLevelType w:val="hybridMultilevel"/>
    <w:lvl w:ilvl="0">
      <w:lvlJc w:val="left"/>
      <w:lvlText w:val="•"/>
      <w:numFmt w:val="bullet"/>
      <w:start w:val="1"/>
    </w:lvl>
  </w:abstractNum>
  <w:abstractNum w:abstractNumId="98">
    <w:nsid w:val="2EDA00ED"/>
    <w:multiLevelType w:val="hybridMultilevel"/>
    <w:lvl w:ilvl="0">
      <w:lvlJc w:val="left"/>
      <w:lvlText w:val="•"/>
      <w:numFmt w:val="bullet"/>
      <w:start w:val="1"/>
    </w:lvl>
  </w:abstractNum>
  <w:abstractNum w:abstractNumId="99">
    <w:nsid w:val="73209072"/>
    <w:multiLevelType w:val="hybridMultilevel"/>
    <w:lvl w:ilvl="0">
      <w:lvlJc w:val="left"/>
      <w:lvlText w:val="•"/>
      <w:numFmt w:val="bullet"/>
      <w:start w:val="1"/>
    </w:lvl>
  </w:abstractNum>
  <w:abstractNum w:abstractNumId="100">
    <w:nsid w:val="5FB29816"/>
    <w:multiLevelType w:val="hybridMultilevel"/>
    <w:lvl w:ilvl="0">
      <w:lvlJc w:val="left"/>
      <w:lvlText w:val="•"/>
      <w:numFmt w:val="bullet"/>
      <w:start w:val="1"/>
    </w:lvl>
  </w:abstractNum>
  <w:abstractNum w:abstractNumId="101">
    <w:nsid w:val="3CE732EC"/>
    <w:multiLevelType w:val="hybridMultilevel"/>
    <w:lvl w:ilvl="0">
      <w:lvlJc w:val="left"/>
      <w:lvlText w:val="(%1)"/>
      <w:numFmt w:val="decimal"/>
      <w:start w:val="1"/>
    </w:lvl>
  </w:abstractNum>
  <w:abstractNum w:abstractNumId="102">
    <w:nsid w:val="22F13DF3"/>
    <w:multiLevelType w:val="hybridMultilevel"/>
    <w:lvl w:ilvl="0">
      <w:lvlJc w:val="left"/>
      <w:lvlText w:val="(%1)"/>
      <w:numFmt w:val="decimal"/>
      <w:start w:val="3"/>
    </w:lvl>
  </w:abstractNum>
  <w:abstractNum w:abstractNumId="103">
    <w:nsid w:val="792B8401"/>
    <w:multiLevelType w:val="hybridMultilevel"/>
    <w:lvl w:ilvl="0">
      <w:lvlJc w:val="left"/>
      <w:lvlText w:val="(%1)"/>
      <w:numFmt w:val="decimal"/>
      <w:start w:val="1"/>
    </w:lvl>
  </w:abstractNum>
  <w:abstractNum w:abstractNumId="104">
    <w:nsid w:val="FA85F4D"/>
    <w:multiLevelType w:val="hybridMultilevel"/>
    <w:lvl w:ilvl="0">
      <w:lvlJc w:val="left"/>
      <w:lvlText w:val="(%1)"/>
      <w:numFmt w:val="lowerRoman"/>
      <w:start w:val="3"/>
    </w:lvl>
  </w:abstractNum>
  <w:abstractNum w:abstractNumId="105">
    <w:nsid w:val="6ECE91F0"/>
    <w:multiLevelType w:val="hybridMultilevel"/>
    <w:lvl w:ilvl="0">
      <w:lvlJc w:val="left"/>
      <w:lvlText w:val="(%1)"/>
      <w:numFmt w:val="upperLetter"/>
      <w:start w:val="35"/>
    </w:lvl>
  </w:abstractNum>
  <w:abstractNum w:abstractNumId="106">
    <w:nsid w:val="4FC4D600"/>
    <w:multiLevelType w:val="hybridMultilevel"/>
    <w:lvl w:ilvl="0">
      <w:lvlJc w:val="left"/>
      <w:lvlText w:val="(%1)"/>
      <w:numFmt w:val="upperLetter"/>
      <w:start w:val="1"/>
    </w:lvl>
  </w:abstractNum>
  <w:abstractNum w:abstractNumId="107">
    <w:nsid w:val="5BFD4210"/>
    <w:multiLevelType w:val="hybridMultilevel"/>
    <w:lvl w:ilvl="0">
      <w:lvlJc w:val="left"/>
      <w:lvlText w:val="(%1)"/>
      <w:numFmt w:val="decimal"/>
      <w:start w:val="1"/>
    </w:lvl>
  </w:abstractNum>
  <w:abstractNum w:abstractNumId="108">
    <w:nsid w:val="76574F8B"/>
    <w:multiLevelType w:val="hybridMultilevel"/>
    <w:lvl w:ilvl="0">
      <w:lvlJc w:val="left"/>
      <w:lvlText w:val="•"/>
      <w:numFmt w:val="bullet"/>
      <w:start w:val="1"/>
    </w:lvl>
  </w:abstractNum>
  <w:abstractNum w:abstractNumId="109">
    <w:nsid w:val="178F7B67"/>
    <w:multiLevelType w:val="hybridMultilevel"/>
    <w:lvl w:ilvl="0">
      <w:lvlJc w:val="left"/>
      <w:lvlText w:val="(%1)"/>
      <w:numFmt w:val="decimal"/>
      <w:start w:val="1"/>
    </w:lvl>
  </w:abstractNum>
  <w:abstractNum w:abstractNumId="110">
    <w:nsid w:val="2421DFCF"/>
    <w:multiLevelType w:val="hybridMultilevel"/>
    <w:lvl w:ilvl="0">
      <w:lvlJc w:val="left"/>
      <w:lvlText w:val="(%1)"/>
      <w:numFmt w:val="decimal"/>
      <w:start w:val="9"/>
    </w:lvl>
  </w:abstractNum>
  <w:abstractNum w:abstractNumId="111">
    <w:nsid w:val="1565AC99"/>
    <w:multiLevelType w:val="hybridMultilevel"/>
    <w:lvl w:ilvl="0">
      <w:lvlJc w:val="left"/>
      <w:lvlText w:val="(%1)"/>
      <w:numFmt w:val="decimal"/>
      <w:start w:val="1"/>
    </w:lvl>
  </w:abstractNum>
  <w:abstractNum w:abstractNumId="112">
    <w:nsid w:val="19FB2650"/>
    <w:multiLevelType w:val="hybridMultilevel"/>
    <w:lvl w:ilvl="0">
      <w:lvlJc w:val="left"/>
      <w:lvlText w:val="•"/>
      <w:numFmt w:val="bullet"/>
      <w:start w:val="1"/>
    </w:lvl>
  </w:abstractNum>
  <w:abstractNum w:abstractNumId="113">
    <w:nsid w:val="5024DE5B"/>
    <w:multiLevelType w:val="hybridMultilevel"/>
    <w:lvl w:ilvl="0">
      <w:lvlJc w:val="left"/>
      <w:lvlText w:val="*"/>
      <w:numFmt w:val="bullet"/>
      <w:start w:val="1"/>
    </w:lvl>
    <w:lvl w:ilvl="1">
      <w:lvlJc w:val="left"/>
      <w:lvlText w:val="(%2)"/>
      <w:numFmt w:val="decimal"/>
      <w:start w:val="1"/>
    </w:lvl>
  </w:abstractNum>
  <w:abstractNum w:abstractNumId="114">
    <w:nsid w:val="168EFE17"/>
    <w:multiLevelType w:val="hybridMultilevel"/>
    <w:lvl w:ilvl="0">
      <w:lvlJc w:val="left"/>
      <w:lvlText w:val="(%1)"/>
      <w:numFmt w:val="decimal"/>
      <w:start w:val="3"/>
    </w:lvl>
  </w:abstractNum>
  <w:abstractNum w:abstractNumId="115">
    <w:nsid w:val="1036B29F"/>
    <w:multiLevelType w:val="hybridMultilevel"/>
    <w:lvl w:ilvl="0">
      <w:lvlJc w:val="left"/>
      <w:lvlText w:val="(%1)"/>
      <w:numFmt w:val="decimal"/>
      <w:start w:val="5"/>
    </w:lvl>
  </w:abstractNum>
  <w:abstractNum w:abstractNumId="116">
    <w:nsid w:val="1D206B8E"/>
    <w:multiLevelType w:val="hybridMultilevel"/>
    <w:lvl w:ilvl="0">
      <w:lvlJc w:val="left"/>
      <w:lvlText w:val="•"/>
      <w:numFmt w:val="bullet"/>
      <w:start w:val="1"/>
    </w:lvl>
  </w:abstractNum>
  <w:abstractNum w:abstractNumId="117">
    <w:nsid w:val="7934D3D4"/>
    <w:multiLevelType w:val="hybridMultilevel"/>
    <w:lvl w:ilvl="0">
      <w:lvlJc w:val="left"/>
      <w:lvlText w:val="•"/>
      <w:numFmt w:val="bullet"/>
      <w:start w:val="1"/>
    </w:lvl>
  </w:abstractNum>
  <w:abstractNum w:abstractNumId="118">
    <w:nsid w:val="1C65E98"/>
    <w:multiLevelType w:val="hybridMultilevel"/>
    <w:lvl w:ilvl="0">
      <w:lvlJc w:val="left"/>
      <w:lvlText w:val="•"/>
      <w:numFmt w:val="bullet"/>
      <w:start w:val="1"/>
    </w:lvl>
  </w:abstractNum>
  <w:abstractNum w:abstractNumId="119">
    <w:nsid w:val="1495E50A"/>
    <w:multiLevelType w:val="hybridMultilevel"/>
    <w:lvl w:ilvl="0">
      <w:lvlJc w:val="left"/>
      <w:lvlText w:val="•"/>
      <w:numFmt w:val="bullet"/>
      <w:start w:val="1"/>
    </w:lvl>
  </w:abstractNum>
  <w:abstractNum w:abstractNumId="120">
    <w:nsid w:val="F5BCF61"/>
    <w:multiLevelType w:val="hybridMultilevel"/>
    <w:lvl w:ilvl="0">
      <w:lvlJc w:val="left"/>
      <w:lvlText w:val="•"/>
      <w:numFmt w:val="bullet"/>
      <w:start w:val="1"/>
    </w:lvl>
  </w:abstractNum>
  <w:abstractNum w:abstractNumId="121">
    <w:nsid w:val="3B1DD403"/>
    <w:multiLevelType w:val="hybridMultilevel"/>
    <w:lvl w:ilvl="0">
      <w:lvlJc w:val="left"/>
      <w:lvlText w:val="•"/>
      <w:numFmt w:val="bullet"/>
      <w:start w:val="1"/>
    </w:lvl>
  </w:abstractNum>
  <w:abstractNum w:abstractNumId="122">
    <w:nsid w:val="530386D1"/>
    <w:multiLevelType w:val="hybridMultilevel"/>
    <w:lvl w:ilvl="0">
      <w:lvlJc w:val="left"/>
      <w:lvlText w:val="•"/>
      <w:numFmt w:val="bullet"/>
      <w:start w:val="1"/>
    </w:lvl>
  </w:abstractNum>
  <w:abstractNum w:abstractNumId="123">
    <w:nsid w:val="7525F2BC"/>
    <w:multiLevelType w:val="hybridMultilevel"/>
    <w:lvl w:ilvl="0">
      <w:lvlJc w:val="left"/>
      <w:lvlText w:val="•"/>
      <w:numFmt w:val="bullet"/>
      <w:start w:val="1"/>
    </w:lvl>
  </w:abstractNum>
  <w:abstractNum w:abstractNumId="124">
    <w:nsid w:val="CE8E1A7"/>
    <w:multiLevelType w:val="hybridMultilevel"/>
    <w:lvl w:ilvl="0">
      <w:lvlJc w:val="left"/>
      <w:lvlText w:val="(%1)"/>
      <w:numFmt w:val="lowerLetter"/>
      <w:start w:val="1"/>
    </w:lvl>
  </w:abstractNum>
  <w:abstractNum w:abstractNumId="125">
    <w:nsid w:val="4E9EFB0D"/>
    <w:multiLevelType w:val="hybridMultilevel"/>
    <w:lvl w:ilvl="0">
      <w:lvlJc w:val="left"/>
      <w:lvlText w:val="•"/>
      <w:numFmt w:val="bullet"/>
      <w:start w:val="1"/>
    </w:lvl>
  </w:abstractNum>
  <w:abstractNum w:abstractNumId="126">
    <w:nsid w:val="90802BE"/>
    <w:multiLevelType w:val="hybridMultilevel"/>
    <w:lvl w:ilvl="0">
      <w:lvlJc w:val="left"/>
      <w:lvlText w:val="%1."/>
      <w:numFmt w:val="upperLetter"/>
      <w:start w:val="1"/>
    </w:lvl>
  </w:abstractNum>
  <w:abstractNum w:abstractNumId="127">
    <w:nsid w:val="3266459B"/>
    <w:multiLevelType w:val="hybridMultilevel"/>
    <w:lvl w:ilvl="0">
      <w:lvlJc w:val="left"/>
      <w:lvlText w:val="%1."/>
      <w:numFmt w:val="upperLetter"/>
      <w:start w:val="1"/>
    </w:lvl>
  </w:abstractNum>
  <w:abstractNum w:abstractNumId="128">
    <w:nsid w:val="3F8B0CBF"/>
    <w:multiLevelType w:val="hybridMultilevel"/>
    <w:lvl w:ilvl="0">
      <w:lvlJc w:val="left"/>
      <w:lvlText w:val="(%1)"/>
      <w:numFmt w:val="lowerRoman"/>
      <w:start w:val="2"/>
    </w:lvl>
  </w:abstractNum>
  <w:abstractNum w:abstractNumId="129">
    <w:nsid w:val="37E203AB"/>
    <w:multiLevelType w:val="hybridMultilevel"/>
    <w:lvl w:ilvl="0">
      <w:lvlJc w:val="left"/>
      <w:lvlText w:val="(%1)"/>
      <w:numFmt w:val="decimal"/>
      <w:start w:val="1"/>
    </w:lvl>
  </w:abstractNum>
  <w:abstractNum w:abstractNumId="130">
    <w:nsid w:val="2586D60E"/>
    <w:multiLevelType w:val="hybridMultilevel"/>
    <w:lvl w:ilvl="0">
      <w:lvlJc w:val="left"/>
      <w:lvlText w:val="(%1)"/>
      <w:numFmt w:val="lowerRoman"/>
      <w:start w:val="2"/>
    </w:lvl>
  </w:abstractNum>
  <w:abstractNum w:abstractNumId="131">
    <w:nsid w:val="1F3DA4D5"/>
    <w:multiLevelType w:val="hybridMultilevel"/>
    <w:lvl w:ilvl="0">
      <w:lvlJc w:val="left"/>
      <w:lvlText w:val="%1"/>
      <w:numFmt w:val="decimal"/>
      <w:start w:val="1"/>
    </w:lvl>
    <w:lvl w:ilvl="1">
      <w:lvlJc w:val="left"/>
      <w:lvlText w:val="(%2)"/>
      <w:numFmt w:val="decimal"/>
      <w:start w:val="1"/>
    </w:lvl>
  </w:abstractNum>
  <w:abstractNum w:abstractNumId="132">
    <w:nsid w:val="74C93698"/>
    <w:multiLevelType w:val="hybridMultilevel"/>
    <w:lvl w:ilvl="0">
      <w:lvlJc w:val="left"/>
      <w:lvlText w:val="%1."/>
      <w:numFmt w:val="decimal"/>
      <w:start w:val="17"/>
    </w:lvl>
    <w:lvl w:ilvl="1">
      <w:lvlJc w:val="left"/>
      <w:lvlText w:val="%2"/>
      <w:numFmt w:val="decimal"/>
      <w:start w:val="1"/>
    </w:lvl>
  </w:abstractNum>
  <w:abstractNum w:abstractNumId="133">
    <w:nsid w:val="48781401"/>
    <w:multiLevelType w:val="hybridMultilevel"/>
    <w:lvl w:ilvl="0">
      <w:lvlJc w:val="left"/>
      <w:lvlText w:val="•"/>
      <w:numFmt w:val="bullet"/>
      <w:start w:val="1"/>
    </w:lvl>
  </w:abstractNum>
  <w:abstractNum w:abstractNumId="134">
    <w:nsid w:val="186928D6"/>
    <w:multiLevelType w:val="hybridMultilevel"/>
    <w:lvl w:ilvl="0">
      <w:lvlJc w:val="left"/>
      <w:lvlText w:val="•"/>
      <w:numFmt w:val="bullet"/>
      <w:start w:val="1"/>
    </w:lvl>
  </w:abstractNum>
  <w:abstractNum w:abstractNumId="135">
    <w:nsid w:val="47195E5"/>
    <w:multiLevelType w:val="hybridMultilevel"/>
    <w:lvl w:ilvl="0">
      <w:lvlJc w:val="left"/>
      <w:lvlText w:val="%1"/>
      <w:numFmt w:val="decimal"/>
      <w:start w:val="107"/>
    </w:lvl>
  </w:abstractNum>
  <w:abstractNum w:abstractNumId="136">
    <w:nsid w:val="3746A5F2"/>
    <w:multiLevelType w:val="hybridMultilevel"/>
    <w:lvl w:ilvl="0">
      <w:lvlJc w:val="left"/>
      <w:lvlText w:val="*"/>
      <w:numFmt w:val="bullet"/>
      <w:start w:val="1"/>
    </w:lvl>
  </w:abstractNum>
  <w:abstractNum w:abstractNumId="137">
    <w:nsid w:val="682DFED6"/>
    <w:multiLevelType w:val="hybridMultilevel"/>
    <w:lvl w:ilvl="0">
      <w:lvlJc w:val="left"/>
      <w:lvlText w:val="#"/>
      <w:numFmt w:val="bullet"/>
      <w:start w:val="1"/>
    </w:lvl>
  </w:abstractNum>
  <w:abstractNum w:abstractNumId="138">
    <w:nsid w:val="606ED7F6"/>
    <w:multiLevelType w:val="hybridMultilevel"/>
    <w:lvl w:ilvl="0">
      <w:lvlJc w:val="left"/>
      <w:lvlText w:val="†"/>
      <w:numFmt w:val="bullet"/>
      <w:start w:val="1"/>
    </w:lvl>
  </w:abstractNum>
  <w:abstractNum w:abstractNumId="139">
    <w:nsid w:val="2D9DF57D"/>
    <w:multiLevelType w:val="hybridMultilevel"/>
    <w:lvl w:ilvl="0">
      <w:lvlJc w:val="left"/>
      <w:lvlText w:val="+"/>
      <w:numFmt w:val="bullet"/>
      <w:start w:val="1"/>
    </w:lvl>
  </w:abstractNum>
  <w:abstractNum w:abstractNumId="140">
    <w:nsid w:val="7FBD7A3E"/>
    <w:multiLevelType w:val="hybridMultilevel"/>
    <w:lvl w:ilvl="0">
      <w:lvlJc w:val="left"/>
      <w:lvlText w:val="(%1)"/>
      <w:numFmt w:val="lowerLetter"/>
      <w:start w:val="1"/>
    </w:lvl>
  </w:abstractNum>
  <w:abstractNum w:abstractNumId="141">
    <w:nsid w:val="490B7C5"/>
    <w:multiLevelType w:val="hybridMultilevel"/>
    <w:lvl w:ilvl="0">
      <w:lvlJc w:val="left"/>
      <w:lvlText w:val="%1."/>
      <w:numFmt w:val="decimal"/>
      <w:start w:val="1"/>
    </w:lvl>
  </w:abstractNum>
  <w:abstractNum w:abstractNumId="142">
    <w:nsid w:val="4303A216"/>
    <w:multiLevelType w:val="hybridMultilevel"/>
    <w:lvl w:ilvl="0">
      <w:lvlJc w:val="left"/>
      <w:lvlText w:val="%1."/>
      <w:numFmt w:val="decimal"/>
      <w:start w:val="1"/>
    </w:lvl>
  </w:abstractNum>
  <w:abstractNum w:abstractNumId="143">
    <w:nsid w:val="19B8A08E"/>
    <w:multiLevelType w:val="hybridMultilevel"/>
    <w:lvl w:ilvl="0">
      <w:lvlJc w:val="left"/>
      <w:lvlText w:val="%1."/>
      <w:numFmt w:val="decimal"/>
      <w:start w:val="1"/>
    </w:lvl>
  </w:abstractNum>
  <w:abstractNum w:abstractNumId="144">
    <w:nsid w:val="54B59621"/>
    <w:multiLevelType w:val="hybridMultilevel"/>
    <w:lvl w:ilvl="0">
      <w:lvlJc w:val="left"/>
      <w:lvlText w:val="(%1)"/>
      <w:numFmt w:val="upperLetter"/>
      <w:start w:val="2"/>
    </w:lvl>
  </w:abstractNum>
  <w:abstractNum w:abstractNumId="145">
    <w:nsid w:val="5992A02E"/>
    <w:multiLevelType w:val="hybridMultilevel"/>
    <w:lvl w:ilvl="0">
      <w:lvlJc w:val="left"/>
      <w:lvlText w:val="%1."/>
      <w:numFmt w:val="decimal"/>
      <w:start w:val="2"/>
    </w:lvl>
  </w:abstractNum>
  <w:abstractNum w:abstractNumId="146">
    <w:nsid w:val="29EF532D"/>
    <w:multiLevelType w:val="hybridMultilevel"/>
    <w:lvl w:ilvl="0">
      <w:lvlJc w:val="left"/>
      <w:lvlText w:val="(%1)"/>
      <w:numFmt w:val="lowerLetter"/>
      <w:start w:val="1"/>
    </w:lvl>
    <w:lvl w:ilvl="1">
      <w:lvlJc w:val="left"/>
      <w:lvlText w:val="(%2)"/>
      <w:numFmt w:val="lowerRoman"/>
      <w:start w:val="1"/>
    </w:lvl>
  </w:abstractNum>
  <w:abstractNum w:abstractNumId="147">
    <w:nsid w:val="71D601AF"/>
    <w:multiLevelType w:val="hybridMultilevel"/>
    <w:lvl w:ilvl="0">
      <w:lvlJc w:val="left"/>
      <w:lvlText w:val="(%1)"/>
      <w:numFmt w:val="lowerLetter"/>
      <w:start w:val="1"/>
    </w:lvl>
    <w:lvl w:ilvl="1">
      <w:lvlJc w:val="left"/>
      <w:lvlText w:val="(%2)"/>
      <w:numFmt w:val="lowerLetter"/>
      <w:start w:val="9"/>
    </w:lvl>
  </w:abstractNum>
  <w:abstractNum w:abstractNumId="148">
    <w:nsid w:val="52C77402"/>
    <w:multiLevelType w:val="hybridMultilevel"/>
    <w:lvl w:ilvl="0">
      <w:lvlJc w:val="left"/>
      <w:lvlText w:val="%1"/>
      <w:numFmt w:val="lowerLetter"/>
      <w:start w:val="1"/>
    </w:lvl>
    <w:lvl w:ilvl="1">
      <w:lvlJc w:val="left"/>
      <w:lvlText w:val="(%2)"/>
      <w:numFmt w:val="lowerRoman"/>
      <w:start w:val="2"/>
    </w:lvl>
  </w:abstractNum>
  <w:abstractNum w:abstractNumId="149">
    <w:nsid w:val="2BB5B1C6"/>
    <w:multiLevelType w:val="hybridMultilevel"/>
    <w:lvl w:ilvl="0">
      <w:lvlJc w:val="left"/>
      <w:lvlText w:val="(%1)"/>
      <w:numFmt w:val="lowerLetter"/>
      <w:start w:val="4"/>
    </w:lvl>
    <w:lvl w:ilvl="1">
      <w:lvlJc w:val="left"/>
      <w:lvlText w:val="%2"/>
      <w:numFmt w:val="lowerRoman"/>
      <w:start w:val="1"/>
    </w:lvl>
  </w:abstractNum>
  <w:abstractNum w:abstractNumId="150">
    <w:nsid w:val="66BE6B9"/>
    <w:multiLevelType w:val="hybridMultilevel"/>
    <w:lvl w:ilvl="0">
      <w:lvlJc w:val="left"/>
      <w:lvlText w:val="%1."/>
      <w:numFmt w:val="decimal"/>
      <w:start w:val="3"/>
    </w:lvl>
  </w:abstractNum>
  <w:abstractNum w:abstractNumId="151">
    <w:nsid w:val="62234363"/>
    <w:multiLevelType w:val="hybridMultilevel"/>
    <w:lvl w:ilvl="0">
      <w:lvlJc w:val="left"/>
      <w:lvlText w:val="%1."/>
      <w:numFmt w:val="decimal"/>
      <w:start w:val="4"/>
    </w:lvl>
  </w:abstractNum>
  <w:abstractNum w:abstractNumId="152">
    <w:nsid w:val="66D385C9"/>
    <w:multiLevelType w:val="hybridMultilevel"/>
    <w:lvl w:ilvl="0">
      <w:lvlJc w:val="left"/>
      <w:lvlText w:val="(%1)"/>
      <w:numFmt w:val="lowerLetter"/>
      <w:start w:val="1"/>
    </w:lvl>
    <w:lvl w:ilvl="1">
      <w:lvlJc w:val="left"/>
      <w:lvlText w:val="(%2)"/>
      <w:numFmt w:val="lowerRoman"/>
      <w:start w:val="1"/>
    </w:lvl>
  </w:abstractNum>
  <w:abstractNum w:abstractNumId="153">
    <w:nsid w:val="596F6D8A"/>
    <w:multiLevelType w:val="hybridMultilevel"/>
    <w:lvl w:ilvl="0">
      <w:lvlJc w:val="left"/>
      <w:lvlText w:val="(%1)"/>
      <w:numFmt w:val="lowerLetter"/>
      <w:start w:val="1"/>
    </w:lvl>
  </w:abstractNum>
  <w:abstractNum w:abstractNumId="154">
    <w:nsid w:val="5749361F"/>
    <w:multiLevelType w:val="hybridMultilevel"/>
    <w:lvl w:ilvl="0">
      <w:lvlJc w:val="left"/>
      <w:lvlText w:val="%1"/>
      <w:numFmt w:val="decimal"/>
      <w:start w:val="1"/>
    </w:lvl>
    <w:lvl w:ilvl="1">
      <w:lvlJc w:val="left"/>
      <w:lvlText w:val="(%2)"/>
      <w:numFmt w:val="lowerLetter"/>
      <w:start w:val="2"/>
    </w:lvl>
  </w:abstractNum>
  <w:abstractNum w:abstractNumId="155">
    <w:nsid w:val="73BC6770"/>
    <w:multiLevelType w:val="hybridMultilevel"/>
    <w:lvl w:ilvl="0">
      <w:lvlJc w:val="left"/>
      <w:lvlText w:val="(%1)"/>
      <w:numFmt w:val="decimal"/>
      <w:start w:val="2"/>
    </w:lvl>
    <w:lvl w:ilvl="1">
      <w:lvlJc w:val="left"/>
      <w:lvlText w:val="(%2)"/>
      <w:numFmt w:val="lowerLetter"/>
      <w:start w:val="3"/>
    </w:lvl>
  </w:abstractNum>
  <w:abstractNum w:abstractNumId="156">
    <w:nsid w:val="280E6897"/>
    <w:multiLevelType w:val="hybridMultilevel"/>
    <w:lvl w:ilvl="0">
      <w:lvlJc w:val="left"/>
      <w:lvlText w:val="(%1)"/>
      <w:numFmt w:val="lowerLetter"/>
      <w:start w:val="5"/>
    </w:lvl>
  </w:abstractNum>
  <w:abstractNum w:abstractNumId="157">
    <w:nsid w:val="605138DE"/>
    <w:multiLevelType w:val="hybridMultilevel"/>
    <w:lvl w:ilvl="0">
      <w:lvlJc w:val="left"/>
      <w:lvlText w:val="(%1)"/>
      <w:numFmt w:val="lowerLetter"/>
      <w:start w:val="1"/>
    </w:lvl>
  </w:abstractNum>
  <w:abstractNum w:abstractNumId="158">
    <w:nsid w:val="2622AD0C"/>
    <w:multiLevelType w:val="hybridMultilevel"/>
    <w:lvl w:ilvl="0">
      <w:lvlJc w:val="left"/>
      <w:lvlText w:val="(%1)"/>
      <w:numFmt w:val="lowerLetter"/>
      <w:start w:val="2"/>
    </w:lvl>
  </w:abstractNum>
  <w:abstractNum w:abstractNumId="159">
    <w:nsid w:val="67997556"/>
    <w:multiLevelType w:val="hybridMultilevel"/>
    <w:lvl w:ilvl="0">
      <w:lvlJc w:val="left"/>
      <w:lvlText w:val="(%1)"/>
      <w:numFmt w:val="lowerLetter"/>
      <w:start w:val="1"/>
    </w:lvl>
    <w:lvl w:ilvl="1">
      <w:lvlJc w:val="left"/>
      <w:lvlText w:val="(%2)"/>
      <w:numFmt w:val="lowerLetter"/>
      <w:start w:val="9"/>
    </w:lvl>
  </w:abstractNum>
  <w:abstractNum w:abstractNumId="160">
    <w:nsid w:val="18333C89"/>
    <w:multiLevelType w:val="hybridMultilevel"/>
    <w:lvl w:ilvl="0">
      <w:lvlJc w:val="left"/>
      <w:lvlText w:val="%1"/>
      <w:numFmt w:val="lowerLetter"/>
      <w:start w:val="1"/>
    </w:lvl>
    <w:lvl w:ilvl="1">
      <w:lvlJc w:val="left"/>
      <w:lvlText w:val="(%2)"/>
      <w:numFmt w:val="lowerRoman"/>
      <w:start w:val="2"/>
    </w:lvl>
  </w:abstractNum>
  <w:abstractNum w:abstractNumId="161">
    <w:nsid w:val="4BA9831A"/>
    <w:multiLevelType w:val="hybridMultilevel"/>
    <w:lvl w:ilvl="0">
      <w:lvlJc w:val="left"/>
      <w:lvlText w:val="(%1)"/>
      <w:numFmt w:val="lowerLetter"/>
      <w:start w:val="2"/>
    </w:lvl>
    <w:lvl w:ilvl="1">
      <w:lvlJc w:val="left"/>
      <w:lvlText w:val="(%2)"/>
      <w:numFmt w:val="lowerRoman"/>
      <w:start w:val="1"/>
    </w:lvl>
  </w:abstractNum>
  <w:abstractNum w:abstractNumId="162">
    <w:nsid w:val="6D71A2B"/>
    <w:multiLevelType w:val="hybridMultilevel"/>
    <w:lvl w:ilvl="0">
      <w:lvlJc w:val="left"/>
      <w:lvlText w:val="(%1)"/>
      <w:numFmt w:val="decimal"/>
      <w:start w:val="1"/>
    </w:lvl>
  </w:abstractNum>
  <w:abstractNum w:abstractNumId="163">
    <w:nsid w:val="CFC7321"/>
    <w:multiLevelType w:val="hybridMultilevel"/>
    <w:lvl w:ilvl="0">
      <w:lvlJc w:val="left"/>
      <w:lvlText w:val="%1"/>
      <w:numFmt w:val="decimal"/>
      <w:start w:val="1"/>
    </w:lvl>
    <w:lvl w:ilvl="1">
      <w:lvlJc w:val="left"/>
      <w:lvlText w:val="(%2)"/>
      <w:numFmt w:val="lowerLetter"/>
      <w:start w:val="1"/>
    </w:lvl>
  </w:abstractNum>
  <w:abstractNum w:abstractNumId="164">
    <w:nsid w:val="1421971B"/>
    <w:multiLevelType w:val="hybridMultilevel"/>
    <w:lvl w:ilvl="0">
      <w:lvlJc w:val="left"/>
      <w:lvlText w:val="%1."/>
      <w:numFmt w:val="decimal"/>
      <w:start w:val="5"/>
    </w:lvl>
    <w:lvl w:ilvl="1">
      <w:lvlJc w:val="left"/>
      <w:lvlText w:val="%2"/>
      <w:numFmt w:val="lowerLetter"/>
      <w:start w:val="1"/>
    </w:lvl>
  </w:abstractNum>
  <w:abstractNum w:abstractNumId="165">
    <w:nsid w:val="1F404301"/>
    <w:multiLevelType w:val="hybridMultilevel"/>
    <w:lvl w:ilvl="0">
      <w:lvlJc w:val="left"/>
      <w:lvlText w:val="(%1)"/>
      <w:numFmt w:val="lowerLetter"/>
      <w:start w:val="2"/>
    </w:lvl>
  </w:abstractNum>
  <w:abstractNum w:abstractNumId="166">
    <w:nsid w:val="116E0907"/>
    <w:multiLevelType w:val="hybridMultilevel"/>
    <w:lvl w:ilvl="0">
      <w:lvlJc w:val="left"/>
      <w:lvlText w:val="(%1)"/>
      <w:numFmt w:val="lowerLetter"/>
      <w:start w:val="2"/>
    </w:lvl>
    <w:lvl w:ilvl="1">
      <w:lvlJc w:val="left"/>
      <w:lvlText w:val="%2."/>
      <w:numFmt w:val="decimal"/>
      <w:start w:val="6"/>
    </w:lvl>
  </w:abstractNum>
  <w:abstractNum w:abstractNumId="167">
    <w:nsid w:val="4B683D0D"/>
    <w:multiLevelType w:val="hybridMultilevel"/>
    <w:lvl w:ilvl="0">
      <w:lvlJc w:val="left"/>
      <w:lvlText w:val="%1."/>
      <w:numFmt w:val="decimal"/>
      <w:start w:val="1"/>
    </w:lvl>
  </w:abstractNum>
  <w:abstractNum w:abstractNumId="168">
    <w:nsid w:val="76E41D8"/>
    <w:multiLevelType w:val="hybridMultilevel"/>
    <w:lvl w:ilvl="0">
      <w:lvlJc w:val="left"/>
      <w:lvlText w:val="%1."/>
      <w:numFmt w:val="decimal"/>
      <w:start w:val="2"/>
    </w:lvl>
  </w:abstractNum>
  <w:abstractNum w:abstractNumId="169">
    <w:nsid w:val="71DCE0FD"/>
    <w:multiLevelType w:val="hybridMultilevel"/>
    <w:lvl w:ilvl="0">
      <w:lvlJc w:val="left"/>
      <w:lvlText w:val="%1."/>
      <w:numFmt w:val="decimal"/>
      <w:start w:val="3"/>
    </w:lvl>
  </w:abstractNum>
  <w:abstractNum w:abstractNumId="170">
    <w:nsid w:val="7906328B"/>
    <w:multiLevelType w:val="hybridMultilevel"/>
    <w:lvl w:ilvl="0">
      <w:lvlJc w:val="left"/>
      <w:lvlText w:val="%1."/>
      <w:numFmt w:val="decimal"/>
      <w:start w:val="4"/>
    </w:lvl>
    <w:lvl w:ilvl="1">
      <w:lvlJc w:val="left"/>
      <w:lvlText w:val="*"/>
      <w:numFmt w:val="bullet"/>
      <w:start w:val="1"/>
    </w:lvl>
  </w:abstractNum>
  <w:abstractNum w:abstractNumId="171">
    <w:nsid w:val="72BBC16"/>
    <w:multiLevelType w:val="hybridMultilevel"/>
    <w:lvl w:ilvl="0">
      <w:lvlJc w:val="left"/>
      <w:lvlText w:val="(%1)"/>
      <w:numFmt w:val="decimal"/>
      <w:start w:val="1"/>
    </w:lvl>
  </w:abstractNum>
  <w:abstractNum w:abstractNumId="172">
    <w:nsid w:val="766D98C2"/>
    <w:multiLevelType w:val="hybridMultilevel"/>
    <w:lvl w:ilvl="0">
      <w:lvlJc w:val="left"/>
      <w:lvlText w:val="(%1)"/>
      <w:numFmt w:val="lowerLetter"/>
      <w:start w:val="1"/>
    </w:lvl>
  </w:abstractNum>
  <w:abstractNum w:abstractNumId="173">
    <w:nsid w:val="3C09D4A1"/>
    <w:multiLevelType w:val="hybridMultilevel"/>
    <w:lvl w:ilvl="0">
      <w:lvlJc w:val="left"/>
      <w:lvlText w:val="(%1)"/>
      <w:numFmt w:val="lowerRoman"/>
      <w:start w:val="3"/>
    </w:lvl>
  </w:abstractNum>
  <w:abstractNum w:abstractNumId="174">
    <w:nsid w:val="20E45CA4"/>
    <w:multiLevelType w:val="hybridMultilevel"/>
    <w:lvl w:ilvl="0">
      <w:lvlJc w:val="left"/>
      <w:lvlText w:val="(%1)"/>
      <w:numFmt w:val="lowerRoman"/>
      <w:start w:val="12"/>
    </w:lvl>
  </w:abstractNum>
  <w:abstractNum w:abstractNumId="175">
    <w:nsid w:val="4B232EE3"/>
    <w:multiLevelType w:val="hybridMultilevel"/>
    <w:lvl w:ilvl="0">
      <w:lvlJc w:val="left"/>
      <w:lvlText w:val="(%1)"/>
      <w:numFmt w:val="lowerRoman"/>
      <w:start w:val="14"/>
    </w:lvl>
  </w:abstractNum>
  <w:abstractNum w:abstractNumId="176">
    <w:nsid w:val="159C74CF"/>
    <w:multiLevelType w:val="hybridMultilevel"/>
    <w:lvl w:ilvl="0">
      <w:lvlJc w:val="left"/>
      <w:lvlText w:val="(%1)"/>
      <w:numFmt w:val="lowerLetter"/>
      <w:start w:val="1"/>
    </w:lvl>
  </w:abstractNum>
  <w:abstractNum w:abstractNumId="177">
    <w:nsid w:val="4AD3AFD2"/>
    <w:multiLevelType w:val="hybridMultilevel"/>
    <w:lvl w:ilvl="0">
      <w:lvlJc w:val="left"/>
      <w:lvlText w:val="(%1)"/>
      <w:numFmt w:val="lowerLetter"/>
      <w:start w:val="2"/>
    </w:lvl>
  </w:abstractNum>
  <w:abstractNum w:abstractNumId="178">
    <w:nsid w:val="3CF93092"/>
    <w:multiLevelType w:val="hybridMultilevel"/>
    <w:lvl w:ilvl="0">
      <w:lvlJc w:val="left"/>
      <w:lvlText w:val="(%1)"/>
      <w:numFmt w:val="lowerLetter"/>
      <w:start w:val="1"/>
    </w:lvl>
  </w:abstractNum>
  <w:abstractNum w:abstractNumId="179">
    <w:nsid w:val="6863E8D2"/>
    <w:multiLevelType w:val="hybridMultilevel"/>
    <w:lvl w:ilvl="0">
      <w:lvlJc w:val="left"/>
      <w:lvlText w:val="(%1)"/>
      <w:numFmt w:val="lowerLetter"/>
      <w:start w:val="1"/>
    </w:lvl>
  </w:abstractNum>
  <w:abstractNum w:abstractNumId="180">
    <w:nsid w:val="76896198"/>
    <w:multiLevelType w:val="hybridMultilevel"/>
    <w:lvl w:ilvl="0">
      <w:lvlJc w:val="left"/>
      <w:lvlText w:val="(%1)"/>
      <w:numFmt w:val="lowerLetter"/>
      <w:start w:val="2"/>
    </w:lvl>
  </w:abstractNum>
  <w:abstractNum w:abstractNumId="181">
    <w:nsid w:val="4365174B"/>
    <w:multiLevelType w:val="hybridMultilevel"/>
    <w:lvl w:ilvl="0">
      <w:lvlJc w:val="left"/>
      <w:lvlText w:val="(%1)"/>
      <w:numFmt w:val="lowerLetter"/>
      <w:start w:val="1"/>
    </w:lvl>
  </w:abstractNum>
  <w:abstractNum w:abstractNumId="182">
    <w:nsid w:val="4A872C35"/>
    <w:multiLevelType w:val="hybridMultilevel"/>
    <w:lvl w:ilvl="0">
      <w:lvlJc w:val="left"/>
      <w:lvlText w:val="(%1)"/>
      <w:numFmt w:val="lowerLetter"/>
      <w:start w:val="4"/>
    </w:lvl>
  </w:abstractNum>
  <w:abstractNum w:abstractNumId="183">
    <w:nsid w:val="5D5CE761"/>
    <w:multiLevelType w:val="hybridMultilevel"/>
    <w:lvl w:ilvl="0">
      <w:lvlJc w:val="left"/>
      <w:lvlText w:val="(%1)"/>
      <w:numFmt w:val="lowerLetter"/>
      <w:start w:val="1"/>
    </w:lvl>
  </w:abstractNum>
  <w:abstractNum w:abstractNumId="184">
    <w:nsid w:val="1CD484D5"/>
    <w:multiLevelType w:val="hybridMultilevel"/>
    <w:lvl w:ilvl="0">
      <w:lvlJc w:val="left"/>
      <w:lvlText w:val="(%1)"/>
      <w:numFmt w:val="lowerLetter"/>
      <w:start w:val="1"/>
    </w:lvl>
  </w:abstractNum>
  <w:abstractNum w:abstractNumId="185">
    <w:nsid w:val="21D06255"/>
    <w:multiLevelType w:val="hybridMultilevel"/>
    <w:lvl w:ilvl="0">
      <w:lvlJc w:val="left"/>
      <w:lvlText w:val="(%1)"/>
      <w:numFmt w:val="lowerLetter"/>
      <w:start w:val="3"/>
    </w:lvl>
  </w:abstractNum>
  <w:abstractNum w:abstractNumId="186">
    <w:nsid w:val="51194ED1"/>
    <w:multiLevelType w:val="hybridMultilevel"/>
    <w:lvl w:ilvl="0">
      <w:lvlJc w:val="left"/>
      <w:lvlText w:val="%1"/>
      <w:numFmt w:val="decimal"/>
      <w:start w:val="1"/>
    </w:lvl>
    <w:lvl w:ilvl="1">
      <w:lvlJc w:val="left"/>
      <w:lvlText w:val="(%2)"/>
      <w:numFmt w:val="lowerLetter"/>
      <w:start w:val="1"/>
    </w:lvl>
  </w:abstractNum>
  <w:abstractNum w:abstractNumId="187">
    <w:nsid w:val="44E2ED6C"/>
    <w:multiLevelType w:val="hybridMultilevel"/>
    <w:lvl w:ilvl="0">
      <w:lvlJc w:val="left"/>
      <w:lvlText w:val="%1."/>
      <w:numFmt w:val="decimal"/>
      <w:start w:val="3"/>
    </w:lvl>
    <w:lvl w:ilvl="1">
      <w:lvlJc w:val="left"/>
      <w:lvlText w:val="%2"/>
      <w:numFmt w:val="lowerLetter"/>
      <w:start w:val="1"/>
    </w:lvl>
  </w:abstractNum>
  <w:abstractNum w:abstractNumId="188">
    <w:nsid w:val="2219B33"/>
    <w:multiLevelType w:val="hybridMultilevel"/>
    <w:lvl w:ilvl="0">
      <w:lvlJc w:val="left"/>
      <w:lvlText w:val="(%1)"/>
      <w:numFmt w:val="lowerLetter"/>
      <w:start w:val="1"/>
    </w:lvl>
  </w:abstractNum>
  <w:abstractNum w:abstractNumId="189">
    <w:nsid w:val="773BFBDD"/>
    <w:multiLevelType w:val="hybridMultilevel"/>
    <w:lvl w:ilvl="0">
      <w:lvlJc w:val="left"/>
      <w:lvlText w:val="(%1)"/>
      <w:numFmt w:val="lowerLetter"/>
      <w:start w:val="4"/>
    </w:lvl>
  </w:abstractNum>
  <w:abstractNum w:abstractNumId="190">
    <w:nsid w:val="2C7C62C2"/>
    <w:multiLevelType w:val="hybridMultilevel"/>
    <w:lvl w:ilvl="0">
      <w:lvlJc w:val="left"/>
      <w:lvlText w:val="%1."/>
      <w:numFmt w:val="decimal"/>
      <w:start w:val="4"/>
    </w:lvl>
  </w:abstractNum>
  <w:abstractNum w:abstractNumId="191">
    <w:nsid w:val="1A54D7BC"/>
    <w:multiLevelType w:val="hybridMultilevel"/>
    <w:lvl w:ilvl="0">
      <w:lvlJc w:val="left"/>
      <w:lvlText w:val="%1"/>
      <w:numFmt w:val="decimal"/>
      <w:start w:val="1"/>
    </w:lvl>
    <w:lvl w:ilvl="1">
      <w:lvlJc w:val="left"/>
      <w:lvlText w:val="(%2)"/>
      <w:numFmt w:val="lowerLetter"/>
      <w:start w:val="1"/>
    </w:lvl>
  </w:abstractNum>
  <w:abstractNum w:abstractNumId="192">
    <w:nsid w:val="42E57EF7"/>
    <w:multiLevelType w:val="hybridMultilevel"/>
    <w:lvl w:ilvl="0">
      <w:lvlJc w:val="left"/>
      <w:lvlText w:val="(%1)"/>
      <w:numFmt w:val="decimal"/>
      <w:start w:val="90"/>
    </w:lvl>
    <w:lvl w:ilvl="1">
      <w:lvlJc w:val="left"/>
      <w:lvlText w:val="(%2)"/>
      <w:numFmt w:val="lowerLetter"/>
      <w:start w:val="4"/>
    </w:lvl>
  </w:abstractNum>
  <w:abstractNum w:abstractNumId="193">
    <w:nsid w:val="33537CED"/>
    <w:multiLevelType w:val="hybridMultilevel"/>
    <w:lvl w:ilvl="0">
      <w:lvlJc w:val="left"/>
      <w:lvlText w:val="%1."/>
      <w:numFmt w:val="decimal"/>
      <w:start w:val="5"/>
    </w:lvl>
  </w:abstractNum>
  <w:abstractNum w:abstractNumId="194">
    <w:nsid w:val="27514ADE"/>
    <w:multiLevelType w:val="hybridMultilevel"/>
    <w:lvl w:ilvl="0">
      <w:lvlJc w:val="left"/>
      <w:lvlText w:val="(%1)"/>
      <w:numFmt w:val="lowerLetter"/>
      <w:start w:val="1"/>
    </w:lvl>
  </w:abstractNum>
  <w:abstractNum w:abstractNumId="195">
    <w:nsid w:val="57071613"/>
    <w:multiLevelType w:val="hybridMultilevel"/>
    <w:lvl w:ilvl="0">
      <w:lvlJc w:val="left"/>
      <w:lvlText w:val="(%1)"/>
      <w:numFmt w:val="lowerLetter"/>
      <w:start w:val="1"/>
    </w:lvl>
  </w:abstractNum>
  <w:abstractNum w:abstractNumId="196">
    <w:nsid w:val="5293BFEF"/>
    <w:multiLevelType w:val="hybridMultilevel"/>
    <w:lvl w:ilvl="0">
      <w:lvlJc w:val="left"/>
      <w:lvlText w:val="%1."/>
      <w:numFmt w:val="decimal"/>
      <w:start w:val="6"/>
    </w:lvl>
  </w:abstractNum>
  <w:abstractNum w:abstractNumId="197">
    <w:nsid w:val="38BF53E5"/>
    <w:multiLevelType w:val="hybridMultilevel"/>
    <w:lvl w:ilvl="0">
      <w:lvlJc w:val="left"/>
      <w:lvlText w:val="(%1)"/>
      <w:numFmt w:val="lowerLetter"/>
      <w:start w:val="1"/>
    </w:lvl>
  </w:abstractNum>
  <w:abstractNum w:abstractNumId="198">
    <w:nsid w:val="226F5320"/>
    <w:multiLevelType w:val="hybridMultilevel"/>
    <w:lvl w:ilvl="0">
      <w:lvlJc w:val="left"/>
      <w:lvlText w:val="(%1)"/>
      <w:numFmt w:val="lowerLetter"/>
      <w:start w:val="1"/>
    </w:lvl>
  </w:abstractNum>
  <w:abstractNum w:abstractNumId="199">
    <w:nsid w:val="5A0201C7"/>
    <w:multiLevelType w:val="hybridMultilevel"/>
    <w:lvl w:ilvl="0">
      <w:lvlJc w:val="left"/>
      <w:lvlText w:val="(%1)"/>
      <w:numFmt w:val="lowerLetter"/>
      <w:start w:val="1"/>
    </w:lvl>
  </w:abstractNum>
  <w:abstractNum w:abstractNumId="200">
    <w:nsid w:val="2A9C34E2"/>
    <w:multiLevelType w:val="hybridMultilevel"/>
    <w:lvl w:ilvl="0">
      <w:lvlJc w:val="left"/>
      <w:lvlText w:val="(%1)"/>
      <w:numFmt w:val="lowerLetter"/>
      <w:start w:val="1"/>
    </w:lvl>
  </w:abstractNum>
  <w:abstractNum w:abstractNumId="201">
    <w:nsid w:val="1B7585AB"/>
    <w:multiLevelType w:val="hybridMultilevel"/>
    <w:lvl w:ilvl="0">
      <w:lvlJc w:val="left"/>
      <w:lvlText w:val="(%1)"/>
      <w:numFmt w:val="lowerLetter"/>
      <w:start w:val="1"/>
    </w:lvl>
  </w:abstractNum>
  <w:abstractNum w:abstractNumId="202">
    <w:nsid w:val="612DBDDD"/>
    <w:multiLevelType w:val="hybridMultilevel"/>
    <w:lvl w:ilvl="0">
      <w:lvlJc w:val="left"/>
      <w:lvlText w:val="(%1)"/>
      <w:numFmt w:val="lowerLetter"/>
      <w:start w:val="1"/>
    </w:lvl>
  </w:abstractNum>
  <w:abstractNum w:abstractNumId="203">
    <w:nsid w:val="2109CDA4"/>
    <w:multiLevelType w:val="hybridMultilevel"/>
    <w:lvl w:ilvl="0">
      <w:lvlJc w:val="left"/>
      <w:lvlText w:val="(%1)"/>
      <w:numFmt w:val="decimal"/>
      <w:start w:val="1"/>
    </w:lvl>
  </w:abstractNum>
  <w:abstractNum w:abstractNumId="204">
    <w:nsid w:val="577F5A4D"/>
    <w:multiLevelType w:val="hybridMultilevel"/>
    <w:lvl w:ilvl="0">
      <w:lvlJc w:val="left"/>
      <w:lvlText w:val="(%1)"/>
      <w:numFmt w:val="decimal"/>
      <w:start w:val="3"/>
    </w:lvl>
  </w:abstractNum>
  <w:abstractNum w:abstractNumId="205">
    <w:nsid w:val="2121A81"/>
    <w:multiLevelType w:val="hybridMultilevel"/>
    <w:lvl w:ilvl="0">
      <w:lvlJc w:val="left"/>
      <w:lvlText w:val="(%1)"/>
      <w:numFmt w:val="lowerLetter"/>
      <w:start w:val="1"/>
    </w:lvl>
  </w:abstractNum>
  <w:abstractNum w:abstractNumId="206">
    <w:nsid w:val="6C2CFC88"/>
    <w:multiLevelType w:val="hybridMultilevel"/>
    <w:lvl w:ilvl="0">
      <w:lvlJc w:val="left"/>
      <w:lvlText w:val="%1"/>
      <w:numFmt w:val="lowerLetter"/>
      <w:start w:val="1"/>
    </w:lvl>
    <w:lvl w:ilvl="1">
      <w:lvlJc w:val="left"/>
      <w:lvlText w:val="(%2)"/>
      <w:numFmt w:val="lowerLetter"/>
      <w:start w:val="1"/>
    </w:lvl>
  </w:abstractNum>
  <w:abstractNum w:abstractNumId="207">
    <w:nsid w:val="6D1BCF1C"/>
    <w:multiLevelType w:val="hybridMultilevel"/>
    <w:lvl w:ilvl="0">
      <w:lvlJc w:val="left"/>
      <w:lvlText w:val="(%1)"/>
      <w:numFmt w:val="lowerLetter"/>
      <w:start w:val="35"/>
    </w:lvl>
    <w:lvl w:ilvl="1">
      <w:lvlJc w:val="left"/>
      <w:lvlText w:val="(%2)"/>
      <w:numFmt w:val="lowerLetter"/>
      <w:start w:val="2"/>
    </w:lvl>
  </w:abstractNum>
  <w:abstractNum w:abstractNumId="208">
    <w:nsid w:val="4CE5CA53"/>
    <w:multiLevelType w:val="hybridMultilevel"/>
    <w:lvl w:ilvl="0">
      <w:lvlJc w:val="left"/>
      <w:lvlText w:val="%1."/>
      <w:numFmt w:val="decimal"/>
      <w:start w:val="2"/>
    </w:lvl>
  </w:abstractNum>
  <w:abstractNum w:abstractNumId="209">
    <w:nsid w:val="29262D1A"/>
    <w:multiLevelType w:val="hybridMultilevel"/>
    <w:lvl w:ilvl="0">
      <w:lvlJc w:val="left"/>
      <w:lvlText w:val="%1."/>
      <w:numFmt w:val="decimal"/>
      <w:start w:val="3"/>
    </w:lvl>
  </w:abstractNum>
  <w:abstractNum w:abstractNumId="210">
    <w:nsid w:val="557FB7EE"/>
    <w:multiLevelType w:val="hybridMultilevel"/>
    <w:lvl w:ilvl="0">
      <w:lvlJc w:val="left"/>
      <w:lvlText w:val="%1."/>
      <w:numFmt w:val="decimal"/>
      <w:start w:val="1"/>
    </w:lvl>
    <w:lvl w:ilvl="1">
      <w:lvlJc w:val="left"/>
      <w:lvlText w:val="(%2)"/>
      <w:numFmt w:val="lowerLetter"/>
      <w:start w:val="1"/>
    </w:lvl>
  </w:abstractNum>
  <w:abstractNum w:abstractNumId="211">
    <w:nsid w:val="436F2BEB"/>
    <w:multiLevelType w:val="hybridMultilevel"/>
    <w:lvl w:ilvl="0">
      <w:lvlJc w:val="left"/>
      <w:lvlText w:val="%1."/>
      <w:numFmt w:val="decimal"/>
      <w:start w:val="1"/>
    </w:lvl>
  </w:abstractNum>
  <w:abstractNum w:abstractNumId="212">
    <w:nsid w:val="6C8B4466"/>
    <w:multiLevelType w:val="hybridMultilevel"/>
    <w:lvl w:ilvl="0">
      <w:lvlJc w:val="left"/>
      <w:lvlText w:val="(%1)"/>
      <w:numFmt w:val="lowerLetter"/>
      <w:start w:val="1"/>
    </w:lvl>
  </w:abstractNum>
  <w:abstractNum w:abstractNumId="213">
    <w:nsid w:val="2006E424"/>
    <w:multiLevelType w:val="hybridMultilevel"/>
    <w:lvl w:ilvl="0">
      <w:lvlJc w:val="left"/>
      <w:lvlText w:val="(%1)"/>
      <w:numFmt w:val="lowerLetter"/>
      <w:start w:val="2"/>
    </w:lvl>
  </w:abstractNum>
  <w:abstractNum w:abstractNumId="214">
    <w:nsid w:val="20CC134C"/>
    <w:multiLevelType w:val="hybridMultilevel"/>
    <w:lvl w:ilvl="0">
      <w:lvlJc w:val="left"/>
      <w:lvlText w:val="(%1)"/>
      <w:numFmt w:val="lowerLetter"/>
      <w:start w:val="4"/>
    </w:lvl>
  </w:abstractNum>
  <w:abstractNum w:abstractNumId="215">
    <w:nsid w:val="95FC93B"/>
    <w:multiLevelType w:val="hybridMultilevel"/>
    <w:lvl w:ilvl="0">
      <w:lvlJc w:val="left"/>
      <w:lvlText w:val="(%1)"/>
      <w:numFmt w:val="lowerRoman"/>
      <w:start w:val="4"/>
    </w:lvl>
  </w:abstractNum>
  <w:abstractNum w:abstractNumId="216">
    <w:nsid w:val="41D74679"/>
    <w:multiLevelType w:val="hybridMultilevel"/>
    <w:lvl w:ilvl="0">
      <w:lvlJc w:val="left"/>
      <w:lvlText w:val="(%1)"/>
      <w:numFmt w:val="lowerLetter"/>
      <w:start w:val="5"/>
    </w:lvl>
    <w:lvl w:ilvl="1">
      <w:lvlJc w:val="left"/>
      <w:lvlText w:val="(%2)"/>
      <w:numFmt w:val="lowerRoman"/>
      <w:start w:val="1"/>
    </w:lvl>
  </w:abstractNum>
  <w:abstractNum w:abstractNumId="217">
    <w:nsid w:val="71E5621E"/>
    <w:multiLevelType w:val="hybridMultilevel"/>
    <w:lvl w:ilvl="0">
      <w:lvlJc w:val="left"/>
      <w:lvlText w:val="%1"/>
      <w:numFmt w:val="decimal"/>
      <w:start w:val="1"/>
    </w:lvl>
    <w:lvl w:ilvl="1">
      <w:lvlJc w:val="left"/>
      <w:lvlText w:val="(%2)"/>
      <w:numFmt w:val="lowerLetter"/>
      <w:start w:val="6"/>
    </w:lvl>
  </w:abstractNum>
  <w:abstractNum w:abstractNumId="218">
    <w:nsid w:val="4E42B6A8"/>
    <w:multiLevelType w:val="hybridMultilevel"/>
    <w:lvl w:ilvl="0">
      <w:lvlJc w:val="left"/>
      <w:lvlText w:val="%1."/>
      <w:numFmt w:val="decimal"/>
      <w:start w:val="2"/>
    </w:lvl>
    <w:lvl w:ilvl="1">
      <w:lvlJc w:val="left"/>
      <w:lvlText w:val="%2"/>
      <w:numFmt w:val="lowerLetter"/>
      <w:start w:val="1"/>
    </w:lvl>
  </w:abstractNum>
  <w:abstractNum w:abstractNumId="219">
    <w:nsid w:val="43F8E1AC"/>
    <w:multiLevelType w:val="hybridMultilevel"/>
    <w:lvl w:ilvl="0">
      <w:lvlJc w:val="left"/>
      <w:lvlText w:val="%1."/>
      <w:numFmt w:val="decimal"/>
      <w:start w:val="3"/>
    </w:lvl>
    <w:lvl w:ilvl="1">
      <w:lvlJc w:val="left"/>
      <w:lvlText w:val="(%2)"/>
      <w:numFmt w:val="lowerLetter"/>
      <w:start w:val="1"/>
    </w:lvl>
  </w:abstractNum>
  <w:abstractNum w:abstractNumId="220">
    <w:nsid w:val="69215DFB"/>
    <w:multiLevelType w:val="hybridMultilevel"/>
    <w:lvl w:ilvl="0">
      <w:lvlJc w:val="left"/>
      <w:lvlText w:val="%1."/>
      <w:numFmt w:val="decimal"/>
      <w:start w:val="5"/>
    </w:lvl>
    <w:lvl w:ilvl="1">
      <w:lvlJc w:val="left"/>
      <w:lvlText w:val="(%2)"/>
      <w:numFmt w:val="lowerLetter"/>
      <w:start w:val="1"/>
    </w:lvl>
  </w:abstractNum>
  <w:abstractNum w:abstractNumId="221">
    <w:nsid w:val="7ABF196A"/>
    <w:multiLevelType w:val="hybridMultilevel"/>
    <w:lvl w:ilvl="0">
      <w:lvlJc w:val="left"/>
      <w:lvlText w:val="%1."/>
      <w:numFmt w:val="decimal"/>
      <w:start w:val="1"/>
    </w:lvl>
  </w:abstractNum>
  <w:abstractNum w:abstractNumId="222">
    <w:nsid w:val="5E4DB968"/>
    <w:multiLevelType w:val="hybridMultilevel"/>
    <w:lvl w:ilvl="0">
      <w:lvlJc w:val="left"/>
      <w:lvlText w:val="(%1)"/>
      <w:numFmt w:val="lowerLetter"/>
      <w:start w:val="4"/>
    </w:lvl>
  </w:abstractNum>
  <w:abstractNum w:abstractNumId="223">
    <w:nsid w:val="2C06DCF3"/>
    <w:multiLevelType w:val="hybridMultilevel"/>
    <w:lvl w:ilvl="0">
      <w:lvlJc w:val="left"/>
      <w:lvlText w:val="(%1)"/>
      <w:numFmt w:val="decimal"/>
      <w:start w:val="1"/>
    </w:lvl>
  </w:abstractNum>
  <w:abstractNum w:abstractNumId="224">
    <w:nsid w:val="2E129658"/>
    <w:multiLevelType w:val="hybridMultilevel"/>
    <w:lvl w:ilvl="0">
      <w:lvlJc w:val="left"/>
      <w:lvlText w:val="(%1)"/>
      <w:numFmt w:val="decimal"/>
      <w:start w:val="2"/>
    </w:lvl>
  </w:abstractNum>
  <w:abstractNum w:abstractNumId="225">
    <w:nsid w:val="59F0446"/>
    <w:multiLevelType w:val="hybridMultilevel"/>
    <w:lvl w:ilvl="0">
      <w:lvlJc w:val="left"/>
      <w:lvlText w:val="%1."/>
      <w:numFmt w:val="decimal"/>
      <w:start w:val="2"/>
    </w:lvl>
  </w:abstractNum>
  <w:abstractNum w:abstractNumId="226">
    <w:nsid w:val="30DF306"/>
    <w:multiLevelType w:val="hybridMultilevel"/>
    <w:lvl w:ilvl="0">
      <w:lvlJc w:val="left"/>
      <w:lvlText w:val="%1."/>
      <w:numFmt w:val="decimal"/>
      <w:start w:val="3"/>
    </w:lvl>
  </w:abstractNum>
  <w:abstractNum w:abstractNumId="227">
    <w:nsid w:val="A65647"/>
    <w:multiLevelType w:val="hybridMultilevel"/>
    <w:lvl w:ilvl="0">
      <w:lvlJc w:val="left"/>
      <w:lvlText w:val="(%1)"/>
      <w:numFmt w:val="lowerLetter"/>
      <w:start w:val="1"/>
    </w:lvl>
  </w:abstractNum>
  <w:abstractNum w:abstractNumId="228">
    <w:nsid w:val="3E5E582B"/>
    <w:multiLevelType w:val="hybridMultilevel"/>
    <w:lvl w:ilvl="0">
      <w:lvlJc w:val="left"/>
      <w:lvlText w:val="%1."/>
      <w:numFmt w:val="decimal"/>
      <w:start w:val="4"/>
    </w:lvl>
  </w:abstractNum>
  <w:abstractNum w:abstractNumId="229">
    <w:nsid w:val="257D4626"/>
    <w:multiLevelType w:val="hybridMultilevel"/>
    <w:lvl w:ilvl="0">
      <w:lvlJc w:val="left"/>
      <w:lvlText w:val="(%1)"/>
      <w:numFmt w:val="lowerLetter"/>
      <w:start w:val="1"/>
    </w:lvl>
  </w:abstractNum>
  <w:abstractNum w:abstractNumId="230">
    <w:nsid w:val="5AA8580E"/>
    <w:multiLevelType w:val="hybridMultilevel"/>
    <w:lvl w:ilvl="0">
      <w:lvlJc w:val="left"/>
      <w:lvlText w:val="%1."/>
      <w:numFmt w:val="decimal"/>
      <w:start w:val="5"/>
    </w:lvl>
  </w:abstractNum>
  <w:abstractNum w:abstractNumId="231">
    <w:nsid w:val="68FA8D0D"/>
    <w:multiLevelType w:val="hybridMultilevel"/>
    <w:lvl w:ilvl="0">
      <w:lvlJc w:val="left"/>
      <w:lvlText w:val="%1."/>
      <w:numFmt w:val="decimal"/>
      <w:start w:val="6"/>
    </w:lvl>
  </w:abstractNum>
  <w:abstractNum w:abstractNumId="232">
    <w:nsid w:val="40F2CB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3">
    <w:nsid w:val="3BD615EB"/>
    <w:multiLevelType w:val="hybridMultilevel"/>
    <w:lvl w:ilvl="0">
      <w:lvlJc w:val="left"/>
      <w:lvlText w:val="%1."/>
      <w:numFmt w:val="decimal"/>
      <w:start w:val="7"/>
    </w:lvl>
  </w:abstractNum>
  <w:abstractNum w:abstractNumId="234">
    <w:nsid w:val="A045AB2"/>
    <w:multiLevelType w:val="hybridMultilevel"/>
    <w:lvl w:ilvl="0">
      <w:lvlJc w:val="left"/>
      <w:lvlText w:val="(%1)"/>
      <w:numFmt w:val="lowerLetter"/>
      <w:start w:val="1"/>
    </w:lvl>
  </w:abstractNum>
  <w:abstractNum w:abstractNumId="235">
    <w:nsid w:val="1872261F"/>
    <w:multiLevelType w:val="hybridMultilevel"/>
    <w:lvl w:ilvl="0">
      <w:lvlJc w:val="left"/>
      <w:lvlText w:val="%1."/>
      <w:numFmt w:val="decimal"/>
      <w:start w:val="8"/>
    </w:lvl>
  </w:abstractNum>
  <w:abstractNum w:abstractNumId="236">
    <w:nsid w:val="3DE8306C"/>
    <w:multiLevelType w:val="hybridMultilevel"/>
    <w:lvl w:ilvl="0">
      <w:lvlJc w:val="left"/>
      <w:lvlText w:val="(%1)"/>
      <w:numFmt w:val="decimal"/>
      <w:start w:val="3"/>
    </w:lvl>
    <w:lvl w:ilvl="1">
      <w:lvlJc w:val="left"/>
      <w:lvlText w:val="%2."/>
      <w:numFmt w:val="decimal"/>
      <w:start w:val="9"/>
    </w:lvl>
  </w:abstractNum>
  <w:abstractNum w:abstractNumId="237">
    <w:nsid w:val="7631573A"/>
    <w:multiLevelType w:val="hybridMultilevel"/>
    <w:lvl w:ilvl="0">
      <w:lvlJc w:val="left"/>
      <w:lvlText w:val="(%1)"/>
      <w:numFmt w:val="lowerLetter"/>
      <w:start w:val="7"/>
    </w:lvl>
  </w:abstractNum>
  <w:abstractNum w:abstractNumId="238">
    <w:nsid w:val="58DF53B"/>
    <w:multiLevelType w:val="hybridMultilevel"/>
    <w:lvl w:ilvl="0">
      <w:lvlJc w:val="left"/>
      <w:lvlText w:val="%1."/>
      <w:numFmt w:val="decimal"/>
      <w:start w:val="10"/>
    </w:lvl>
  </w:abstractNum>
  <w:abstractNum w:abstractNumId="239">
    <w:nsid w:val="ACDFAC0"/>
    <w:multiLevelType w:val="hybridMultilevel"/>
    <w:lvl w:ilvl="0">
      <w:lvlJc w:val="left"/>
      <w:lvlText w:val="%1."/>
      <w:numFmt w:val="decimal"/>
      <w:start w:val="11"/>
    </w:lvl>
  </w:abstractNum>
  <w:abstractNum w:abstractNumId="240">
    <w:nsid w:val="1F578454"/>
    <w:multiLevelType w:val="hybridMultilevel"/>
    <w:lvl w:ilvl="0">
      <w:lvlJc w:val="left"/>
      <w:lvlText w:val="%1."/>
      <w:numFmt w:val="decimal"/>
      <w:start w:val="12"/>
    </w:lvl>
  </w:abstractNum>
  <w:abstractNum w:abstractNumId="241">
    <w:nsid w:val="5B0DAD2A"/>
    <w:multiLevelType w:val="hybridMultilevel"/>
    <w:lvl w:ilvl="0">
      <w:lvlJc w:val="left"/>
      <w:lvlText w:val="%1."/>
      <w:numFmt w:val="decimal"/>
      <w:start w:val="13"/>
    </w:lvl>
  </w:abstractNum>
  <w:abstractNum w:abstractNumId="242">
    <w:nsid w:val="4E3D26AB"/>
    <w:multiLevelType w:val="hybridMultilevel"/>
    <w:lvl w:ilvl="0">
      <w:lvlJc w:val="left"/>
      <w:lvlText w:val="(%1)"/>
      <w:numFmt w:val="lowerLetter"/>
      <w:start w:val="1"/>
    </w:lvl>
  </w:abstractNum>
  <w:abstractNum w:abstractNumId="243">
    <w:nsid w:val="BE2C8BA"/>
    <w:multiLevelType w:val="hybridMultilevel"/>
    <w:lvl w:ilvl="0">
      <w:lvlJc w:val="left"/>
      <w:lvlText w:val="(%1)"/>
      <w:numFmt w:val="lowerLetter"/>
      <w:start w:val="4"/>
    </w:lvl>
  </w:abstractNum>
  <w:abstractNum w:abstractNumId="244">
    <w:nsid w:val="7B14914E"/>
    <w:multiLevelType w:val="hybridMultilevel"/>
    <w:lvl w:ilvl="0">
      <w:lvlJc w:val="left"/>
      <w:lvlText w:val="%1."/>
      <w:numFmt w:val="decimal"/>
      <w:start w:val="14"/>
    </w:lvl>
  </w:abstractNum>
  <w:abstractNum w:abstractNumId="245">
    <w:nsid w:val="6F0939F8"/>
    <w:multiLevelType w:val="hybridMultilevel"/>
    <w:lvl w:ilvl="0">
      <w:lvlJc w:val="left"/>
      <w:lvlText w:val="(%1)"/>
      <w:numFmt w:val="lowerLetter"/>
      <w:start w:val="1"/>
    </w:lvl>
  </w:abstractNum>
  <w:abstractNum w:abstractNumId="246">
    <w:nsid w:val="154291F6"/>
    <w:multiLevelType w:val="hybridMultilevel"/>
    <w:lvl w:ilvl="0">
      <w:lvlJc w:val="left"/>
      <w:lvlText w:val="%1."/>
      <w:numFmt w:val="decimal"/>
      <w:start w:val="15"/>
    </w:lvl>
  </w:abstractNum>
  <w:abstractNum w:abstractNumId="247">
    <w:nsid w:val="3CEBD7C7"/>
    <w:multiLevelType w:val="hybridMultilevel"/>
    <w:lvl w:ilvl="0">
      <w:lvlJc w:val="left"/>
      <w:lvlText w:val="(%1)"/>
      <w:numFmt w:val="lowerLetter"/>
      <w:start w:val="1"/>
    </w:lvl>
    <w:lvl w:ilvl="1">
      <w:lvlJc w:val="left"/>
      <w:lvlText w:val="(%2)"/>
      <w:numFmt w:val="lowerRoman"/>
      <w:start w:val="1"/>
    </w:lvl>
  </w:abstractNum>
  <w:abstractNum w:abstractNumId="248">
    <w:nsid w:val="60EE9C16"/>
    <w:multiLevelType w:val="hybridMultilevel"/>
    <w:lvl w:ilvl="0">
      <w:lvlJc w:val="left"/>
      <w:lvlText w:val="%1."/>
      <w:numFmt w:val="decimal"/>
      <w:start w:val="16"/>
    </w:lvl>
  </w:abstractNum>
  <w:abstractNum w:abstractNumId="249">
    <w:nsid w:val="6385489E"/>
    <w:multiLevelType w:val="hybridMultilevel"/>
    <w:lvl w:ilvl="0">
      <w:lvlJc w:val="left"/>
      <w:lvlText w:val="(%1)"/>
      <w:numFmt w:val="lowerLetter"/>
      <w:start w:val="1"/>
    </w:lvl>
    <w:lvl w:ilvl="1">
      <w:lvlJc w:val="left"/>
      <w:lvlText w:val="(%2)"/>
      <w:numFmt w:val="lowerLetter"/>
      <w:start w:val="9"/>
    </w:lvl>
  </w:abstractNum>
  <w:abstractNum w:abstractNumId="250">
    <w:nsid w:val="E4B973"/>
    <w:multiLevelType w:val="hybridMultilevel"/>
    <w:lvl w:ilvl="0">
      <w:lvlJc w:val="left"/>
      <w:lvlText w:val="%1"/>
      <w:numFmt w:val="lowerLetter"/>
      <w:start w:val="1"/>
    </w:lvl>
    <w:lvl w:ilvl="1">
      <w:lvlJc w:val="left"/>
      <w:lvlText w:val="(%2)"/>
      <w:numFmt w:val="lowerLetter"/>
      <w:start w:val="35"/>
    </w:lvl>
  </w:abstractNum>
  <w:abstractNum w:abstractNumId="251">
    <w:nsid w:val="4A0FFA11"/>
    <w:multiLevelType w:val="hybridMultilevel"/>
    <w:lvl w:ilvl="0">
      <w:lvlJc w:val="left"/>
      <w:lvlText w:val="(%1)"/>
      <w:numFmt w:val="lowerLetter"/>
      <w:start w:val="2"/>
    </w:lvl>
    <w:lvl w:ilvl="1">
      <w:lvlJc w:val="left"/>
      <w:lvlText w:val="%2"/>
      <w:numFmt w:val="lowerLetter"/>
      <w:start w:val="1"/>
    </w:lvl>
  </w:abstractNum>
  <w:abstractNum w:abstractNumId="252">
    <w:nsid w:val="5E446208"/>
    <w:multiLevelType w:val="hybridMultilevel"/>
    <w:lvl w:ilvl="0">
      <w:lvlJc w:val="left"/>
      <w:lvlText w:val="%1."/>
      <w:numFmt w:val="decimal"/>
      <w:start w:val="17"/>
    </w:lvl>
  </w:abstractNum>
  <w:abstractNum w:abstractNumId="253">
    <w:nsid w:val="5F3272DB"/>
    <w:multiLevelType w:val="hybridMultilevel"/>
    <w:lvl w:ilvl="0">
      <w:lvlJc w:val="left"/>
      <w:lvlText w:val="%1."/>
      <w:numFmt w:val="decimal"/>
      <w:start w:val="18"/>
    </w:lvl>
  </w:abstractNum>
  <w:abstractNum w:abstractNumId="254">
    <w:nsid w:val="7616D704"/>
    <w:multiLevelType w:val="hybridMultilevel"/>
    <w:lvl w:ilvl="0">
      <w:lvlJc w:val="left"/>
      <w:lvlText w:val="%1."/>
      <w:numFmt w:val="decimal"/>
      <w:start w:val="19"/>
    </w:lvl>
  </w:abstractNum>
  <w:abstractNum w:abstractNumId="255">
    <w:nsid w:val="C56F860"/>
    <w:multiLevelType w:val="hybridMultilevel"/>
    <w:lvl w:ilvl="0">
      <w:lvlJc w:val="left"/>
      <w:lvlText w:val="(%1)"/>
      <w:numFmt w:val="lowerLetter"/>
      <w:start w:val="1"/>
    </w:lvl>
  </w:abstractNum>
  <w:abstractNum w:abstractNumId="256">
    <w:nsid w:val="64D17722"/>
    <w:multiLevelType w:val="hybridMultilevel"/>
    <w:lvl w:ilvl="0">
      <w:lvlJc w:val="left"/>
      <w:lvlText w:val="%1."/>
      <w:numFmt w:val="decimal"/>
      <w:start w:val="20"/>
    </w:lvl>
  </w:abstractNum>
  <w:abstractNum w:abstractNumId="257">
    <w:nsid w:val="7924CA0A"/>
    <w:multiLevelType w:val="hybridMultilevel"/>
    <w:lvl w:ilvl="0">
      <w:lvlJc w:val="left"/>
      <w:lvlText w:val="%1."/>
      <w:numFmt w:val="decimal"/>
      <w:start w:val="21"/>
    </w:lvl>
  </w:abstractNum>
  <w:abstractNum w:abstractNumId="258">
    <w:nsid w:val="CFD4EA7"/>
    <w:multiLevelType w:val="hybridMultilevel"/>
    <w:lvl w:ilvl="0">
      <w:lvlJc w:val="left"/>
      <w:lvlText w:val="%1."/>
      <w:numFmt w:val="decimal"/>
      <w:start w:val="22"/>
    </w:lvl>
  </w:abstractNum>
  <w:abstractNum w:abstractNumId="259">
    <w:nsid w:val="232FCF4D"/>
    <w:multiLevelType w:val="hybridMultilevel"/>
    <w:lvl w:ilvl="0">
      <w:lvlJc w:val="left"/>
      <w:lvlText w:val="(%1)"/>
      <w:numFmt w:val="lowerLetter"/>
      <w:start w:val="1"/>
    </w:lvl>
  </w:abstractNum>
  <w:abstractNum w:abstractNumId="260">
    <w:nsid w:val="1EA21031"/>
    <w:multiLevelType w:val="hybridMultilevel"/>
    <w:lvl w:ilvl="0">
      <w:lvlJc w:val="left"/>
      <w:lvlText w:val="(%1)"/>
      <w:numFmt w:val="lowerLetter"/>
      <w:start w:val="2"/>
    </w:lvl>
  </w:abstractNum>
  <w:abstractNum w:abstractNumId="261">
    <w:nsid w:val="67A5A6B5"/>
    <w:multiLevelType w:val="hybridMultilevel"/>
    <w:lvl w:ilvl="0">
      <w:lvlJc w:val="left"/>
      <w:lvlText w:val="%1."/>
      <w:numFmt w:val="decimal"/>
      <w:start w:val="23"/>
    </w:lvl>
  </w:abstractNum>
  <w:abstractNum w:abstractNumId="262">
    <w:nsid w:val="C2A5C5B"/>
    <w:multiLevelType w:val="hybridMultilevel"/>
    <w:lvl w:ilvl="0">
      <w:lvlJc w:val="left"/>
      <w:lvlText w:val="%1."/>
      <w:numFmt w:val="decimal"/>
      <w:start w:val="24"/>
    </w:lvl>
  </w:abstractNum>
  <w:abstractNum w:abstractNumId="263">
    <w:nsid w:val="5F94DC03"/>
    <w:multiLevelType w:val="hybridMultilevel"/>
    <w:lvl w:ilvl="0">
      <w:lvlJc w:val="left"/>
      <w:lvlText w:val="%1"/>
      <w:numFmt w:val="lowerLetter"/>
      <w:start w:val="1"/>
    </w:lvl>
    <w:lvl w:ilvl="1">
      <w:lvlJc w:val="left"/>
      <w:lvlText w:val="(%2)"/>
      <w:numFmt w:val="lowerLetter"/>
      <w:start w:val="1"/>
    </w:lvl>
  </w:abstractNum>
  <w:abstractNum w:abstractNumId="264">
    <w:nsid w:val="237BBCA0"/>
    <w:multiLevelType w:val="hybridMultilevel"/>
    <w:lvl w:ilvl="0">
      <w:lvlJc w:val="left"/>
      <w:lvlText w:val="(%1)"/>
      <w:numFmt w:val="lowerLetter"/>
      <w:start w:val="35"/>
    </w:lvl>
    <w:lvl w:ilvl="1">
      <w:lvlJc w:val="left"/>
      <w:lvlText w:val="%2"/>
      <w:numFmt w:val="lowerLetter"/>
      <w:start w:val="1"/>
    </w:lvl>
  </w:abstractNum>
  <w:abstractNum w:abstractNumId="265">
    <w:nsid w:val="162EB70D"/>
    <w:multiLevelType w:val="hybridMultilevel"/>
    <w:lvl w:ilvl="0">
      <w:lvlJc w:val="left"/>
      <w:lvlText w:val="(%1)"/>
      <w:numFmt w:val="lowerLetter"/>
      <w:start w:val="3"/>
    </w:lvl>
  </w:abstractNum>
  <w:abstractNum w:abstractNumId="266">
    <w:nsid w:val="78070222"/>
    <w:multiLevelType w:val="hybridMultilevel"/>
    <w:lvl w:ilvl="0">
      <w:lvlJc w:val="left"/>
      <w:lvlText w:val="%1."/>
      <w:numFmt w:val="decimal"/>
      <w:start w:val="25"/>
    </w:lvl>
  </w:abstractNum>
  <w:abstractNum w:abstractNumId="267">
    <w:nsid w:val="6163ED0D"/>
    <w:multiLevelType w:val="hybridMultilevel"/>
    <w:lvl w:ilvl="0">
      <w:lvlJc w:val="left"/>
      <w:lvlText w:val="%1."/>
      <w:numFmt w:val="decimal"/>
      <w:start w:val="26"/>
    </w:lvl>
  </w:abstractNum>
  <w:abstractNum w:abstractNumId="268">
    <w:nsid w:val="C600E47"/>
    <w:multiLevelType w:val="hybridMultilevel"/>
    <w:lvl w:ilvl="0">
      <w:lvlJc w:val="left"/>
      <w:lvlText w:val="%1."/>
      <w:numFmt w:val="decimal"/>
      <w:start w:val="27"/>
    </w:lvl>
  </w:abstractNum>
  <w:abstractNum w:abstractNumId="269">
    <w:nsid w:val="7D94F75D"/>
    <w:multiLevelType w:val="hybridMultilevel"/>
    <w:lvl w:ilvl="0">
      <w:lvlJc w:val="left"/>
      <w:lvlText w:val="%1."/>
      <w:numFmt w:val="decimal"/>
      <w:start w:val="28"/>
    </w:lvl>
  </w:abstractNum>
  <w:abstractNum w:abstractNumId="270">
    <w:nsid w:val="6C31E7CD"/>
    <w:multiLevelType w:val="hybridMultilevel"/>
    <w:lvl w:ilvl="0">
      <w:lvlJc w:val="left"/>
      <w:lvlText w:val="%1."/>
      <w:numFmt w:val="decimal"/>
      <w:start w:val="29"/>
    </w:lvl>
  </w:abstractNum>
  <w:abstractNum w:abstractNumId="271">
    <w:nsid w:val="2BB7929B"/>
    <w:multiLevelType w:val="hybridMultilevel"/>
    <w:lvl w:ilvl="0">
      <w:lvlJc w:val="left"/>
      <w:lvlText w:val="%1."/>
      <w:numFmt w:val="decimal"/>
      <w:start w:val="30"/>
    </w:lvl>
  </w:abstractNum>
  <w:abstractNum w:abstractNumId="272">
    <w:nsid w:val="58A2A487"/>
    <w:multiLevelType w:val="hybridMultilevel"/>
    <w:lvl w:ilvl="0">
      <w:lvlJc w:val="left"/>
      <w:lvlText w:val="%1."/>
      <w:numFmt w:val="decimal"/>
      <w:start w:val="31"/>
    </w:lvl>
  </w:abstractNum>
  <w:abstractNum w:abstractNumId="273">
    <w:nsid w:val="3A6F0E78"/>
    <w:multiLevelType w:val="hybridMultilevel"/>
    <w:lvl w:ilvl="0">
      <w:lvlJc w:val="left"/>
      <w:lvlText w:val="%1."/>
      <w:numFmt w:val="decimal"/>
      <w:start w:val="32"/>
    </w:lvl>
  </w:abstractNum>
  <w:abstractNum w:abstractNumId="274">
    <w:nsid w:val="379A5B56"/>
    <w:multiLevelType w:val="hybridMultilevel"/>
    <w:lvl w:ilvl="0">
      <w:lvlJc w:val="left"/>
      <w:lvlText w:val="%1."/>
      <w:numFmt w:val="decimal"/>
      <w:start w:val="33"/>
    </w:lvl>
  </w:abstractNum>
  <w:abstractNum w:abstractNumId="275">
    <w:nsid w:val="53B735D5"/>
    <w:multiLevelType w:val="hybridMultilevel"/>
    <w:lvl w:ilvl="0">
      <w:lvlJc w:val="left"/>
      <w:lvlText w:val="%1."/>
      <w:numFmt w:val="decimal"/>
      <w:start w:val="1"/>
    </w:lvl>
  </w:abstractNum>
  <w:abstractNum w:abstractNumId="276">
    <w:nsid w:val="29784870"/>
    <w:multiLevelType w:val="hybridMultilevel"/>
    <w:lvl w:ilvl="0">
      <w:lvlJc w:val="left"/>
      <w:lvlText w:val="%1."/>
      <w:numFmt w:val="decimal"/>
      <w:start w:val="1"/>
    </w:lvl>
  </w:abstractNum>
  <w:abstractNum w:abstractNumId="277">
    <w:nsid w:val="4CDCED4C"/>
    <w:multiLevelType w:val="hybridMultilevel"/>
    <w:lvl w:ilvl="0">
      <w:lvlJc w:val="left"/>
      <w:lvlText w:val="%1."/>
      <w:numFmt w:val="decimal"/>
      <w:start w:val="1"/>
    </w:lvl>
  </w:abstractNum>
  <w:abstractNum w:abstractNumId="278">
    <w:nsid w:val="10A30D9C"/>
    <w:multiLevelType w:val="hybridMultilevel"/>
    <w:lvl w:ilvl="0">
      <w:lvlJc w:val="left"/>
      <w:lvlText w:val="%1."/>
      <w:numFmt w:val="decimal"/>
      <w:start w:val="2"/>
    </w:lvl>
  </w:abstractNum>
  <w:abstractNum w:abstractNumId="279">
    <w:nsid w:val="A66E486"/>
    <w:multiLevelType w:val="hybridMultilevel"/>
    <w:lvl w:ilvl="0">
      <w:lvlJc w:val="left"/>
      <w:lvlText w:val="%1."/>
      <w:numFmt w:val="decimal"/>
      <w:start w:val="3"/>
    </w:lvl>
  </w:abstractNum>
  <w:abstractNum w:abstractNumId="280">
    <w:nsid w:val="306235EA"/>
    <w:multiLevelType w:val="hybridMultilevel"/>
    <w:lvl w:ilvl="0">
      <w:lvlJc w:val="left"/>
      <w:lvlText w:val="%1."/>
      <w:numFmt w:val="decimal"/>
      <w:start w:val="4"/>
    </w:lvl>
  </w:abstractNum>
  <w:abstractNum w:abstractNumId="281">
    <w:nsid w:val="1187C70F"/>
    <w:multiLevelType w:val="hybridMultilevel"/>
    <w:lvl w:ilvl="0">
      <w:lvlJc w:val="left"/>
      <w:lvlText w:val="(%1)"/>
      <w:numFmt w:val="lowerLetter"/>
      <w:start w:val="1"/>
    </w:lvl>
  </w:abstractNum>
  <w:abstractNum w:abstractNumId="282">
    <w:nsid w:val="5476DE98"/>
    <w:multiLevelType w:val="hybridMultilevel"/>
    <w:lvl w:ilvl="0">
      <w:lvlJc w:val="left"/>
      <w:lvlText w:val="%1"/>
      <w:numFmt w:val="decimal"/>
      <w:start w:val="1"/>
    </w:lvl>
    <w:lvl w:ilvl="1">
      <w:lvlJc w:val="left"/>
      <w:lvlText w:val="(%2)"/>
      <w:numFmt w:val="lowerLetter"/>
      <w:start w:val="24"/>
    </w:lvl>
  </w:abstractNum>
  <w:abstractNum w:abstractNumId="283">
    <w:nsid w:val="EA697F2"/>
    <w:multiLevelType w:val="hybridMultilevel"/>
    <w:lvl w:ilvl="0">
      <w:lvlJc w:val="left"/>
      <w:lvlText w:val="%1."/>
      <w:numFmt w:val="decimal"/>
      <w:start w:val="5"/>
    </w:lvl>
    <w:lvl w:ilvl="1">
      <w:lvlJc w:val="left"/>
      <w:lvlText w:val="%2"/>
      <w:numFmt w:val="lowerLetter"/>
      <w:start w:val="1"/>
    </w:lvl>
  </w:abstractNum>
  <w:abstractNum w:abstractNumId="284">
    <w:nsid w:val="70BA39EB"/>
    <w:multiLevelType w:val="hybridMultilevel"/>
    <w:lvl w:ilvl="0">
      <w:lvlJc w:val="left"/>
      <w:lvlText w:val="%1."/>
      <w:numFmt w:val="decimal"/>
      <w:start w:val="6"/>
    </w:lvl>
  </w:abstractNum>
  <w:abstractNum w:abstractNumId="285">
    <w:nsid w:val="4A8DB59C"/>
    <w:multiLevelType w:val="hybridMultilevel"/>
    <w:lvl w:ilvl="0">
      <w:lvlJc w:val="left"/>
      <w:lvlText w:val="%1."/>
      <w:numFmt w:val="decimal"/>
      <w:start w:val="7"/>
    </w:lvl>
  </w:abstractNum>
  <w:abstractNum w:abstractNumId="286">
    <w:nsid w:val="1AFD9053"/>
    <w:multiLevelType w:val="hybridMultilevel"/>
    <w:lvl w:ilvl="0">
      <w:lvlJc w:val="left"/>
      <w:lvlText w:val="%1."/>
      <w:numFmt w:val="decimal"/>
      <w:start w:val="8"/>
    </w:lvl>
  </w:abstractNum>
  <w:abstractNum w:abstractNumId="287">
    <w:nsid w:val="558BB10D"/>
    <w:multiLevelType w:val="hybridMultilevel"/>
    <w:lvl w:ilvl="0">
      <w:lvlJc w:val="left"/>
      <w:lvlText w:val="%1."/>
      <w:numFmt w:val="decimal"/>
      <w:start w:val="9"/>
    </w:lvl>
  </w:abstractNum>
  <w:abstractNum w:abstractNumId="288">
    <w:nsid w:val="43B27FA7"/>
    <w:multiLevelType w:val="hybridMultilevel"/>
    <w:lvl w:ilvl="0">
      <w:lvlJc w:val="left"/>
      <w:lvlText w:val="%1."/>
      <w:numFmt w:val="decimal"/>
      <w:start w:val="10"/>
    </w:lvl>
  </w:abstractNum>
  <w:abstractNum w:abstractNumId="289">
    <w:nsid w:val="27FADEFA"/>
    <w:multiLevelType w:val="hybridMultilevel"/>
    <w:lvl w:ilvl="0">
      <w:lvlJc w:val="left"/>
      <w:lvlText w:val="%1."/>
      <w:numFmt w:val="decimal"/>
      <w:start w:val="11"/>
    </w:lvl>
  </w:abstractNum>
  <w:abstractNum w:abstractNumId="290">
    <w:nsid w:val="78BB805A"/>
    <w:multiLevelType w:val="hybridMultilevel"/>
    <w:lvl w:ilvl="0">
      <w:lvlJc w:val="left"/>
      <w:lvlText w:val="%1"/>
      <w:numFmt w:val="decimal"/>
      <w:start w:val="1"/>
    </w:lvl>
    <w:lvl w:ilvl="1">
      <w:lvlJc w:val="left"/>
      <w:lvlText w:val="(%2)"/>
      <w:numFmt w:val="lowerLetter"/>
      <w:start w:val="1"/>
    </w:lvl>
  </w:abstractNum>
  <w:abstractNum w:abstractNumId="291">
    <w:nsid w:val="62548FD8"/>
    <w:multiLevelType w:val="hybridMultilevel"/>
    <w:lvl w:ilvl="0">
      <w:lvlJc w:val="left"/>
      <w:lvlText w:val="%1."/>
      <w:numFmt w:val="decimal"/>
      <w:start w:val="12"/>
    </w:lvl>
    <w:lvl w:ilvl="1">
      <w:lvlJc w:val="left"/>
      <w:lvlText w:val="%2"/>
      <w:numFmt w:val="lowerLetter"/>
      <w:start w:val="1"/>
    </w:lvl>
  </w:abstractNum>
  <w:abstractNum w:abstractNumId="292">
    <w:nsid w:val="FA085B0"/>
    <w:multiLevelType w:val="hybridMultilevel"/>
    <w:lvl w:ilvl="0">
      <w:lvlJc w:val="left"/>
      <w:lvlText w:val="(%1)"/>
      <w:numFmt w:val="lowerRoman"/>
      <w:start w:val="1"/>
    </w:lvl>
  </w:abstractNum>
  <w:abstractNum w:abstractNumId="293">
    <w:nsid w:val="4E5DCB5"/>
    <w:multiLevelType w:val="hybridMultilevel"/>
    <w:lvl w:ilvl="0">
      <w:lvlJc w:val="left"/>
      <w:lvlText w:val="(%1)"/>
      <w:numFmt w:val="lowerRoman"/>
      <w:start w:val="1"/>
    </w:lvl>
  </w:abstractNum>
  <w:abstractNum w:abstractNumId="294">
    <w:nsid w:val="41E96BDB"/>
    <w:multiLevelType w:val="hybridMultilevel"/>
    <w:lvl w:ilvl="0">
      <w:lvlJc w:val="left"/>
      <w:lvlText w:val="%1."/>
      <w:numFmt w:val="decimal"/>
      <w:start w:val="13"/>
    </w:lvl>
  </w:abstractNum>
  <w:abstractNum w:abstractNumId="295">
    <w:nsid w:val="331C4250"/>
    <w:multiLevelType w:val="hybridMultilevel"/>
    <w:lvl w:ilvl="0">
      <w:lvlJc w:val="left"/>
      <w:lvlText w:val="%1."/>
      <w:numFmt w:val="decimal"/>
      <w:start w:val="14"/>
    </w:lvl>
  </w:abstractNum>
  <w:abstractNum w:abstractNumId="296">
    <w:nsid w:val="1B1493C2"/>
    <w:multiLevelType w:val="hybridMultilevel"/>
    <w:lvl w:ilvl="0">
      <w:lvlJc w:val="left"/>
      <w:lvlText w:val="%1."/>
      <w:numFmt w:val="decimal"/>
      <w:start w:val="15"/>
    </w:lvl>
  </w:abstractNum>
  <w:abstractNum w:abstractNumId="297">
    <w:nsid w:val="39F06DFD"/>
    <w:multiLevelType w:val="hybridMultilevel"/>
    <w:lvl w:ilvl="0">
      <w:lvlJc w:val="left"/>
      <w:lvlText w:val="%1."/>
      <w:numFmt w:val="decimal"/>
      <w:start w:val="16"/>
    </w:lvl>
  </w:abstractNum>
  <w:abstractNum w:abstractNumId="298">
    <w:nsid w:val="14802F5D"/>
    <w:multiLevelType w:val="hybridMultilevel"/>
    <w:lvl w:ilvl="0">
      <w:lvlJc w:val="left"/>
      <w:lvlText w:val="%1."/>
      <w:numFmt w:val="decimal"/>
      <w:start w:val="17"/>
    </w:lvl>
  </w:abstractNum>
  <w:abstractNum w:abstractNumId="299">
    <w:nsid w:val="2774A209"/>
    <w:multiLevelType w:val="hybridMultilevel"/>
    <w:lvl w:ilvl="0">
      <w:lvlJc w:val="left"/>
      <w:lvlText w:val="%1."/>
      <w:numFmt w:val="decimal"/>
      <w:start w:val="18"/>
    </w:lvl>
  </w:abstractNum>
  <w:abstractNum w:abstractNumId="300">
    <w:nsid w:val="3785655A"/>
    <w:multiLevelType w:val="hybridMultilevel"/>
    <w:lvl w:ilvl="0">
      <w:lvlJc w:val="left"/>
      <w:lvlText w:val="%1."/>
      <w:numFmt w:val="decimal"/>
      <w:start w:val="19"/>
    </w:lvl>
  </w:abstractNum>
  <w:abstractNum w:abstractNumId="301">
    <w:nsid w:val="B2172A"/>
    <w:multiLevelType w:val="hybridMultilevel"/>
    <w:lvl w:ilvl="0">
      <w:lvlJc w:val="left"/>
      <w:lvlText w:val="%1."/>
      <w:numFmt w:val="decimal"/>
      <w:start w:val="20"/>
    </w:lvl>
  </w:abstractNum>
  <w:abstractNum w:abstractNumId="302">
    <w:nsid w:val="532C34A5"/>
    <w:multiLevelType w:val="hybridMultilevel"/>
    <w:lvl w:ilvl="0">
      <w:lvlJc w:val="left"/>
      <w:lvlText w:val="%1."/>
      <w:numFmt w:val="decimal"/>
      <w:start w:val="21"/>
    </w:lvl>
  </w:abstractNum>
  <w:abstractNum w:abstractNumId="303">
    <w:nsid w:val="102809E2"/>
    <w:multiLevelType w:val="hybridMultilevel"/>
    <w:lvl w:ilvl="0">
      <w:lvlJc w:val="left"/>
      <w:lvlText w:val="%1."/>
      <w:numFmt w:val="decimal"/>
      <w:start w:val="22"/>
    </w:lvl>
  </w:abstractNum>
  <w:abstractNum w:abstractNumId="304">
    <w:nsid w:val="3B2125A3"/>
    <w:multiLevelType w:val="hybridMultilevel"/>
    <w:lvl w:ilvl="0">
      <w:lvlJc w:val="left"/>
      <w:lvlText w:val="☐"/>
      <w:numFmt w:val="bullet"/>
      <w:start w:val="1"/>
    </w:lvl>
  </w:abstractNum>
  <w:abstractNum w:abstractNumId="305">
    <w:nsid w:val="AC68FFB"/>
    <w:multiLevelType w:val="hybridMultilevel"/>
    <w:lvl w:ilvl="0">
      <w:lvlJc w:val="left"/>
      <w:lvlText w:val="☐"/>
      <w:numFmt w:val="bullet"/>
      <w:start w:val="1"/>
    </w:lvl>
  </w:abstractNum>
  <w:abstractNum w:abstractNumId="306">
    <w:nsid w:val="63DF3FB7"/>
    <w:multiLevelType w:val="hybridMultilevel"/>
    <w:lvl w:ilvl="0">
      <w:lvlJc w:val="left"/>
      <w:lvlText w:val="(%1)"/>
      <w:numFmt w:val="lowerLetter"/>
      <w:start w:val="1"/>
    </w:lvl>
    <w:lvl w:ilvl="1">
      <w:lvlJc w:val="left"/>
      <w:lvlText w:val="(%2)"/>
      <w:numFmt w:val="lowerRoman"/>
      <w:start w:val="1"/>
    </w:lvl>
  </w:abstractNum>
  <w:abstractNum w:abstractNumId="307">
    <w:nsid w:val="64996E13"/>
    <w:multiLevelType w:val="hybridMultilevel"/>
    <w:lvl w:ilvl="0">
      <w:lvlJc w:val="left"/>
      <w:lvlText w:val="(%1)"/>
      <w:numFmt w:val="lowerRoman"/>
      <w:start w:val="4"/>
    </w:lvl>
  </w:abstractNum>
  <w:abstractNum w:abstractNumId="308">
    <w:nsid w:val="57A37D47"/>
    <w:multiLevelType w:val="hybridMultilevel"/>
    <w:lvl w:ilvl="0">
      <w:lvlJc w:val="left"/>
      <w:lvlText w:val="(%1)"/>
      <w:numFmt w:val="lowerLetter"/>
      <w:start w:val="3"/>
    </w:lvl>
  </w:abstractNum>
  <w:abstractNum w:abstractNumId="309">
    <w:nsid w:val="74824D54"/>
    <w:multiLevelType w:val="hybridMultilevel"/>
    <w:lvl w:ilvl="0">
      <w:lvlJc w:val="left"/>
      <w:lvlText w:val="(%1)"/>
      <w:numFmt w:val="lowerLetter"/>
      <w:start w:val="1"/>
    </w:lvl>
  </w:abstractNum>
  <w:abstractNum w:abstractNumId="310">
    <w:nsid w:val="6F00529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1">
    <w:nsid w:val="805B3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2">
    <w:nsid w:val="60A1463"/>
    <w:multiLevelType w:val="hybridMultilevel"/>
    <w:lvl w:ilvl="0">
      <w:lvlJc w:val="left"/>
      <w:lvlText w:val="(%1)"/>
      <w:numFmt w:val="upperLetter"/>
      <w:start w:val="3"/>
    </w:lvl>
  </w:abstractNum>
  <w:abstractNum w:abstractNumId="313">
    <w:nsid w:val="43773132"/>
    <w:multiLevelType w:val="hybridMultilevel"/>
    <w:lvl w:ilvl="0">
      <w:lvlJc w:val="left"/>
      <w:lvlText w:val="(%1)"/>
      <w:numFmt w:val="lowerLetter"/>
      <w:start w:val="2"/>
    </w:lvl>
  </w:abstractNum>
  <w:abstractNum w:abstractNumId="314">
    <w:nsid w:val="16AC4B23"/>
    <w:multiLevelType w:val="hybridMultilevel"/>
    <w:lvl w:ilvl="0">
      <w:lvlJc w:val="left"/>
      <w:lvlText w:val="(%1)"/>
      <w:numFmt w:val="lowerLetter"/>
      <w:start w:val="1"/>
    </w:lvl>
  </w:abstractNum>
  <w:abstractNum w:abstractNumId="315">
    <w:nsid w:val="76C44E4E"/>
    <w:multiLevelType w:val="hybridMultilevel"/>
    <w:lvl w:ilvl="0">
      <w:lvlJc w:val="left"/>
      <w:lvlText w:val="(%1)"/>
      <w:numFmt w:val="lowerLetter"/>
      <w:start w:val="2"/>
    </w:lvl>
  </w:abstractNum>
  <w:abstractNum w:abstractNumId="316">
    <w:nsid w:val="E04E6CE"/>
    <w:multiLevelType w:val="hybridMultilevel"/>
    <w:lvl w:ilvl="0">
      <w:lvlJc w:val="left"/>
      <w:lvlText w:val="(%1)"/>
      <w:numFmt w:val="lowerLetter"/>
      <w:start w:val="1"/>
    </w:lvl>
  </w:abstractNum>
  <w:abstractNum w:abstractNumId="317">
    <w:nsid w:val="31A9DB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8">
    <w:nsid w:val="4C4FFF5B"/>
    <w:multiLevelType w:val="hybridMultilevel"/>
    <w:lvl w:ilvl="0">
      <w:lvlJc w:val="left"/>
      <w:lvlText w:val="(%1)"/>
      <w:numFmt w:val="lowerLetter"/>
      <w:start w:val="3"/>
    </w:lvl>
    <w:lvl w:ilvl="1">
      <w:lvlJc w:val="left"/>
      <w:lvlText w:val="(%2)"/>
      <w:numFmt w:val="lowerRoman"/>
      <w:start w:val="1"/>
    </w:lvl>
  </w:abstractNum>
  <w:abstractNum w:abstractNumId="319">
    <w:nsid w:val="51B76675"/>
    <w:multiLevelType w:val="hybridMultilevel"/>
    <w:lvl w:ilvl="0">
      <w:lvlJc w:val="left"/>
      <w:lvlText w:val="(%1)"/>
      <w:numFmt w:val="lowerLetter"/>
      <w:start w:val="6"/>
    </w:lvl>
  </w:abstractNum>
  <w:abstractNum w:abstractNumId="320">
    <w:nsid w:val="59A4BA71"/>
    <w:multiLevelType w:val="hybridMultilevel"/>
    <w:lvl w:ilvl="0">
      <w:lvlJc w:val="left"/>
      <w:lvlText w:val="(%1)"/>
      <w:numFmt w:val="lowerLetter"/>
      <w:start w:val="1"/>
    </w:lvl>
  </w:abstractNum>
  <w:abstractNum w:abstractNumId="321">
    <w:nsid w:val="450B7FB6"/>
    <w:multiLevelType w:val="hybridMultilevel"/>
    <w:lvl w:ilvl="0">
      <w:lvlJc w:val="left"/>
      <w:lvlText w:val="(%1)"/>
      <w:numFmt w:val="lowerLetter"/>
      <w:start w:val="1"/>
    </w:lvl>
  </w:abstractNum>
  <w:abstractNum w:abstractNumId="322">
    <w:nsid w:val="340BF64D"/>
    <w:multiLevelType w:val="hybridMultilevel"/>
    <w:lvl w:ilvl="0">
      <w:lvlJc w:val="left"/>
      <w:lvlText w:val="(%1)"/>
      <w:numFmt w:val="lowerLetter"/>
      <w:start w:val="7"/>
    </w:lvl>
  </w:abstractNum>
  <w:abstractNum w:abstractNumId="323">
    <w:nsid w:val="694540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4">
    <w:nsid w:val="49F15C6B"/>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abstractNum>
  <w:abstractNum w:abstractNumId="325">
    <w:nsid w:val="75F56228"/>
    <w:multiLevelType w:val="hybridMultilevel"/>
    <w:lvl w:ilvl="0">
      <w:lvlJc w:val="left"/>
      <w:lvlText w:val="%1"/>
      <w:numFmt w:val="decimal"/>
      <w:start w:val="1"/>
    </w:lvl>
    <w:lvl w:ilvl="1">
      <w:lvlJc w:val="left"/>
      <w:lvlText w:val="(%2)"/>
      <w:numFmt w:val="lowerLetter"/>
      <w:start w:val="2"/>
    </w:lvl>
  </w:abstractNum>
  <w:abstractNum w:abstractNumId="326">
    <w:nsid w:val="1C618271"/>
    <w:multiLevelType w:val="hybridMultilevel"/>
    <w:lvl w:ilvl="0">
      <w:lvlJc w:val="left"/>
      <w:lvlText w:val="%1."/>
      <w:numFmt w:val="decimal"/>
      <w:start w:val="3"/>
    </w:lvl>
    <w:lvl w:ilvl="1">
      <w:lvlJc w:val="left"/>
      <w:lvlText w:val="(%2)"/>
      <w:numFmt w:val="lowerLetter"/>
      <w:start w:val="1"/>
    </w:lvl>
  </w:abstractNum>
  <w:abstractNum w:abstractNumId="327">
    <w:nsid w:val="6505F02E"/>
    <w:multiLevelType w:val="hybridMultilevel"/>
    <w:lvl w:ilvl="0">
      <w:lvlJc w:val="left"/>
      <w:lvlText w:val="%1."/>
      <w:numFmt w:val="decimal"/>
      <w:start w:val="7"/>
    </w:lvl>
    <w:lvl w:ilvl="1">
      <w:lvlJc w:val="left"/>
      <w:lvlText w:val="(%2)"/>
      <w:numFmt w:val="lowerLetter"/>
      <w:start w:val="1"/>
    </w:lvl>
  </w:abstractNum>
  <w:abstractNum w:abstractNumId="328">
    <w:nsid w:val="2FE5D025"/>
    <w:multiLevelType w:val="hybridMultilevel"/>
    <w:lvl w:ilvl="0">
      <w:lvlJc w:val="left"/>
      <w:lvlText w:val="1"/>
      <w:numFmt w:val="bullet"/>
      <w:start w:val="1"/>
    </w:lvl>
  </w:abstractNum>
  <w:abstractNum w:abstractNumId="329">
    <w:nsid w:val="30E1B1CF"/>
    <w:multiLevelType w:val="hybridMultilevel"/>
    <w:lvl w:ilvl="0">
      <w:lvlJc w:val="left"/>
      <w:lvlText w:val="(%1)"/>
      <w:numFmt w:val="lowerRoman"/>
      <w:start w:val="1"/>
    </w:lvl>
  </w:abstractNum>
  <w:abstractNum w:abstractNumId="330">
    <w:nsid w:val="C7A9237"/>
    <w:multiLevelType w:val="hybridMultilevel"/>
    <w:lvl w:ilvl="0">
      <w:lvlJc w:val="left"/>
      <w:lvlText w:val="(%1)"/>
      <w:numFmt w:val="lowerRoman"/>
      <w:start w:val="10"/>
    </w:lvl>
  </w:abstractNum>
  <w:abstractNum w:abstractNumId="331">
    <w:nsid w:val="676B35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2">
    <w:nsid w:val="3193C8F9"/>
    <w:multiLevelType w:val="hybridMultilevel"/>
    <w:lvl w:ilvl="0">
      <w:lvlJc w:val="left"/>
      <w:lvlText w:val="%1."/>
      <w:numFmt w:val="decimal"/>
      <w:start w:val="2"/>
    </w:lvl>
    <w:lvl w:ilvl="1">
      <w:lvlJc w:val="left"/>
      <w:lvlText w:val="(%2)"/>
      <w:numFmt w:val="lowerLetter"/>
      <w:start w:val="1"/>
    </w:lvl>
  </w:abstractNum>
  <w:abstractNum w:abstractNumId="333">
    <w:nsid w:val="5FA6C6DC"/>
    <w:multiLevelType w:val="hybridMultilevel"/>
    <w:lvl w:ilvl="0">
      <w:lvlJc w:val="left"/>
      <w:lvlText w:val="%1."/>
      <w:numFmt w:val="decimal"/>
      <w:start w:val="5"/>
    </w:lvl>
    <w:lvl w:ilvl="1">
      <w:lvlJc w:val="left"/>
      <w:lvlText w:val="(%2)"/>
      <w:numFmt w:val="lowerLetter"/>
      <w:start w:val="1"/>
    </w:lvl>
  </w:abstractNum>
  <w:abstractNum w:abstractNumId="334">
    <w:nsid w:val="77933F62"/>
    <w:multiLevelType w:val="hybridMultilevel"/>
    <w:lvl w:ilvl="0">
      <w:lvlJc w:val="left"/>
      <w:lvlText w:val="%1"/>
      <w:numFmt w:val="decimal"/>
      <w:start w:val="1"/>
    </w:lvl>
    <w:lvl w:ilvl="1">
      <w:lvlJc w:val="left"/>
      <w:lvlText w:val="(%2)"/>
      <w:numFmt w:val="lowerLetter"/>
      <w:start w:val="2"/>
    </w:lvl>
  </w:abstractNum>
  <w:abstractNum w:abstractNumId="335">
    <w:nsid w:val="6CB4EE9C"/>
    <w:multiLevelType w:val="hybridMultilevel"/>
    <w:lvl w:ilvl="0">
      <w:lvlJc w:val="left"/>
      <w:lvlText w:val="%1."/>
      <w:numFmt w:val="decimal"/>
      <w:start w:val="8"/>
    </w:lvl>
    <w:lvl w:ilvl="1">
      <w:lvlJc w:val="left"/>
      <w:lvlText w:val="%2"/>
      <w:numFmt w:val="lowerLetter"/>
      <w:start w:val="1"/>
    </w:lvl>
  </w:abstractNum>
  <w:abstractNum w:abstractNumId="336">
    <w:nsid w:val="6A6D56D7"/>
    <w:multiLevelType w:val="hybridMultilevel"/>
    <w:lvl w:ilvl="0">
      <w:lvlJc w:val="left"/>
      <w:lvlText w:val="1"/>
      <w:numFmt w:val="bullet"/>
      <w:start w:val="1"/>
    </w:lvl>
  </w:abstractNum>
  <w:abstractNum w:abstractNumId="337">
    <w:nsid w:val="5B727F19"/>
    <w:multiLevelType w:val="hybridMultilevel"/>
    <w:lvl w:ilvl="0">
      <w:lvlJc w:val="left"/>
      <w:lvlText w:val="(%1)"/>
      <w:numFmt w:val="lowerRoman"/>
      <w:start w:val="1"/>
    </w:lvl>
  </w:abstractNum>
  <w:abstractNum w:abstractNumId="338">
    <w:nsid w:val="514E5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9">
    <w:nsid w:val="4210D41E"/>
    <w:multiLevelType w:val="hybridMultilevel"/>
    <w:lvl w:ilvl="0">
      <w:lvlJc w:val="left"/>
      <w:lvlText w:val="%1."/>
      <w:numFmt w:val="decimal"/>
      <w:start w:val="2"/>
    </w:lvl>
    <w:lvl w:ilvl="1">
      <w:lvlJc w:val="left"/>
      <w:lvlText w:val="(%2)"/>
      <w:numFmt w:val="lowerLetter"/>
      <w:start w:val="1"/>
    </w:lvl>
  </w:abstractNum>
  <w:abstractNum w:abstractNumId="340">
    <w:nsid w:val="4FF4CC6D"/>
    <w:multiLevelType w:val="hybridMultilevel"/>
    <w:lvl w:ilvl="0">
      <w:lvlJc w:val="left"/>
      <w:lvlText w:val="%1."/>
      <w:numFmt w:val="decimal"/>
      <w:start w:val="4"/>
    </w:lvl>
    <w:lvl w:ilvl="1">
      <w:lvlJc w:val="left"/>
      <w:lvlText w:val="(%2)"/>
      <w:numFmt w:val="lowerLetter"/>
      <w:start w:val="1"/>
    </w:lvl>
  </w:abstractNum>
  <w:abstractNum w:abstractNumId="341">
    <w:nsid w:val="404EAF4A"/>
    <w:multiLevelType w:val="hybridMultilevel"/>
    <w:lvl w:ilvl="0">
      <w:lvlJc w:val="left"/>
      <w:lvlText w:val="%1."/>
      <w:numFmt w:val="decimal"/>
      <w:start w:val="7"/>
    </w:lvl>
    <w:lvl w:ilvl="1">
      <w:lvlJc w:val="left"/>
      <w:lvlText w:val="(%2)"/>
      <w:numFmt w:val="lowerLetter"/>
      <w:start w:val="1"/>
    </w:lvl>
  </w:abstractNum>
  <w:abstractNum w:abstractNumId="342">
    <w:nsid w:val="4A16874F"/>
    <w:multiLevelType w:val="hybridMultilevel"/>
    <w:lvl w:ilvl="0">
      <w:lvlJc w:val="left"/>
      <w:lvlText w:val="1"/>
      <w:numFmt w:val="bullet"/>
      <w:start w:val="1"/>
    </w:lvl>
  </w:abstractNum>
  <w:abstractNum w:abstractNumId="343">
    <w:nsid w:val="55FEE0D1"/>
    <w:multiLevelType w:val="hybridMultilevel"/>
    <w:lvl w:ilvl="0">
      <w:lvlJc w:val="left"/>
      <w:lvlText w:val="(%1)"/>
      <w:numFmt w:val="lowerRoman"/>
      <w:start w:val="1"/>
    </w:lvl>
  </w:abstractNum>
  <w:abstractNum w:abstractNumId="344">
    <w:nsid w:val="3C5E07C"/>
    <w:multiLevelType w:val="hybridMultilevel"/>
    <w:lvl w:ilvl="0">
      <w:lvlJc w:val="left"/>
      <w:lvlText w:val="(%1)"/>
      <w:numFmt w:val="lowerRoman"/>
      <w:start w:val="10"/>
    </w:lvl>
  </w:abstractNum>
  <w:abstractNum w:abstractNumId="345">
    <w:nsid w:val="60C2D273"/>
    <w:multiLevelType w:val="hybridMultilevel"/>
    <w:lvl w:ilvl="0">
      <w:lvlJc w:val="left"/>
      <w:lvlText w:val="%1."/>
      <w:numFmt w:val="decimal"/>
      <w:start w:val="1"/>
    </w:lvl>
    <w:lvl w:ilvl="1">
      <w:lvlJc w:val="left"/>
      <w:lvlText w:val="(%2)"/>
      <w:numFmt w:val="lowerLetter"/>
      <w:start w:val="1"/>
    </w:lvl>
  </w:abstractNum>
  <w:abstractNum w:abstractNumId="346">
    <w:nsid w:val="4CC32F1F"/>
    <w:multiLevelType w:val="hybridMultilevel"/>
    <w:lvl w:ilvl="0">
      <w:lvlJc w:val="left"/>
      <w:lvlText w:val="%1"/>
      <w:numFmt w:val="decimal"/>
      <w:start w:val="1"/>
    </w:lvl>
    <w:lvl w:ilvl="1">
      <w:lvlJc w:val="left"/>
      <w:lvlText w:val="(%2)"/>
      <w:numFmt w:val="lowerLetter"/>
      <w:start w:val="7"/>
    </w:lvl>
  </w:abstractNum>
  <w:abstractNum w:abstractNumId="347">
    <w:nsid w:val="11CAC74A"/>
    <w:multiLevelType w:val="hybridMultilevel"/>
    <w:lvl w:ilvl="0">
      <w:lvlJc w:val="left"/>
      <w:lvlText w:val="%1."/>
      <w:numFmt w:val="decimal"/>
      <w:start w:val="6"/>
    </w:lvl>
    <w:lvl w:ilvl="1">
      <w:lvlJc w:val="left"/>
      <w:lvlText w:val="(%2)"/>
      <w:numFmt w:val="lowerLetter"/>
      <w:start w:val="1"/>
    </w:lvl>
  </w:abstractNum>
  <w:abstractNum w:abstractNumId="348">
    <w:nsid w:val="126CADE9"/>
    <w:multiLevelType w:val="hybridMultilevel"/>
    <w:lvl w:ilvl="0">
      <w:lvlJc w:val="left"/>
      <w:lvlText w:val="%1."/>
      <w:numFmt w:val="decimal"/>
      <w:start w:val="7"/>
    </w:lvl>
  </w:abstractNum>
  <w:abstractNum w:abstractNumId="349">
    <w:nsid w:val="19132E7B"/>
    <w:multiLevelType w:val="hybridMultilevel"/>
    <w:lvl w:ilvl="0">
      <w:lvlJc w:val="left"/>
      <w:lvlText w:val="2"/>
      <w:numFmt w:val="bullet"/>
      <w:start w:val="1"/>
    </w:lvl>
  </w:abstractNum>
  <w:abstractNum w:abstractNumId="350">
    <w:nsid w:val="63822DC0"/>
    <w:multiLevelType w:val="hybridMultilevel"/>
    <w:lvl w:ilvl="0">
      <w:lvlJc w:val="left"/>
      <w:lvlText w:val="%1."/>
      <w:numFmt w:val="decimal"/>
      <w:start w:val="1"/>
    </w:lvl>
  </w:abstractNum>
  <w:abstractNum w:abstractNumId="351">
    <w:nsid w:val="6C11685A"/>
    <w:multiLevelType w:val="hybridMultilevel"/>
    <w:lvl w:ilvl="0">
      <w:lvlJc w:val="left"/>
      <w:lvlText w:val="%1."/>
      <w:numFmt w:val="decimal"/>
      <w:start w:val="2"/>
    </w:lvl>
  </w:abstractNum>
  <w:abstractNum w:abstractNumId="352">
    <w:nsid w:val="5E1EAE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3">
    <w:nsid w:val="178E240D"/>
    <w:multiLevelType w:val="hybridMultilevel"/>
    <w:lvl w:ilvl="0">
      <w:lvlJc w:val="left"/>
      <w:lvlText w:val="%1."/>
      <w:numFmt w:val="decimal"/>
      <w:start w:val="3"/>
    </w:lvl>
    <w:lvl w:ilvl="1">
      <w:lvlJc w:val="left"/>
      <w:lvlText w:val="(%2)"/>
      <w:numFmt w:val="lowerLetter"/>
      <w:start w:val="1"/>
    </w:lvl>
  </w:abstractNum>
  <w:abstractNum w:abstractNumId="354">
    <w:nsid w:val="5556A87B"/>
    <w:multiLevelType w:val="hybridMultilevel"/>
    <w:lvl w:ilvl="0">
      <w:lvlJc w:val="left"/>
      <w:lvlText w:val="%1."/>
      <w:numFmt w:val="decimal"/>
      <w:start w:val="6"/>
    </w:lvl>
  </w:abstractNum>
  <w:abstractNum w:abstractNumId="355">
    <w:nsid w:val="28100A9C"/>
    <w:multiLevelType w:val="hybridMultilevel"/>
    <w:lvl w:ilvl="0">
      <w:lvlJc w:val="left"/>
      <w:lvlText w:val="%1"/>
      <w:numFmt w:val="decimal"/>
      <w:start w:val="1"/>
    </w:lvl>
    <w:lvl w:ilvl="1">
      <w:lvlJc w:val="left"/>
      <w:lvlText w:val="(%2)"/>
      <w:numFmt w:val="lowerLetter"/>
      <w:start w:val="1"/>
    </w:lvl>
  </w:abstractNum>
  <w:abstractNum w:abstractNumId="356">
    <w:nsid w:val="D838636"/>
    <w:multiLevelType w:val="hybridMultilevel"/>
    <w:lvl w:ilvl="0">
      <w:lvlJc w:val="left"/>
      <w:lvlText w:val="%1."/>
      <w:numFmt w:val="decimal"/>
      <w:start w:val="7"/>
    </w:lvl>
    <w:lvl w:ilvl="1">
      <w:lvlJc w:val="left"/>
      <w:lvlText w:val="%2"/>
      <w:numFmt w:val="lowerLetter"/>
      <w:start w:val="1"/>
    </w:lvl>
  </w:abstractNum>
  <w:abstractNum w:abstractNumId="357">
    <w:nsid w:val="71B82AED"/>
    <w:multiLevelType w:val="hybridMultilevel"/>
    <w:lvl w:ilvl="0">
      <w:lvlJc w:val="left"/>
      <w:lvlText w:val="1"/>
      <w:numFmt w:val="bullet"/>
      <w:start w:val="1"/>
    </w:lvl>
  </w:abstractNum>
  <w:abstractNum w:abstractNumId="358">
    <w:nsid w:val="D15FACA"/>
    <w:multiLevelType w:val="hybridMultilevel"/>
    <w:lvl w:ilvl="0">
      <w:lvlJc w:val="left"/>
      <w:lvlText w:val="%1."/>
      <w:numFmt w:val="decimal"/>
      <w:start w:val="1"/>
    </w:lvl>
  </w:abstractNum>
  <w:abstractNum w:abstractNumId="359">
    <w:nsid w:val="3D69565B"/>
    <w:multiLevelType w:val="hybridMultilevel"/>
    <w:lvl w:ilvl="0">
      <w:lvlJc w:val="left"/>
      <w:lvlText w:val="%1."/>
      <w:numFmt w:val="decimal"/>
      <w:start w:val="2"/>
    </w:lvl>
  </w:abstractNum>
  <w:abstractNum w:abstractNumId="360">
    <w:nsid w:val="2299DCBC"/>
    <w:multiLevelType w:val="hybridMultilevel"/>
    <w:lvl w:ilvl="0">
      <w:lvlJc w:val="left"/>
      <w:lvlText w:val="%1."/>
      <w:numFmt w:val="decimal"/>
      <w:start w:val="1"/>
    </w:lvl>
  </w:abstractNum>
  <w:abstractNum w:abstractNumId="361">
    <w:nsid w:val="19908D02"/>
    <w:multiLevelType w:val="hybridMultilevel"/>
    <w:lvl w:ilvl="0">
      <w:lvlJc w:val="left"/>
      <w:lvlText w:val="%1."/>
      <w:numFmt w:val="decimal"/>
      <w:start w:val="2"/>
    </w:lvl>
  </w:abstractNum>
  <w:abstractNum w:abstractNumId="362">
    <w:nsid w:val="24D48BDB"/>
    <w:multiLevelType w:val="hybridMultilevel"/>
    <w:lvl w:ilvl="0">
      <w:lvlJc w:val="left"/>
      <w:lvlText w:val="[***]"/>
      <w:numFmt w:val="bullet"/>
      <w:start w:val="1"/>
    </w:lvl>
  </w:abstractNum>
  <w:abstractNum w:abstractNumId="363">
    <w:nsid w:val="542DA5B5"/>
    <w:multiLevelType w:val="hybridMultilevel"/>
    <w:lvl w:ilvl="0">
      <w:lvlJc w:val="left"/>
      <w:lvlText w:val="%1."/>
      <w:numFmt w:val="decimal"/>
      <w:start w:val="3"/>
    </w:lvl>
  </w:abstractNum>
  <w:abstractNum w:abstractNumId="364">
    <w:nsid w:val="793753DE"/>
    <w:multiLevelType w:val="hybridMultilevel"/>
    <w:lvl w:ilvl="0">
      <w:lvlJc w:val="left"/>
      <w:lvlText w:val="(%1)"/>
      <w:numFmt w:val="lowerLetter"/>
      <w:start w:val="2"/>
    </w:lvl>
  </w:abstractNum>
  <w:abstractNum w:abstractNumId="365">
    <w:nsid w:val="1C67CB3D"/>
    <w:multiLevelType w:val="hybridMultilevel"/>
    <w:lvl w:ilvl="0">
      <w:lvlJc w:val="left"/>
      <w:lvlText w:val="[***]"/>
      <w:numFmt w:val="bullet"/>
      <w:start w:val="1"/>
    </w:lvl>
  </w:abstractNum>
  <w:abstractNum w:abstractNumId="366">
    <w:nsid w:val="40E29452"/>
    <w:multiLevelType w:val="hybridMultilevel"/>
    <w:lvl w:ilvl="0">
      <w:lvlJc w:val="left"/>
      <w:lvlText w:val="%1."/>
      <w:numFmt w:val="decimal"/>
      <w:start w:val="4"/>
    </w:lvl>
  </w:abstractNum>
  <w:abstractNum w:abstractNumId="367">
    <w:nsid w:val="63A4AAB6"/>
    <w:multiLevelType w:val="hybridMultilevel"/>
    <w:lvl w:ilvl="0">
      <w:lvlJc w:val="left"/>
      <w:lvlText w:val="%1."/>
      <w:numFmt w:val="decimal"/>
      <w:start w:val="5"/>
    </w:lvl>
  </w:abstractNum>
  <w:abstractNum w:abstractNumId="368">
    <w:nsid w:val="77DA4A57"/>
    <w:multiLevelType w:val="hybridMultilevel"/>
    <w:lvl w:ilvl="0">
      <w:lvlJc w:val="left"/>
      <w:lvlText w:val="(%1)"/>
      <w:numFmt w:val="lowerLetter"/>
      <w:start w:val="2"/>
    </w:lvl>
  </w:abstractNum>
  <w:abstractNum w:abstractNumId="369">
    <w:nsid w:val="1230F102"/>
    <w:multiLevelType w:val="hybridMultilevel"/>
    <w:lvl w:ilvl="0">
      <w:lvlJc w:val="left"/>
      <w:lvlText w:val="%1."/>
      <w:numFmt w:val="decimal"/>
      <w:start w:val="6"/>
    </w:lvl>
  </w:abstractNum>
  <w:abstractNum w:abstractNumId="370">
    <w:nsid w:val="25B57ED4"/>
    <w:multiLevelType w:val="hybridMultilevel"/>
    <w:lvl w:ilvl="0">
      <w:lvlJc w:val="left"/>
      <w:lvlText w:val="%1."/>
      <w:numFmt w:val="decimal"/>
      <w:start w:val="7"/>
    </w:lvl>
  </w:abstractNum>
  <w:abstractNum w:abstractNumId="371">
    <w:nsid w:val="47CF16C4"/>
    <w:multiLevelType w:val="hybridMultilevel"/>
    <w:lvl w:ilvl="0">
      <w:lvlJc w:val="left"/>
      <w:lvlText w:val="%1."/>
      <w:numFmt w:val="decimal"/>
      <w:start w:val="8"/>
    </w:lvl>
  </w:abstractNum>
  <w:abstractNum w:abstractNumId="372">
    <w:nsid w:val="527FA04C"/>
    <w:multiLevelType w:val="hybridMultilevel"/>
    <w:lvl w:ilvl="0">
      <w:lvlJc w:val="left"/>
      <w:lvlText w:val="%1."/>
      <w:numFmt w:val="decimal"/>
      <w:start w:val="9"/>
    </w:lvl>
  </w:abstractNum>
  <w:abstractNum w:abstractNumId="373">
    <w:nsid w:val="6FCC0624"/>
    <w:multiLevelType w:val="hybridMultilevel"/>
    <w:lvl w:ilvl="0">
      <w:lvlJc w:val="left"/>
      <w:lvlText w:val="%1."/>
      <w:numFmt w:val="decimal"/>
      <w:start w:val="1"/>
    </w:lvl>
  </w:abstractNum>
  <w:abstractNum w:abstractNumId="374">
    <w:nsid w:val="1DCDF795"/>
    <w:multiLevelType w:val="hybridMultilevel"/>
    <w:lvl w:ilvl="0">
      <w:lvlJc w:val="left"/>
      <w:lvlText w:val="%1."/>
      <w:numFmt w:val="decimal"/>
      <w:start w:val="1"/>
    </w:lvl>
    <w:lvl w:ilvl="1">
      <w:lvlJc w:val="left"/>
      <w:lvlText w:val="[***]"/>
      <w:numFmt w:val="bullet"/>
      <w:start w:val="1"/>
    </w:lvl>
  </w:abstractNum>
  <w:abstractNum w:abstractNumId="375">
    <w:nsid w:val="564580C8"/>
    <w:multiLevelType w:val="hybridMultilevel"/>
    <w:lvl w:ilvl="0">
      <w:lvlJc w:val="left"/>
      <w:lvlText w:val="%1."/>
      <w:numFmt w:val="decimal"/>
      <w:start w:val="1"/>
    </w:lvl>
    <w:lvl w:ilvl="1">
      <w:lvlJc w:val="left"/>
      <w:lvlText w:val="[***]"/>
      <w:numFmt w:val="bullet"/>
      <w:start w:val="1"/>
    </w:lvl>
  </w:abstractNum>
  <w:abstractNum w:abstractNumId="376">
    <w:nsid w:val="508ED89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7">
    <w:nsid w:val="6A9126B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8">
    <w:nsid w:val="68104812"/>
    <w:multiLevelType w:val="hybridMultilevel"/>
    <w:lvl w:ilvl="0">
      <w:lvlJc w:val="left"/>
      <w:lvlText w:val="(%1)"/>
      <w:numFmt w:val="lowerLetter"/>
      <w:start w:val="1"/>
    </w:lvl>
    <w:lvl w:ilvl="1">
      <w:lvlJc w:val="left"/>
      <w:lvlText w:val="(%2)"/>
      <w:numFmt w:val="lowerRoman"/>
      <w:start w:val="1"/>
    </w:lvl>
  </w:abstractNum>
  <w:abstractNum w:abstractNumId="379">
    <w:nsid w:val="62FB8680"/>
    <w:multiLevelType w:val="hybridMultilevel"/>
    <w:lvl w:ilvl="0">
      <w:lvlJc w:val="left"/>
      <w:lvlText w:val="(%1)"/>
      <w:numFmt w:val="lowerLetter"/>
      <w:start w:val="4"/>
    </w:lvl>
  </w:abstractNum>
  <w:abstractNum w:abstractNumId="380">
    <w:nsid w:val="3A45530"/>
    <w:multiLevelType w:val="hybridMultilevel"/>
    <w:lvl w:ilvl="0">
      <w:lvlJc w:val="left"/>
      <w:lvlText w:val="(%1)"/>
      <w:numFmt w:val="lowerLetter"/>
      <w:start w:val="1"/>
    </w:lvl>
  </w:abstractNum>
  <w:abstractNum w:abstractNumId="381">
    <w:nsid w:val="4B9275D2"/>
    <w:multiLevelType w:val="hybridMultilevel"/>
    <w:lvl w:ilvl="0">
      <w:lvlJc w:val="left"/>
      <w:lvlText w:val="(%1)"/>
      <w:numFmt w:val="lowerLetter"/>
      <w:start w:val="1"/>
    </w:lvl>
  </w:abstractNum>
  <w:abstractNum w:abstractNumId="382">
    <w:nsid w:val="4F0CEEDB"/>
    <w:multiLevelType w:val="hybridMultilevel"/>
    <w:lvl w:ilvl="0">
      <w:lvlJc w:val="left"/>
      <w:lvlText w:val="(%1)"/>
      <w:numFmt w:val="lowerLetter"/>
      <w:start w:val="1"/>
    </w:lvl>
  </w:abstractNum>
  <w:abstractNum w:abstractNumId="383">
    <w:nsid w:val="61C30361"/>
    <w:multiLevelType w:val="hybridMultilevel"/>
    <w:lvl w:ilvl="0">
      <w:lvlJc w:val="left"/>
      <w:lvlText w:val="(%1)"/>
      <w:numFmt w:val="lowerLetter"/>
      <w:start w:val="3"/>
    </w:lvl>
  </w:abstractNum>
  <w:abstractNum w:abstractNumId="384">
    <w:nsid w:val="632099E0"/>
    <w:multiLevelType w:val="hybridMultilevel"/>
    <w:lvl w:ilvl="0">
      <w:lvlJc w:val="left"/>
      <w:lvlText w:val="(%1)"/>
      <w:numFmt w:val="lowerLetter"/>
      <w:start w:val="1"/>
    </w:lvl>
  </w:abstractNum>
  <w:abstractNum w:abstractNumId="385">
    <w:nsid w:val="24639756"/>
    <w:multiLevelType w:val="hybridMultilevel"/>
    <w:lvl w:ilvl="0">
      <w:lvlJc w:val="left"/>
      <w:lvlText w:val="(%1)"/>
      <w:numFmt w:val="lowerLetter"/>
      <w:start w:val="1"/>
    </w:lvl>
  </w:abstractNum>
  <w:abstractNum w:abstractNumId="386">
    <w:nsid w:val="9D30DFD"/>
    <w:multiLevelType w:val="hybridMultilevel"/>
    <w:lvl w:ilvl="0">
      <w:lvlJc w:val="left"/>
      <w:lvlText w:val="%1"/>
      <w:numFmt w:val="decimal"/>
      <w:start w:val="1"/>
    </w:lvl>
    <w:lvl w:ilvl="1">
      <w:lvlJc w:val="left"/>
      <w:lvlText w:val="(%2)"/>
      <w:numFmt w:val="lowerLetter"/>
      <w:start w:val="2"/>
    </w:lvl>
  </w:abstractNum>
  <w:abstractNum w:abstractNumId="387">
    <w:nsid w:val="70A42016"/>
    <w:multiLevelType w:val="hybridMultilevel"/>
    <w:lvl w:ilvl="0">
      <w:lvlJc w:val="left"/>
      <w:lvlText w:val="%1."/>
      <w:numFmt w:val="decimal"/>
      <w:start w:val="2"/>
    </w:lvl>
    <w:lvl w:ilvl="1">
      <w:lvlJc w:val="left"/>
      <w:lvlText w:val="%2"/>
      <w:numFmt w:val="lowerLetter"/>
      <w:start w:val="1"/>
    </w:lvl>
  </w:abstractNum>
  <w:abstractNum w:abstractNumId="388">
    <w:nsid w:val="161BC243"/>
    <w:multiLevelType w:val="hybridMultilevel"/>
    <w:lvl w:ilvl="0">
      <w:lvlJc w:val="left"/>
      <w:lvlText w:val="(%1)"/>
      <w:numFmt w:val="lowerLetter"/>
      <w:start w:val="1"/>
    </w:lvl>
  </w:abstractNum>
  <w:abstractNum w:abstractNumId="389">
    <w:nsid w:val="16E908C8"/>
    <w:multiLevelType w:val="hybridMultilevel"/>
    <w:lvl w:ilvl="0">
      <w:lvlJc w:val="left"/>
      <w:lvlText w:val="(%1)"/>
      <w:numFmt w:val="lowerLetter"/>
      <w:start w:val="1"/>
    </w:lvl>
  </w:abstractNum>
  <w:abstractNum w:abstractNumId="390">
    <w:nsid w:val="2E0D7671"/>
    <w:multiLevelType w:val="hybridMultilevel"/>
    <w:lvl w:ilvl="0">
      <w:lvlJc w:val="left"/>
      <w:lvlText w:val="%1."/>
      <w:numFmt w:val="decimal"/>
      <w:start w:val="3"/>
    </w:lvl>
    <w:lvl w:ilvl="1">
      <w:lvlJc w:val="left"/>
      <w:lvlText w:val="(%2)"/>
      <w:numFmt w:val="lowerLetter"/>
      <w:start w:val="1"/>
    </w:lvl>
  </w:abstractNum>
  <w:abstractNum w:abstractNumId="391">
    <w:nsid w:val="38B59EFF"/>
    <w:multiLevelType w:val="hybridMultilevel"/>
    <w:lvl w:ilvl="0">
      <w:lvlJc w:val="left"/>
      <w:lvlText w:val="%1."/>
      <w:numFmt w:val="decimal"/>
      <w:start w:val="4"/>
    </w:lvl>
  </w:abstractNum>
  <w:abstractNum w:abstractNumId="392">
    <w:nsid w:val="307995CA"/>
    <w:multiLevelType w:val="hybridMultilevel"/>
    <w:lvl w:ilvl="0">
      <w:lvlJc w:val="left"/>
      <w:lvlText w:val="(%1)"/>
      <w:numFmt w:val="lowerLetter"/>
      <w:start w:val="1"/>
    </w:lvl>
  </w:abstractNum>
  <w:abstractNum w:abstractNumId="393">
    <w:nsid w:val="52E2024D"/>
    <w:multiLevelType w:val="hybridMultilevel"/>
    <w:lvl w:ilvl="0">
      <w:lvlJc w:val="left"/>
      <w:lvlText w:val="(%1)"/>
      <w:numFmt w:val="lowerLetter"/>
      <w:start w:val="1"/>
    </w:lvl>
  </w:abstractNum>
  <w:abstractNum w:abstractNumId="394">
    <w:nsid w:val="CE344B5"/>
    <w:multiLevelType w:val="hybridMultilevel"/>
    <w:lvl w:ilvl="0">
      <w:lvlJc w:val="left"/>
      <w:lvlText w:val="(%1)"/>
      <w:numFmt w:val="lowerLetter"/>
      <w:start w:val="1"/>
    </w:lvl>
  </w:abstractNum>
  <w:abstractNum w:abstractNumId="395">
    <w:nsid w:val="29B0E9A8"/>
    <w:multiLevelType w:val="hybridMultilevel"/>
    <w:lvl w:ilvl="0">
      <w:lvlJc w:val="left"/>
      <w:lvlText w:val="%1."/>
      <w:numFmt w:val="decimal"/>
      <w:start w:val="5"/>
    </w:lvl>
  </w:abstractNum>
  <w:abstractNum w:abstractNumId="396">
    <w:nsid w:val="6F49CD8A"/>
    <w:multiLevelType w:val="hybridMultilevel"/>
    <w:lvl w:ilvl="0">
      <w:lvlJc w:val="left"/>
      <w:lvlText w:val="(%1)"/>
      <w:numFmt w:val="lowerLetter"/>
      <w:start w:val="1"/>
    </w:lvl>
  </w:abstractNum>
  <w:abstractNum w:abstractNumId="397">
    <w:nsid w:val="4DC5D907"/>
    <w:multiLevelType w:val="hybridMultilevel"/>
    <w:lvl w:ilvl="0">
      <w:lvlJc w:val="left"/>
      <w:lvlText w:val="(%1)"/>
      <w:numFmt w:val="lowerLetter"/>
      <w:start w:val="1"/>
    </w:lvl>
  </w:abstractNum>
  <w:abstractNum w:abstractNumId="398">
    <w:nsid w:val="D55945E"/>
    <w:multiLevelType w:val="hybridMultilevel"/>
    <w:lvl w:ilvl="0">
      <w:lvlJc w:val="left"/>
      <w:lvlText w:val="(%1)"/>
      <w:numFmt w:val="lowerLetter"/>
      <w:start w:val="13"/>
    </w:lvl>
  </w:abstractNum>
  <w:abstractNum w:abstractNumId="399">
    <w:nsid w:val="672417E1"/>
    <w:multiLevelType w:val="hybridMultilevel"/>
    <w:lvl w:ilvl="0">
      <w:lvlJc w:val="left"/>
      <w:lvlText w:val="(%1)"/>
      <w:numFmt w:val="lowerLetter"/>
      <w:start w:val="1"/>
    </w:lvl>
  </w:abstractNum>
  <w:abstractNum w:abstractNumId="400">
    <w:nsid w:val="5FF6CA09"/>
    <w:multiLevelType w:val="hybridMultilevel"/>
    <w:lvl w:ilvl="0">
      <w:lvlJc w:val="left"/>
      <w:lvlText w:val="(%1)"/>
      <w:numFmt w:val="lowerLetter"/>
      <w:start w:val="1"/>
    </w:lvl>
  </w:abstractNum>
  <w:abstractNum w:abstractNumId="401">
    <w:nsid w:val="330B1333"/>
    <w:multiLevelType w:val="hybridMultilevel"/>
    <w:lvl w:ilvl="0">
      <w:lvlJc w:val="left"/>
      <w:lvlText w:val="(%1)"/>
      <w:numFmt w:val="lowerLetter"/>
      <w:start w:val="1"/>
    </w:lvl>
    <w:lvl w:ilvl="1">
      <w:lvlJc w:val="left"/>
      <w:lvlText w:val="(%2)"/>
      <w:numFmt w:val="lowerLetter"/>
      <w:start w:val="2"/>
    </w:lvl>
  </w:abstractNum>
  <w:abstractNum w:abstractNumId="402">
    <w:nsid w:val="2EF32EA6"/>
    <w:multiLevelType w:val="hybridMultilevel"/>
    <w:lvl w:ilvl="0">
      <w:lvlJc w:val="left"/>
      <w:lvlText w:val="(%1)"/>
      <w:numFmt w:val="lowerLetter"/>
      <w:start w:val="3"/>
    </w:lvl>
  </w:abstractNum>
  <w:abstractNum w:abstractNumId="403">
    <w:nsid w:val="32766A55"/>
    <w:multiLevelType w:val="hybridMultilevel"/>
    <w:lvl w:ilvl="0">
      <w:lvlJc w:val="left"/>
      <w:lvlText w:val="(%1)"/>
      <w:numFmt w:val="lowerLetter"/>
      <w:start w:val="1"/>
    </w:lvl>
  </w:abstractNum>
  <w:abstractNum w:abstractNumId="404">
    <w:nsid w:val="22D71957"/>
    <w:multiLevelType w:val="hybridMultilevel"/>
    <w:lvl w:ilvl="0">
      <w:lvlJc w:val="left"/>
      <w:lvlText w:val="%1."/>
      <w:numFmt w:val="decimal"/>
      <w:start w:val="6"/>
    </w:lvl>
  </w:abstractNum>
  <w:abstractNum w:abstractNumId="405">
    <w:nsid w:val="4CC1263B"/>
    <w:multiLevelType w:val="hybridMultilevel"/>
    <w:lvl w:ilvl="0">
      <w:lvlJc w:val="left"/>
      <w:lvlText w:val="%1."/>
      <w:numFmt w:val="decimal"/>
      <w:start w:val="7"/>
    </w:lvl>
  </w:abstractNum>
  <w:abstractNum w:abstractNumId="406">
    <w:nsid w:val="8BBEB1D"/>
    <w:multiLevelType w:val="hybridMultilevel"/>
    <w:lvl w:ilvl="0">
      <w:lvlJc w:val="left"/>
      <w:lvlText w:val="%1"/>
      <w:numFmt w:val="lowerLetter"/>
      <w:start w:val="1"/>
    </w:lvl>
    <w:lvl w:ilvl="1">
      <w:lvlJc w:val="left"/>
      <w:lvlText w:val="(%2)"/>
      <w:numFmt w:val="lowerLetter"/>
      <w:start w:val="1"/>
    </w:lvl>
  </w:abstractNum>
  <w:abstractNum w:abstractNumId="407">
    <w:nsid w:val="7365F1EE"/>
    <w:multiLevelType w:val="hybridMultilevel"/>
    <w:lvl w:ilvl="0">
      <w:lvlJc w:val="left"/>
      <w:lvlText w:val="(%1)"/>
      <w:numFmt w:val="lowerLetter"/>
      <w:start w:val="1"/>
    </w:lvl>
    <w:lvl w:ilvl="1">
      <w:lvlJc w:val="left"/>
      <w:lvlText w:val="%2"/>
      <w:numFmt w:val="lowerLetter"/>
      <w:start w:val="1"/>
    </w:lvl>
  </w:abstractNum>
  <w:abstractNum w:abstractNumId="408">
    <w:nsid w:val="37524CF0"/>
    <w:multiLevelType w:val="hybridMultilevel"/>
    <w:lvl w:ilvl="0">
      <w:lvlJc w:val="left"/>
      <w:lvlText w:val="(%1)"/>
      <w:numFmt w:val="lowerLetter"/>
      <w:start w:val="1"/>
    </w:lvl>
  </w:abstractNum>
  <w:abstractNum w:abstractNumId="409">
    <w:nsid w:val="70CC332F"/>
    <w:multiLevelType w:val="hybridMultilevel"/>
    <w:lvl w:ilvl="0">
      <w:lvlJc w:val="left"/>
      <w:lvlText w:val="(%1)"/>
      <w:numFmt w:val="lowerLetter"/>
      <w:start w:val="2"/>
    </w:lvl>
  </w:abstractNum>
  <w:abstractNum w:abstractNumId="410">
    <w:nsid w:val="5661786E"/>
    <w:multiLevelType w:val="hybridMultilevel"/>
    <w:lvl w:ilvl="0">
      <w:lvlJc w:val="left"/>
      <w:lvlText w:val="%1."/>
      <w:numFmt w:val="decimal"/>
      <w:start w:val="8"/>
    </w:lvl>
  </w:abstractNum>
  <w:abstractNum w:abstractNumId="411">
    <w:nsid w:val="3AF6A220"/>
    <w:multiLevelType w:val="hybridMultilevel"/>
    <w:lvl w:ilvl="0">
      <w:lvlJc w:val="left"/>
      <w:lvlText w:val="(%1)"/>
      <w:numFmt w:val="lowerLetter"/>
      <w:start w:val="2"/>
    </w:lvl>
  </w:abstractNum>
  <w:abstractNum w:abstractNumId="412">
    <w:nsid w:val="3C5EA902"/>
    <w:multiLevelType w:val="hybridMultilevel"/>
    <w:lvl w:ilvl="0">
      <w:lvlJc w:val="left"/>
      <w:lvlText w:val="%1."/>
      <w:numFmt w:val="decimal"/>
      <w:start w:val="9"/>
    </w:lvl>
  </w:abstractNum>
  <w:abstractNum w:abstractNumId="413">
    <w:nsid w:val="256E6749"/>
    <w:multiLevelType w:val="hybridMultilevel"/>
    <w:lvl w:ilvl="0">
      <w:lvlJc w:val="left"/>
      <w:lvlText w:val="%1."/>
      <w:numFmt w:val="decimal"/>
      <w:start w:val="10"/>
    </w:lvl>
  </w:abstractNum>
  <w:abstractNum w:abstractNumId="414">
    <w:nsid w:val="1CB9A581"/>
    <w:multiLevelType w:val="hybridMultilevel"/>
    <w:lvl w:ilvl="0">
      <w:lvlJc w:val="left"/>
      <w:lvlText w:val="%1."/>
      <w:numFmt w:val="decimal"/>
      <w:start w:val="11"/>
    </w:lvl>
  </w:abstractNum>
  <w:abstractNum w:abstractNumId="415">
    <w:nsid w:val="1F7F42E2"/>
    <w:multiLevelType w:val="hybridMultilevel"/>
    <w:lvl w:ilvl="0">
      <w:lvlJc w:val="left"/>
      <w:lvlText w:val="(%1)"/>
      <w:numFmt w:val="lowerLetter"/>
      <w:start w:val="1"/>
    </w:lvl>
  </w:abstractNum>
  <w:abstractNum w:abstractNumId="416">
    <w:nsid w:val="49D1FEA0"/>
    <w:multiLevelType w:val="hybridMultilevel"/>
    <w:lvl w:ilvl="0">
      <w:lvlJc w:val="left"/>
      <w:lvlText w:val="%1."/>
      <w:numFmt w:val="decimal"/>
      <w:start w:val="12"/>
    </w:lvl>
    <w:lvl w:ilvl="1">
      <w:lvlJc w:val="left"/>
      <w:lvlText w:val="(%2)"/>
      <w:numFmt w:val="lowerLetter"/>
      <w:start w:val="1"/>
    </w:lvl>
  </w:abstractNum>
  <w:abstractNum w:abstractNumId="417">
    <w:nsid w:val="268CB37F"/>
    <w:multiLevelType w:val="hybridMultilevel"/>
    <w:lvl w:ilvl="0">
      <w:lvlJc w:val="left"/>
      <w:lvlText w:val="(%1)"/>
      <w:numFmt w:val="lowerLetter"/>
      <w:start w:val="2"/>
    </w:lvl>
  </w:abstractNum>
  <w:abstractNum w:abstractNumId="418">
    <w:nsid w:val="102362F8"/>
    <w:multiLevelType w:val="hybridMultilevel"/>
    <w:lvl w:ilvl="0">
      <w:lvlJc w:val="left"/>
      <w:lvlText w:val="(%1)"/>
      <w:numFmt w:val="decimal"/>
      <w:start w:val="1"/>
    </w:lvl>
  </w:abstractNum>
  <w:abstractNum w:abstractNumId="419">
    <w:nsid w:val="5FEDC0E3"/>
    <w:multiLevelType w:val="hybridMultilevel"/>
    <w:lvl w:ilvl="0">
      <w:lvlJc w:val="left"/>
      <w:lvlText w:val="(%1)"/>
      <w:numFmt w:val="lowerLetter"/>
      <w:start w:val="1"/>
    </w:lvl>
  </w:abstractNum>
  <w:abstractNum w:abstractNumId="420">
    <w:nsid w:val="3D75BC47"/>
    <w:multiLevelType w:val="hybridMultilevel"/>
    <w:lvl w:ilvl="0">
      <w:lvlJc w:val="left"/>
      <w:lvlText w:val="(%1)"/>
      <w:numFmt w:val="lowerLetter"/>
      <w:start w:val="1"/>
    </w:lvl>
  </w:abstractNum>
  <w:abstractNum w:abstractNumId="421">
    <w:nsid w:val="3E30D969"/>
    <w:multiLevelType w:val="hybridMultilevel"/>
    <w:lvl w:ilvl="0">
      <w:lvlJc w:val="left"/>
      <w:lvlText w:val="(%1)"/>
      <w:numFmt w:val="lowerLetter"/>
      <w:start w:val="6"/>
    </w:lvl>
  </w:abstractNum>
  <w:abstractNum w:abstractNumId="422">
    <w:nsid w:val="18A35FE3"/>
    <w:multiLevelType w:val="hybridMultilevel"/>
    <w:lvl w:ilvl="0">
      <w:lvlJc w:val="left"/>
      <w:lvlText w:val="(%1)"/>
      <w:numFmt w:val="lowerLetter"/>
      <w:start w:val="1"/>
    </w:lvl>
  </w:abstractNum>
  <w:abstractNum w:abstractNumId="423">
    <w:nsid w:val="6DEF5211"/>
    <w:multiLevelType w:val="hybridMultilevel"/>
    <w:lvl w:ilvl="0">
      <w:lvlJc w:val="left"/>
      <w:lvlText w:val="(%1)"/>
      <w:numFmt w:val="lowerLetter"/>
      <w:start w:val="4"/>
    </w:lvl>
  </w:abstractNum>
  <w:abstractNum w:abstractNumId="424">
    <w:nsid w:val="1112DBB6"/>
    <w:multiLevelType w:val="hybridMultilevel"/>
    <w:lvl w:ilvl="0">
      <w:lvlJc w:val="left"/>
      <w:lvlText w:val="(%1)"/>
      <w:numFmt w:val="lowerLetter"/>
      <w:start w:val="1"/>
    </w:lvl>
  </w:abstractNum>
  <w:abstractNum w:abstractNumId="425">
    <w:nsid w:val="2586A498"/>
    <w:multiLevelType w:val="hybridMultilevel"/>
    <w:lvl w:ilvl="0">
      <w:lvlJc w:val="left"/>
      <w:lvlText w:val="(%1)"/>
      <w:numFmt w:val="lowerLetter"/>
      <w:start w:val="1"/>
    </w:lvl>
  </w:abstractNum>
  <w:abstractNum w:abstractNumId="426">
    <w:nsid w:val="17A03BB9"/>
    <w:multiLevelType w:val="hybridMultilevel"/>
    <w:lvl w:ilvl="0">
      <w:lvlJc w:val="left"/>
      <w:lvlText w:val="(%1)"/>
      <w:numFmt w:val="lowerLetter"/>
      <w:start w:val="1"/>
    </w:lvl>
  </w:abstractNum>
  <w:abstractNum w:abstractNumId="427">
    <w:nsid w:val="5CA941"/>
    <w:multiLevelType w:val="hybridMultilevel"/>
    <w:lvl w:ilvl="0">
      <w:lvlJc w:val="left"/>
      <w:lvlText w:val="%1."/>
      <w:numFmt w:val="decimal"/>
      <w:start w:val="1"/>
    </w:lvl>
  </w:abstractNum>
  <w:abstractNum w:abstractNumId="428">
    <w:nsid w:val="734C7D9F"/>
    <w:multiLevelType w:val="hybridMultilevel"/>
    <w:lvl w:ilvl="0">
      <w:lvlJc w:val="left"/>
      <w:lvlText w:val="%1."/>
      <w:numFmt w:val="decimal"/>
      <w:start w:val="3"/>
    </w:lvl>
    <w:lvl w:ilvl="1">
      <w:lvlJc w:val="left"/>
      <w:lvlText w:val="\ldblquote"/>
      <w:numFmt w:val="bullet"/>
      <w:start w:val="1"/>
    </w:lvl>
  </w:abstractNum>
  <w:abstractNum w:abstractNumId="429">
    <w:nsid w:val="24F5D018"/>
    <w:multiLevelType w:val="hybridMultilevel"/>
    <w:lvl w:ilvl="0">
      <w:lvlJc w:val="left"/>
      <w:lvlText w:val="%1."/>
      <w:numFmt w:val="decimal"/>
      <w:start w:val="4"/>
    </w:lvl>
  </w:abstractNum>
  <w:abstractNum w:abstractNumId="430">
    <w:nsid w:val="6780C122"/>
    <w:multiLevelType w:val="hybridMultilevel"/>
    <w:lvl w:ilvl="0">
      <w:lvlJc w:val="left"/>
      <w:lvlText w:val="%1."/>
      <w:numFmt w:val="decimal"/>
      <w:start w:val="5"/>
    </w:lvl>
  </w:abstractNum>
  <w:abstractNum w:abstractNumId="431">
    <w:nsid w:val="534347A8"/>
    <w:multiLevelType w:val="hybridMultilevel"/>
    <w:lvl w:ilvl="0">
      <w:lvlJc w:val="left"/>
      <w:lvlText w:val="%1."/>
      <w:numFmt w:val="decimal"/>
      <w:start w:val="1"/>
    </w:lvl>
  </w:abstractNum>
  <w:abstractNum w:abstractNumId="432">
    <w:nsid w:val="5800E34B"/>
    <w:multiLevelType w:val="hybridMultilevel"/>
    <w:lvl w:ilvl="0">
      <w:lvlJc w:val="left"/>
      <w:lvlText w:val="\ldblquote"/>
      <w:numFmt w:val="bullet"/>
      <w:start w:val="1"/>
    </w:lvl>
    <w:lvl w:ilvl="1">
      <w:lvlJc w:val="left"/>
      <w:lvlText w:val="(%2)"/>
      <w:numFmt w:val="lowerLetter"/>
      <w:start w:val="1"/>
    </w:lvl>
  </w:abstractNum>
  <w:abstractNum w:abstractNumId="433">
    <w:nsid w:val="1673EFC8"/>
    <w:multiLevelType w:val="hybridMultilevel"/>
    <w:lvl w:ilvl="0">
      <w:lvlJc w:val="left"/>
      <w:lvlText w:val="(%1)"/>
      <w:numFmt w:val="lowerLetter"/>
      <w:start w:val="2"/>
    </w:lvl>
  </w:abstractNum>
  <w:abstractNum w:abstractNumId="434">
    <w:nsid w:val="5B9B1FD"/>
    <w:multiLevelType w:val="hybridMultilevel"/>
    <w:lvl w:ilvl="0">
      <w:lvlJc w:val="left"/>
      <w:lvlText w:val="\ldblquote"/>
      <w:numFmt w:val="bullet"/>
      <w:start w:val="1"/>
    </w:lvl>
    <w:lvl w:ilvl="1">
      <w:lvlJc w:val="left"/>
      <w:lvlText w:val="(%2)"/>
      <w:numFmt w:val="lowerLetter"/>
      <w:start w:val="2"/>
    </w:lvl>
    <w:lvl w:ilvl="2">
      <w:lvlJc w:val="left"/>
      <w:lvlText w:val="(%3)"/>
      <w:numFmt w:val="lowerRoman"/>
      <w:start w:val="1"/>
    </w:lvl>
  </w:abstractNum>
  <w:abstractNum w:abstractNumId="435">
    <w:nsid w:val="7AD7FCA2"/>
    <w:multiLevelType w:val="hybridMultilevel"/>
    <w:lvl w:ilvl="0">
      <w:lvlJc w:val="left"/>
      <w:lvlText w:val="\ldblquote"/>
      <w:numFmt w:val="bullet"/>
      <w:start w:val="1"/>
    </w:lvl>
    <w:lvl w:ilvl="1">
      <w:lvlJc w:val="left"/>
      <w:lvlText w:val="(%2)"/>
      <w:numFmt w:val="lowerLetter"/>
      <w:start w:val="5"/>
    </w:lvl>
  </w:abstractNum>
  <w:abstractNum w:abstractNumId="436">
    <w:nsid w:val="63351604"/>
    <w:multiLevelType w:val="hybridMultilevel"/>
    <w:lvl w:ilvl="0">
      <w:lvlJc w:val="left"/>
      <w:lvlText w:val="(%1)"/>
      <w:numFmt w:val="lowerLetter"/>
      <w:start w:val="1"/>
    </w:lvl>
  </w:abstractNum>
  <w:abstractNum w:abstractNumId="437">
    <w:nsid w:val="E759D1A"/>
    <w:multiLevelType w:val="hybridMultilevel"/>
    <w:lvl w:ilvl="0">
      <w:lvlJc w:val="left"/>
      <w:lvlText w:val="(%1)"/>
      <w:numFmt w:val="lowerLetter"/>
      <w:start w:val="2"/>
    </w:lvl>
  </w:abstractNum>
  <w:abstractNum w:abstractNumId="438">
    <w:nsid w:val="6E3DEE90"/>
    <w:multiLevelType w:val="hybridMultilevel"/>
    <w:lvl w:ilvl="0">
      <w:lvlJc w:val="left"/>
      <w:lvlText w:val="\ldblquote"/>
      <w:numFmt w:val="bullet"/>
      <w:start w:val="1"/>
    </w:lvl>
  </w:abstractNum>
  <w:abstractNum w:abstractNumId="439">
    <w:nsid w:val="1A8762F4"/>
    <w:multiLevelType w:val="hybridMultilevel"/>
    <w:lvl w:ilvl="0">
      <w:lvlJc w:val="left"/>
      <w:lvlText w:val="\ldblquote"/>
      <w:numFmt w:val="bullet"/>
      <w:start w:val="1"/>
    </w:lvl>
  </w:abstractNum>
  <w:abstractNum w:abstractNumId="440">
    <w:nsid w:val="7F41D049"/>
    <w:multiLevelType w:val="hybridMultilevel"/>
    <w:lvl w:ilvl="0">
      <w:lvlJc w:val="left"/>
      <w:lvlText w:val="\ldblquote"/>
      <w:numFmt w:val="bullet"/>
      <w:start w:val="1"/>
    </w:lvl>
    <w:lvl w:ilvl="1">
      <w:lvlJc w:val="left"/>
      <w:lvlText w:val="(%2)"/>
      <w:numFmt w:val="lowerLetter"/>
      <w:start w:val="1"/>
    </w:lvl>
  </w:abstractNum>
  <w:abstractNum w:abstractNumId="441">
    <w:nsid w:val="449F66FE"/>
    <w:multiLevelType w:val="hybridMultilevel"/>
    <w:lvl w:ilvl="0">
      <w:lvlJc w:val="left"/>
      <w:lvlText w:val="\ldblquote"/>
      <w:numFmt w:val="bullet"/>
      <w:start w:val="1"/>
    </w:lvl>
  </w:abstractNum>
  <w:abstractNum w:abstractNumId="442">
    <w:nsid w:val="557E0515"/>
    <w:multiLevelType w:val="hybridMultilevel"/>
    <w:lvl w:ilvl="0">
      <w:lvlJc w:val="left"/>
      <w:lvlText w:val="%1."/>
      <w:numFmt w:val="decimal"/>
      <w:start w:val="4"/>
    </w:lvl>
  </w:abstractNum>
  <w:abstractNum w:abstractNumId="443">
    <w:nsid w:val="3BA0794B"/>
    <w:multiLevelType w:val="hybridMultilevel"/>
    <w:lvl w:ilvl="0">
      <w:lvlJc w:val="left"/>
      <w:lvlText w:val="%1"/>
      <w:numFmt w:val="lowerRoman"/>
      <w:start w:val="1"/>
    </w:lvl>
    <w:lvl w:ilvl="1">
      <w:lvlJc w:val="left"/>
      <w:lvlText w:val="%2."/>
      <w:numFmt w:val="decimal"/>
      <w:start w:val="5"/>
    </w:lvl>
  </w:abstractNum>
  <w:abstractNum w:abstractNumId="444">
    <w:nsid w:val="6A0DCE48"/>
    <w:multiLevelType w:val="hybridMultilevel"/>
    <w:lvl w:ilvl="0">
      <w:lvlJc w:val="left"/>
      <w:lvlText w:val="(%1)"/>
      <w:numFmt w:val="lowerRoman"/>
      <w:start w:val="1"/>
    </w:lvl>
    <w:lvl w:ilvl="1">
      <w:lvlJc w:val="left"/>
      <w:lvlText w:val="%2"/>
      <w:numFmt w:val="decimal"/>
      <w:start w:val="1"/>
    </w:lvl>
  </w:abstractNum>
  <w:abstractNum w:abstractNumId="445">
    <w:nsid w:val="7237AA96"/>
    <w:multiLevelType w:val="hybridMultilevel"/>
    <w:lvl w:ilvl="0">
      <w:lvlJc w:val="left"/>
      <w:lvlText w:val="%1."/>
      <w:numFmt w:val="decimal"/>
      <w:start w:val="1"/>
    </w:lvl>
  </w:abstractNum>
  <w:abstractNum w:abstractNumId="446">
    <w:nsid w:val="5B1FBC2D"/>
    <w:multiLevelType w:val="hybridMultilevel"/>
    <w:lvl w:ilvl="0">
      <w:lvlJc w:val="left"/>
      <w:lvlText w:val="(%1)"/>
      <w:numFmt w:val="lowerLetter"/>
      <w:start w:val="1"/>
    </w:lvl>
  </w:abstractNum>
  <w:abstractNum w:abstractNumId="447">
    <w:nsid w:val="33DFCCE8"/>
    <w:multiLevelType w:val="hybridMultilevel"/>
    <w:lvl w:ilvl="0">
      <w:lvlJc w:val="left"/>
      <w:lvlText w:val="(%1)"/>
      <w:numFmt w:val="lowerLetter"/>
      <w:start w:val="2"/>
    </w:lvl>
  </w:abstractNum>
  <w:abstractNum w:abstractNumId="448">
    <w:nsid w:val="18C45E15"/>
    <w:multiLevelType w:val="hybridMultilevel"/>
    <w:lvl w:ilvl="0">
      <w:lvlJc w:val="left"/>
      <w:lvlText w:val="\ldblquote"/>
      <w:numFmt w:val="bullet"/>
      <w:start w:val="1"/>
    </w:lvl>
  </w:abstractNum>
  <w:abstractNum w:abstractNumId="449">
    <w:nsid w:val="6B431F25"/>
    <w:multiLevelType w:val="hybridMultilevel"/>
    <w:lvl w:ilvl="0">
      <w:lvlJc w:val="left"/>
      <w:lvlText w:val="\ldblquote"/>
      <w:numFmt w:val="bullet"/>
      <w:start w:val="1"/>
    </w:lvl>
  </w:abstractNum>
  <w:abstractNum w:abstractNumId="450">
    <w:nsid w:val="13CD8DCB"/>
    <w:multiLevelType w:val="hybridMultilevel"/>
    <w:lvl w:ilvl="0">
      <w:lvlJc w:val="left"/>
      <w:lvlText w:val="\ldblquote"/>
      <w:numFmt w:val="bullet"/>
      <w:start w:val="1"/>
    </w:lvl>
  </w:abstractNum>
  <w:abstractNum w:abstractNumId="451">
    <w:nsid w:val="563A1A5C"/>
    <w:multiLevelType w:val="hybridMultilevel"/>
    <w:lvl w:ilvl="0">
      <w:lvlJc w:val="left"/>
      <w:lvlText w:val="(%1)"/>
      <w:numFmt w:val="lowerLetter"/>
      <w:start w:val="7"/>
    </w:lvl>
  </w:abstractNum>
  <w:abstractNum w:abstractNumId="452">
    <w:nsid w:val="2973F88F"/>
    <w:multiLevelType w:val="hybridMultilevel"/>
    <w:lvl w:ilvl="0">
      <w:lvlJc w:val="left"/>
      <w:lvlText w:val="%1."/>
      <w:numFmt w:val="decimal"/>
      <w:start w:val="3"/>
    </w:lvl>
    <w:lvl w:ilvl="1">
      <w:lvlJc w:val="left"/>
      <w:lvlText w:val="\ldblquote"/>
      <w:numFmt w:val="bullet"/>
      <w:start w:val="1"/>
    </w:lvl>
  </w:abstractNum>
  <w:abstractNum w:abstractNumId="453">
    <w:nsid w:val="2C70EDAE"/>
    <w:multiLevelType w:val="hybridMultilevel"/>
    <w:lvl w:ilvl="0">
      <w:lvlJc w:val="left"/>
      <w:lvlText w:val="%1."/>
      <w:numFmt w:val="decimal"/>
      <w:start w:val="4"/>
    </w:lvl>
  </w:abstractNum>
  <w:abstractNum w:abstractNumId="454">
    <w:nsid w:val="44296C6D"/>
    <w:multiLevelType w:val="hybridMultilevel"/>
    <w:lvl w:ilvl="0">
      <w:lvlJc w:val="left"/>
      <w:lvlText w:val="%1."/>
      <w:numFmt w:val="decimal"/>
      <w:start w:val="5"/>
    </w:lvl>
  </w:abstractNum>
  <w:abstractNum w:abstractNumId="455">
    <w:nsid w:val="3A86D445"/>
    <w:multiLevelType w:val="hybridMultilevel"/>
    <w:lvl w:ilvl="0">
      <w:lvlJc w:val="left"/>
      <w:lvlText w:val="%1."/>
      <w:numFmt w:val="decimal"/>
      <w:start w:val="7"/>
    </w:lvl>
    <w:lvl w:ilvl="1">
      <w:lvlJc w:val="left"/>
      <w:lvlText w:val="%2."/>
      <w:numFmt w:val="upperLetter"/>
      <w:start w:val="1"/>
    </w:lvl>
  </w:abstractNum>
  <w:abstractNum w:abstractNumId="456">
    <w:nsid w:val="51F79246"/>
    <w:multiLevelType w:val="hybridMultilevel"/>
    <w:lvl w:ilvl="0">
      <w:lvlJc w:val="left"/>
      <w:lvlText w:val="%1."/>
      <w:numFmt w:val="decimal"/>
      <w:start w:val="8"/>
    </w:lvl>
  </w:abstractNum>
  <w:abstractNum w:abstractNumId="457">
    <w:nsid w:val="5BC9A827"/>
    <w:multiLevelType w:val="hybridMultilevel"/>
    <w:lvl w:ilvl="0">
      <w:lvlJc w:val="left"/>
      <w:lvlText w:val="%1."/>
      <w:numFmt w:val="decimal"/>
      <w:start w:val="1"/>
    </w:lvl>
  </w:abstractNum>
  <w:abstractNum w:abstractNumId="458">
    <w:nsid w:val="3AE37D86"/>
    <w:multiLevelType w:val="hybridMultilevel"/>
    <w:lvl w:ilvl="0">
      <w:lvlJc w:val="left"/>
      <w:lvlText w:val="(%1)"/>
      <w:numFmt w:val="lowerLetter"/>
      <w:start w:val="1"/>
    </w:lvl>
  </w:abstractNum>
  <w:abstractNum w:abstractNumId="459">
    <w:nsid w:val="45440FE5"/>
    <w:multiLevelType w:val="hybridMultilevel"/>
    <w:lvl w:ilvl="0">
      <w:lvlJc w:val="left"/>
      <w:lvlText w:val="(%1)"/>
      <w:numFmt w:val="lowerLetter"/>
      <w:start w:val="2"/>
    </w:lvl>
  </w:abstractNum>
  <w:abstractNum w:abstractNumId="460">
    <w:nsid w:val="BF783F"/>
    <w:multiLevelType w:val="hybridMultilevel"/>
    <w:lvl w:ilvl="0">
      <w:lvlJc w:val="left"/>
      <w:lvlText w:val="\ldblquote"/>
      <w:numFmt w:val="bullet"/>
      <w:start w:val="1"/>
    </w:lvl>
  </w:abstractNum>
  <w:abstractNum w:abstractNumId="461">
    <w:nsid w:val="22643EA9"/>
    <w:multiLevelType w:val="hybridMultilevel"/>
    <w:lvl w:ilvl="0">
      <w:lvlJc w:val="left"/>
      <w:lvlText w:val="\ldblquote"/>
      <w:numFmt w:val="bullet"/>
      <w:start w:val="1"/>
    </w:lvl>
    <w:lvl w:ilvl="1">
      <w:lvlJc w:val="left"/>
      <w:lvlText w:val="(%2)"/>
      <w:numFmt w:val="lowerLetter"/>
      <w:start w:val="1"/>
    </w:lvl>
  </w:abstractNum>
  <w:abstractNum w:abstractNumId="462">
    <w:nsid w:val="1887578D"/>
    <w:multiLevelType w:val="hybridMultilevel"/>
    <w:lvl w:ilvl="0">
      <w:lvlJc w:val="left"/>
      <w:lvlText w:val="\ldblquote"/>
      <w:numFmt w:val="bullet"/>
      <w:start w:val="1"/>
    </w:lvl>
    <w:lvl w:ilvl="1">
      <w:lvlJc w:val="left"/>
      <w:lvlText w:val="(%2)"/>
      <w:numFmt w:val="lowerLetter"/>
      <w:start w:val="3"/>
    </w:lvl>
  </w:abstractNum>
  <w:abstractNum w:abstractNumId="463">
    <w:nsid w:val="58C05B8A"/>
    <w:multiLevelType w:val="hybridMultilevel"/>
    <w:lvl w:ilvl="0">
      <w:lvlJc w:val="left"/>
      <w:lvlText w:val="\ldblquote"/>
      <w:numFmt w:val="bullet"/>
      <w:start w:val="1"/>
    </w:lvl>
  </w:abstractNum>
  <w:abstractNum w:abstractNumId="464">
    <w:nsid w:val="38D82E71"/>
    <w:multiLevelType w:val="hybridMultilevel"/>
    <w:lvl w:ilvl="0">
      <w:lvlJc w:val="left"/>
      <w:lvlText w:val="(%1)"/>
      <w:numFmt w:val="lowerLetter"/>
      <w:start w:val="5"/>
    </w:lvl>
  </w:abstractNum>
  <w:abstractNum w:abstractNumId="465">
    <w:nsid w:val="1E41098A"/>
    <w:multiLevelType w:val="hybridMultilevel"/>
    <w:lvl w:ilvl="0">
      <w:lvlJc w:val="left"/>
      <w:lvlText w:val="\ldblquote"/>
      <w:numFmt w:val="bullet"/>
      <w:start w:val="1"/>
    </w:lvl>
  </w:abstractNum>
  <w:abstractNum w:abstractNumId="466">
    <w:nsid w:val="5398582C"/>
    <w:multiLevelType w:val="hybridMultilevel"/>
    <w:lvl w:ilvl="0">
      <w:lvlJc w:val="left"/>
      <w:lvlText w:val="\ldblquote"/>
      <w:numFmt w:val="bullet"/>
      <w:start w:val="1"/>
    </w:lvl>
  </w:abstractNum>
  <w:abstractNum w:abstractNumId="467">
    <w:nsid w:val="1C0D4475"/>
    <w:multiLevelType w:val="hybridMultilevel"/>
    <w:lvl w:ilvl="0">
      <w:lvlJc w:val="left"/>
      <w:lvlText w:val="(%1)"/>
      <w:numFmt w:val="lowerLetter"/>
      <w:start w:val="9"/>
    </w:lvl>
  </w:abstractNum>
  <w:abstractNum w:abstractNumId="468">
    <w:nsid w:val="2CB6A6A4"/>
    <w:multiLevelType w:val="hybridMultilevel"/>
    <w:lvl w:ilvl="0">
      <w:lvlJc w:val="left"/>
      <w:lvlText w:val="\ldblquote"/>
      <w:numFmt w:val="bullet"/>
      <w:start w:val="1"/>
    </w:lvl>
  </w:abstractNum>
  <w:abstractNum w:abstractNumId="469">
    <w:nsid w:val="41D646BC"/>
    <w:multiLevelType w:val="hybridMultilevel"/>
    <w:lvl w:ilvl="0">
      <w:lvlJc w:val="left"/>
      <w:lvlText w:val="%1."/>
      <w:numFmt w:val="decimal"/>
      <w:start w:val="4"/>
    </w:lvl>
  </w:abstractNum>
  <w:abstractNum w:abstractNumId="470">
    <w:nsid w:val="3694A76A"/>
    <w:multiLevelType w:val="hybridMultilevel"/>
    <w:lvl w:ilvl="0">
      <w:lvlJc w:val="left"/>
      <w:lvlText w:val="%1."/>
      <w:numFmt w:val="decimal"/>
      <w:start w:val="5"/>
    </w:lvl>
  </w:abstractNum>
  <w:abstractNum w:abstractNumId="471">
    <w:nsid w:val="2BF876EE"/>
    <w:multiLevelType w:val="hybridMultilevel"/>
    <w:lvl w:ilvl="0">
      <w:lvlJc w:val="left"/>
      <w:lvlText w:val="C"/>
      <w:numFmt w:val="bullet"/>
      <w:start w:val="1"/>
    </w:lvl>
  </w:abstractNum>
  <w:abstractNum w:abstractNumId="472">
    <w:nsid w:val="675ADBA"/>
    <w:multiLevelType w:val="hybridMultilevel"/>
    <w:lvl w:ilvl="0">
      <w:lvlJc w:val="left"/>
      <w:lvlText w:val="E"/>
      <w:numFmt w:val="bullet"/>
      <w:start w:val="1"/>
    </w:lvl>
  </w:abstractNum>
  <w:abstractNum w:abstractNumId="473">
    <w:nsid w:val="C12AC7F"/>
    <w:multiLevelType w:val="hybridMultilevel"/>
    <w:lvl w:ilvl="0">
      <w:lvlJc w:val="left"/>
      <w:lvlText w:val="F"/>
      <w:numFmt w:val="bullet"/>
      <w:start w:val="1"/>
    </w:lvl>
  </w:abstractNum>
  <w:abstractNum w:abstractNumId="474">
    <w:nsid w:val="6798F039"/>
    <w:multiLevelType w:val="hybridMultilevel"/>
    <w:lvl w:ilvl="0">
      <w:lvlJc w:val="left"/>
      <w:lvlText w:val="G"/>
      <w:numFmt w:val="bullet"/>
      <w:start w:val="1"/>
    </w:lvl>
  </w:abstractNum>
  <w:abstractNum w:abstractNumId="475">
    <w:nsid w:val="70837C02"/>
    <w:multiLevelType w:val="hybridMultilevel"/>
    <w:lvl w:ilvl="0">
      <w:lvlJc w:val="left"/>
      <w:lvlText w:val="H"/>
      <w:numFmt w:val="bullet"/>
      <w:start w:val="1"/>
    </w:lvl>
  </w:abstractNum>
  <w:abstractNum w:abstractNumId="476">
    <w:nsid w:val="7E4A5715"/>
    <w:multiLevelType w:val="hybridMultilevel"/>
    <w:lvl w:ilvl="0">
      <w:lvlJc w:val="left"/>
      <w:lvlText w:val="I"/>
      <w:numFmt w:val="bullet"/>
      <w:start w:val="1"/>
    </w:lvl>
  </w:abstractNum>
  <w:abstractNum w:abstractNumId="477">
    <w:nsid w:val="42B8AC67"/>
    <w:multiLevelType w:val="hybridMultilevel"/>
    <w:lvl w:ilvl="0">
      <w:lvlJc w:val="left"/>
      <w:lvlText w:val="J"/>
      <w:numFmt w:val="bullet"/>
      <w:start w:val="1"/>
    </w:lvl>
  </w:abstractNum>
  <w:abstractNum w:abstractNumId="478">
    <w:nsid w:val="246348EA"/>
    <w:multiLevelType w:val="hybridMultilevel"/>
    <w:lvl w:ilvl="0">
      <w:lvlJc w:val="left"/>
      <w:lvlText w:val="L"/>
      <w:numFmt w:val="bullet"/>
      <w:start w:val="1"/>
    </w:lvl>
  </w:abstractNum>
  <w:abstractNum w:abstractNumId="479">
    <w:nsid w:val="170EB52B"/>
    <w:multiLevelType w:val="hybridMultilevel"/>
    <w:lvl w:ilvl="0">
      <w:lvlJc w:val="left"/>
      <w:lvlText w:val="%1."/>
      <w:numFmt w:val="decimal"/>
      <w:start w:val="1"/>
    </w:lvl>
  </w:abstractNum>
  <w:abstractNum w:abstractNumId="480">
    <w:nsid w:val="2DFBCB8C"/>
    <w:multiLevelType w:val="hybridMultilevel"/>
    <w:lvl w:ilvl="0">
      <w:lvlJc w:val="left"/>
      <w:lvlText w:val="%1."/>
      <w:numFmt w:val="decimal"/>
      <w:start w:val="6"/>
    </w:lvl>
  </w:abstractNum>
  <w:abstractNum w:abstractNumId="481">
    <w:nsid w:val="3830D6B6"/>
    <w:multiLevelType w:val="hybridMultilevel"/>
    <w:lvl w:ilvl="0">
      <w:lvlJc w:val="left"/>
      <w:lvlText w:val="%1."/>
      <w:numFmt w:val="decimal"/>
      <w:start w:val="8"/>
    </w:lvl>
  </w:abstractNum>
  <w:abstractNum w:abstractNumId="482">
    <w:nsid w:val="6D48CF87"/>
    <w:multiLevelType w:val="hybridMultilevel"/>
    <w:lvl w:ilvl="0">
      <w:lvlJc w:val="left"/>
      <w:lvlText w:val="%1."/>
      <w:numFmt w:val="decimal"/>
      <w:start w:val="11"/>
    </w:lvl>
  </w:abstractNum>
  <w:abstractNum w:abstractNumId="483">
    <w:nsid w:val="576FC41B"/>
    <w:multiLevelType w:val="hybridMultilevel"/>
    <w:lvl w:ilvl="0">
      <w:lvlJc w:val="left"/>
      <w:lvlText w:val="(%1)"/>
      <w:numFmt w:val="lowerLetter"/>
      <w:start w:val="1"/>
    </w:lvl>
  </w:abstractNum>
  <w:abstractNum w:abstractNumId="484">
    <w:nsid w:val="64A1C464"/>
    <w:multiLevelType w:val="hybridMultilevel"/>
    <w:lvl w:ilvl="0">
      <w:lvlJc w:val="left"/>
      <w:lvlText w:val="(%1)"/>
      <w:numFmt w:val="lowerLetter"/>
      <w:start w:val="14"/>
    </w:lvl>
  </w:abstractNum>
  <w:abstractNum w:abstractNumId="485">
    <w:nsid w:val="31723BF5"/>
    <w:multiLevelType w:val="hybridMultilevel"/>
    <w:lvl w:ilvl="0">
      <w:lvlJc w:val="left"/>
      <w:lvlText w:val="(%1)"/>
      <w:numFmt w:val="lowerLetter"/>
      <w:start w:val="1"/>
    </w:lvl>
    <w:lvl w:ilvl="1">
      <w:lvlJc w:val="left"/>
      <w:lvlText w:val="-"/>
      <w:numFmt w:val="bullet"/>
      <w:start w:val="1"/>
    </w:lvl>
  </w:abstractNum>
  <w:abstractNum w:abstractNumId="486">
    <w:nsid w:val="11F69861"/>
    <w:multiLevelType w:val="hybridMultilevel"/>
    <w:lvl w:ilvl="0">
      <w:lvlJc w:val="left"/>
      <w:lvlText w:val="(%1)"/>
      <w:numFmt w:val="lowerLetter"/>
      <w:start w:val="1"/>
    </w:lvl>
  </w:abstractNum>
  <w:abstractNum w:abstractNumId="487">
    <w:nsid w:val="369956AB"/>
    <w:multiLevelType w:val="hybridMultilevel"/>
    <w:lvl w:ilvl="0">
      <w:lvlJc w:val="left"/>
      <w:lvlText w:val="(%1)"/>
      <w:numFmt w:val="lowerLetter"/>
      <w:start w:val="1"/>
    </w:lvl>
    <w:lvl w:ilvl="1">
      <w:lvlJc w:val="left"/>
      <w:lvlText w:val="-"/>
      <w:numFmt w:val="bullet"/>
      <w:start w:val="1"/>
    </w:lvl>
  </w:abstractNum>
  <w:abstractNum w:abstractNumId="488">
    <w:nsid w:val="D3BE41C"/>
    <w:multiLevelType w:val="hybridMultilevel"/>
    <w:lvl w:ilvl="0">
      <w:lvlJc w:val="left"/>
      <w:lvlText w:val="(%1)"/>
      <w:numFmt w:val="lowerLetter"/>
      <w:start w:val="1"/>
    </w:lvl>
    <w:lvl w:ilvl="1">
      <w:lvlJc w:val="left"/>
      <w:lvlText w:val="-"/>
      <w:numFmt w:val="bullet"/>
      <w:start w:val="1"/>
    </w:lvl>
  </w:abstractNum>
  <w:abstractNum w:abstractNumId="489">
    <w:nsid w:val="4CDA15E7"/>
    <w:multiLevelType w:val="hybridMultilevel"/>
    <w:lvl w:ilvl="0">
      <w:lvlJc w:val="left"/>
      <w:lvlText w:val="(%1)"/>
      <w:numFmt w:val="lowerLetter"/>
      <w:start w:val="3"/>
    </w:lvl>
  </w:abstractNum>
  <w:abstractNum w:abstractNumId="490">
    <w:nsid w:val="7BDD6690"/>
    <w:multiLevelType w:val="hybridMultilevel"/>
    <w:lvl w:ilvl="0">
      <w:lvlJc w:val="left"/>
      <w:lvlText w:val="(%1)"/>
      <w:numFmt w:val="lowerLetter"/>
      <w:start w:val="1"/>
    </w:lvl>
    <w:lvl w:ilvl="1">
      <w:lvlJc w:val="left"/>
      <w:lvlText w:val="-"/>
      <w:numFmt w:val="bullet"/>
      <w:start w:val="1"/>
    </w:lvl>
  </w:abstractNum>
  <w:abstractNum w:abstractNumId="491">
    <w:nsid w:val="DFB5C5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92">
    <w:nsid w:val="6F3E549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93">
    <w:nsid w:val="1464BE1E"/>
    <w:multiLevelType w:val="hybridMultilevel"/>
    <w:lvl w:ilvl="0">
      <w:lvlJc w:val="left"/>
      <w:lvlText w:val="(%1)"/>
      <w:numFmt w:val="lowerLetter"/>
      <w:start w:val="5"/>
    </w:lvl>
  </w:abstractNum>
  <w:abstractNum w:abstractNumId="494">
    <w:nsid w:val="66BBB7E5"/>
    <w:multiLevelType w:val="hybridMultilevel"/>
    <w:lvl w:ilvl="0">
      <w:lvlJc w:val="left"/>
      <w:lvlText w:val="(%1)"/>
      <w:numFmt w:val="upperLetter"/>
      <w:start w:val="5"/>
    </w:lvl>
    <w:lvl w:ilvl="1">
      <w:lvlJc w:val="left"/>
      <w:lvlText w:val="-"/>
      <w:numFmt w:val="bullet"/>
      <w:start w:val="1"/>
    </w:lvl>
  </w:abstractNum>
  <w:abstractNum w:abstractNumId="495">
    <w:nsid w:val="28168302"/>
    <w:multiLevelType w:val="hybridMultilevel"/>
    <w:lvl w:ilvl="0">
      <w:lvlJc w:val="left"/>
      <w:lvlText w:val="(%1)"/>
      <w:numFmt w:val="lowerLetter"/>
      <w:start w:val="1"/>
    </w:lvl>
  </w:abstractNum>
  <w:abstractNum w:abstractNumId="496">
    <w:nsid w:val="32A5C7A8"/>
    <w:multiLevelType w:val="hybridMultilevel"/>
    <w:lvl w:ilvl="0">
      <w:lvlJc w:val="left"/>
      <w:lvlText w:val="(%1)"/>
      <w:numFmt w:val="lowerLetter"/>
      <w:start w:val="1"/>
    </w:lvl>
    <w:lvl w:ilvl="1">
      <w:lvlJc w:val="left"/>
      <w:lvlText w:val="(%2)"/>
      <w:numFmt w:val="lowerRoman"/>
      <w:start w:val="2"/>
    </w:lvl>
  </w:abstractNum>
  <w:abstractNum w:abstractNumId="497">
    <w:nsid w:val="3A541011"/>
    <w:multiLevelType w:val="hybridMultilevel"/>
    <w:lvl w:ilvl="0">
      <w:lvlJc w:val="left"/>
      <w:lvlText w:val="%1"/>
      <w:numFmt w:val="decimal"/>
      <w:start w:val="1"/>
    </w:lvl>
    <w:lvl w:ilvl="1">
      <w:lvlJc w:val="left"/>
      <w:lvlText w:val="(%2)"/>
      <w:numFmt w:val="lowerLetter"/>
      <w:start w:val="1"/>
    </w:lvl>
  </w:abstractNum>
  <w:abstractNum w:abstractNumId="498">
    <w:nsid w:val="4423C777"/>
    <w:multiLevelType w:val="hybridMultilevel"/>
    <w:lvl w:ilvl="0">
      <w:lvlJc w:val="left"/>
      <w:lvlText w:val="(%1)"/>
      <w:numFmt w:val="decimal"/>
      <w:start w:val="30"/>
    </w:lvl>
    <w:lvl w:ilvl="1">
      <w:lvlJc w:val="left"/>
      <w:lvlText w:val="(%2)"/>
      <w:numFmt w:val="lowerLetter"/>
      <w:start w:val="3"/>
    </w:lvl>
  </w:abstractNum>
  <w:abstractNum w:abstractNumId="499">
    <w:nsid w:val="5F5C6E4D"/>
    <w:multiLevelType w:val="hybridMultilevel"/>
    <w:lvl w:ilvl="0">
      <w:lvlJc w:val="left"/>
      <w:lvlText w:val="%1"/>
      <w:numFmt w:val="decimal"/>
      <w:start w:val="1"/>
    </w:lvl>
    <w:lvl w:ilvl="1">
      <w:lvlJc w:val="left"/>
      <w:lvlText w:val="(%2)"/>
      <w:numFmt w:val="lowerLetter"/>
      <w:start w:val="1"/>
    </w:lvl>
  </w:abstractNum>
  <w:abstractNum w:abstractNumId="500">
    <w:nsid w:val="7C2A56CD"/>
    <w:multiLevelType w:val="hybridMultilevel"/>
    <w:lvl w:ilvl="0">
      <w:lvlJc w:val="left"/>
      <w:lvlText w:val="(%1)"/>
      <w:numFmt w:val="decimal"/>
      <w:start w:val="10"/>
    </w:lvl>
    <w:lvl w:ilvl="1">
      <w:lvlJc w:val="left"/>
      <w:lvlText w:val="%2"/>
      <w:numFmt w:val="lowerLetter"/>
      <w:start w:val="1"/>
    </w:lvl>
  </w:abstractNum>
  <w:abstractNum w:abstractNumId="501">
    <w:nsid w:val="7AB86EE1"/>
    <w:multiLevelType w:val="hybridMultilevel"/>
    <w:lvl w:ilvl="0">
      <w:lvlJc w:val="left"/>
      <w:lvlText w:val="(%1)"/>
      <w:numFmt w:val="decimal"/>
      <w:start w:val="10"/>
    </w:lvl>
    <w:lvl w:ilvl="1">
      <w:lvlJc w:val="left"/>
      <w:lvlText w:val="%2"/>
      <w:numFmt w:val="lowerLetter"/>
      <w:start w:val="1"/>
    </w:lvl>
  </w:abstractNum>
  <w:abstractNum w:abstractNumId="502">
    <w:nsid w:val="B54E53B"/>
    <w:multiLevelType w:val="hybridMultilevel"/>
    <w:lvl w:ilvl="0">
      <w:lvlJc w:val="left"/>
      <w:lvlText w:val="(%1)"/>
      <w:numFmt w:val="lowerLetter"/>
      <w:start w:val="1"/>
    </w:lvl>
    <w:lvl w:ilvl="1">
      <w:lvlJc w:val="left"/>
      <w:lvlText w:val="-"/>
      <w:numFmt w:val="bullet"/>
      <w:start w:val="1"/>
    </w:lvl>
  </w:abstractNum>
  <w:abstractNum w:abstractNumId="503">
    <w:nsid w:val="2A00487"/>
    <w:multiLevelType w:val="hybridMultilevel"/>
    <w:lvl w:ilvl="0">
      <w:lvlJc w:val="left"/>
      <w:lvlText w:val="(%1)"/>
      <w:numFmt w:val="lowerLetter"/>
      <w:start w:val="4"/>
    </w:lvl>
  </w:abstractNum>
  <w:abstractNum w:abstractNumId="504">
    <w:nsid w:val="6CB1B60"/>
    <w:multiLevelType w:val="hybridMultilevel"/>
    <w:lvl w:ilvl="0">
      <w:lvlJc w:val="left"/>
      <w:lvlText w:val="(%1)"/>
      <w:numFmt w:val="lowerRoman"/>
      <w:start w:val="1"/>
    </w:lvl>
  </w:abstractNum>
  <w:abstractNum w:abstractNumId="505">
    <w:nsid w:val="72EDD574"/>
    <w:multiLevelType w:val="hybridMultilevel"/>
    <w:lvl w:ilvl="0">
      <w:lvlJc w:val="left"/>
      <w:lvlText w:val="(%1)"/>
      <w:numFmt w:val="lowerLetter"/>
      <w:start w:val="2"/>
    </w:lvl>
  </w:abstractNum>
  <w:abstractNum w:abstractNumId="506">
    <w:nsid w:val="7323808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07">
    <w:nsid w:val="5157276"/>
    <w:multiLevelType w:val="hybridMultilevel"/>
    <w:lvl w:ilvl="0">
      <w:lvlJc w:val="left"/>
      <w:lvlText w:val="(%1)"/>
      <w:numFmt w:val="upperLetter"/>
      <w:start w:val="7"/>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508">
    <w:nsid w:val="35A681DB"/>
    <w:multiLevelType w:val="hybridMultilevel"/>
    <w:lvl w:ilvl="0">
      <w:lvlJc w:val="left"/>
      <w:lvlText w:val="(%1)"/>
      <w:numFmt w:val="lowerLetter"/>
      <w:start w:val="4"/>
    </w:lvl>
  </w:abstractNum>
  <w:abstractNum w:abstractNumId="509">
    <w:nsid w:val="1786C974"/>
    <w:multiLevelType w:val="hybridMultilevel"/>
    <w:lvl w:ilvl="0">
      <w:lvlJc w:val="left"/>
      <w:lvlText w:val="(%1)"/>
      <w:numFmt w:val="lowerLetter"/>
      <w:start w:val="2"/>
    </w:lvl>
  </w:abstractNum>
  <w:abstractNum w:abstractNumId="510">
    <w:nsid w:val="1C2427A1"/>
    <w:multiLevelType w:val="hybridMultilevel"/>
    <w:lvl w:ilvl="0">
      <w:lvlJc w:val="left"/>
      <w:lvlText w:val="(%1)"/>
      <w:numFmt w:val="lowerRoman"/>
      <w:start w:val="1"/>
    </w:lvl>
  </w:abstractNum>
  <w:abstractNum w:abstractNumId="511">
    <w:nsid w:val="63A24D68"/>
    <w:multiLevelType w:val="hybridMultilevel"/>
    <w:lvl w:ilvl="0">
      <w:lvlJc w:val="left"/>
      <w:lvlText w:val="(%1)"/>
      <w:numFmt w:val="lowerLetter"/>
      <w:start w:val="1"/>
    </w:lvl>
  </w:abstractNum>
  <w:abstractNum w:abstractNumId="512">
    <w:nsid w:val="4FB7A02A"/>
    <w:multiLevelType w:val="hybridMultilevel"/>
    <w:lvl w:ilvl="0">
      <w:lvlJc w:val="left"/>
      <w:lvlText w:val="(%1)"/>
      <w:numFmt w:val="lowerRoman"/>
      <w:start w:val="1"/>
    </w:lvl>
    <w:lvl w:ilvl="1">
      <w:lvlJc w:val="left"/>
      <w:lvlText w:val="-"/>
      <w:numFmt w:val="bullet"/>
      <w:start w:val="1"/>
    </w:lvl>
  </w:abstractNum>
  <w:abstractNum w:abstractNumId="513">
    <w:nsid w:val="96CF728"/>
    <w:multiLevelType w:val="hybridMultilevel"/>
    <w:lvl w:ilvl="0">
      <w:lvlJc w:val="left"/>
      <w:lvlText w:val="(%1)"/>
      <w:numFmt w:val="lowerLetter"/>
      <w:start w:val="1"/>
    </w:lvl>
    <w:lvl w:ilvl="1">
      <w:lvlJc w:val="left"/>
      <w:lvlText w:val="-"/>
      <w:numFmt w:val="bullet"/>
      <w:start w:val="1"/>
    </w:lvl>
  </w:abstractNum>
  <w:abstractNum w:abstractNumId="514">
    <w:nsid w:val="3B121183"/>
    <w:multiLevelType w:val="hybridMultilevel"/>
    <w:lvl w:ilvl="0">
      <w:lvlJc w:val="left"/>
      <w:lvlText w:val="%1."/>
      <w:numFmt w:val="decimal"/>
      <w:start w:val="1"/>
    </w:lvl>
  </w:abstractNum>
  <w:abstractNum w:abstractNumId="515">
    <w:nsid w:val="3459648F"/>
    <w:multiLevelType w:val="hybridMultilevel"/>
    <w:lvl w:ilvl="0">
      <w:lvlJc w:val="left"/>
      <w:lvlText w:val="%1."/>
      <w:numFmt w:val="decimal"/>
      <w:start w:val="15"/>
    </w:lvl>
  </w:abstractNum>
  <w:abstractNum w:abstractNumId="516">
    <w:nsid w:val="3ADF331D"/>
    <w:multiLevelType w:val="hybridMultilevel"/>
    <w:lvl w:ilvl="0">
      <w:lvlJc w:val="left"/>
      <w:lvlText w:val="%1."/>
      <w:numFmt w:val="decimal"/>
      <w:start w:val="1"/>
    </w:lvl>
    <w:lvl w:ilvl="1">
      <w:lvlJc w:val="left"/>
      <w:lvlText w:val="(%2)"/>
      <w:numFmt w:val="upperLetter"/>
      <w:start w:val="1"/>
    </w:lvl>
  </w:abstractNum>
  <w:abstractNum w:abstractNumId="517">
    <w:nsid w:val="4D08A9E4"/>
    <w:multiLevelType w:val="hybridMultilevel"/>
    <w:lvl w:ilvl="0">
      <w:lvlJc w:val="left"/>
      <w:lvlText w:val="."/>
      <w:numFmt w:val="bullet"/>
      <w:start w:val="1"/>
    </w:lvl>
  </w:abstractNum>
  <w:abstractNum w:abstractNumId="518">
    <w:nsid w:val="6AF2BB3A"/>
    <w:multiLevelType w:val="hybridMultilevel"/>
    <w:lvl w:ilvl="0">
      <w:lvlJc w:val="left"/>
      <w:lvlText w:val="(%1)"/>
      <w:numFmt w:val="decimal"/>
      <w:start w:val="408"/>
    </w:lvl>
  </w:abstractNum>
  <w:abstractNum w:abstractNumId="519">
    <w:nsid w:val="481B1739"/>
    <w:multiLevelType w:val="hybridMultilevel"/>
    <w:lvl w:ilvl="0">
      <w:lvlJc w:val="left"/>
      <w:lvlText w:val="%1."/>
      <w:numFmt w:val="decimal"/>
      <w:start w:val="1"/>
    </w:lvl>
  </w:abstractNum>
  <w:abstractNum w:abstractNumId="520">
    <w:nsid w:val="19E2BFCC"/>
    <w:multiLevelType w:val="hybridMultilevel"/>
    <w:lvl w:ilvl="0">
      <w:lvlJc w:val="left"/>
      <w:lvlText w:val="%1)"/>
      <w:numFmt w:val="decimal"/>
      <w:start w:val="1"/>
    </w:lvl>
  </w:abstractNum>
  <w:abstractNum w:abstractNumId="521">
    <w:nsid w:val="66D021CA"/>
    <w:multiLevelType w:val="hybridMultilevel"/>
    <w:lvl w:ilvl="0">
      <w:lvlJc w:val="left"/>
      <w:lvlText w:val="%1)"/>
      <w:numFmt w:val="decimal"/>
      <w:start w:val="4"/>
    </w:lvl>
  </w:abstractNum>
  <w:abstractNum w:abstractNumId="522">
    <w:nsid w:val="56167394"/>
    <w:multiLevelType w:val="hybridMultilevel"/>
    <w:lvl w:ilvl="0">
      <w:lvlJc w:val="left"/>
      <w:lvlText w:val="%1)"/>
      <w:numFmt w:val="decimal"/>
      <w:start w:val="5"/>
    </w:lvl>
  </w:abstractNum>
  <w:abstractNum w:abstractNumId="523">
    <w:nsid w:val="921145C"/>
    <w:multiLevelType w:val="hybridMultilevel"/>
    <w:lvl w:ilvl="0">
      <w:lvlJc w:val="left"/>
      <w:lvlText w:val="%1)"/>
      <w:numFmt w:val="decimal"/>
      <w:start w:val="6"/>
    </w:lvl>
  </w:abstractNum>
  <w:abstractNum w:abstractNumId="524">
    <w:nsid w:val="7B34DFE8"/>
    <w:multiLevelType w:val="hybridMultilevel"/>
    <w:lvl w:ilvl="0">
      <w:lvlJc w:val="left"/>
      <w:lvlText w:val="%1)"/>
      <w:numFmt w:val="decimal"/>
      <w:start w:val="1"/>
    </w:lvl>
  </w:abstractNum>
  <w:abstractNum w:abstractNumId="525">
    <w:nsid w:val="3CD22B79"/>
    <w:multiLevelType w:val="hybridMultilevel"/>
    <w:lvl w:ilvl="0">
      <w:lvlJc w:val="left"/>
      <w:lvlText w:val="%1."/>
      <w:numFmt w:val="decimal"/>
      <w:start w:val="1"/>
    </w:lvl>
    <w:lvl w:ilvl="1">
      <w:lvlJc w:val="left"/>
      <w:lvlText w:val="(%2)"/>
      <w:numFmt w:val="lowerLetter"/>
      <w:start w:val="1"/>
    </w:lvl>
  </w:abstractNum>
  <w:abstractNum w:abstractNumId="526">
    <w:nsid w:val="3137975E"/>
    <w:multiLevelType w:val="hybridMultilevel"/>
    <w:lvl w:ilvl="0">
      <w:lvlJc w:val="left"/>
      <w:lvlText w:val="(%1)"/>
      <w:numFmt w:val="lowerLetter"/>
      <w:start w:val="3"/>
    </w:lvl>
  </w:abstractNum>
  <w:abstractNum w:abstractNumId="527">
    <w:nsid w:val="2DDAA791"/>
    <w:multiLevelType w:val="hybridMultilevel"/>
    <w:lvl w:ilvl="0">
      <w:lvlJc w:val="left"/>
      <w:lvlText w:val="%1."/>
      <w:numFmt w:val="decimal"/>
      <w:start w:val="2"/>
    </w:lvl>
    <w:lvl w:ilvl="1">
      <w:lvlJc w:val="left"/>
      <w:lvlText w:val="(%2)"/>
      <w:numFmt w:val="lowerLetter"/>
      <w:start w:val="1"/>
    </w:lvl>
  </w:abstractNum>
  <w:abstractNum w:abstractNumId="528">
    <w:nsid w:val="77263B8A"/>
    <w:multiLevelType w:val="hybridMultilevel"/>
    <w:lvl w:ilvl="0">
      <w:lvlJc w:val="left"/>
      <w:lvlText w:val="(%1)"/>
      <w:numFmt w:val="lowerLetter"/>
      <w:start w:val="7"/>
    </w:lvl>
  </w:abstractNum>
  <w:abstractNum w:abstractNumId="529">
    <w:nsid w:val="755B5ED6"/>
    <w:multiLevelType w:val="hybridMultilevel"/>
    <w:lvl w:ilvl="0">
      <w:lvlJc w:val="left"/>
      <w:lvlText w:val="%1."/>
      <w:numFmt w:val="decimal"/>
      <w:start w:val="4"/>
    </w:lvl>
  </w:abstractNum>
  <w:abstractNum w:abstractNumId="530">
    <w:nsid w:val="D3715DE"/>
    <w:multiLevelType w:val="hybridMultilevel"/>
    <w:lvl w:ilvl="0">
      <w:lvlJc w:val="left"/>
      <w:lvlText w:val="%1."/>
      <w:numFmt w:val="decimal"/>
      <w:start w:val="13"/>
    </w:lvl>
  </w:abstractNum>
  <w:abstractNum w:abstractNumId="531">
    <w:nsid w:val="73509257"/>
    <w:multiLevelType w:val="hybridMultilevel"/>
    <w:lvl w:ilvl="0">
      <w:lvlJc w:val="left"/>
      <w:lvlText w:val="%1."/>
      <w:numFmt w:val="decimal"/>
      <w:start w:val="16"/>
    </w:lvl>
  </w:abstractNum>
  <w:abstractNum w:abstractNumId="532">
    <w:nsid w:val="7013CDB7"/>
    <w:multiLevelType w:val="hybridMultilevel"/>
    <w:lvl w:ilvl="0">
      <w:lvlJc w:val="left"/>
      <w:lvlText w:val="%1."/>
      <w:numFmt w:val="decimal"/>
      <w:start w:val="1"/>
    </w:lvl>
  </w:abstractNum>
  <w:abstractNum w:abstractNumId="533">
    <w:nsid w:val="188BFB19"/>
    <w:multiLevelType w:val="hybridMultilevel"/>
    <w:lvl w:ilvl="0">
      <w:lvlJc w:val="left"/>
      <w:lvlText w:val="(%1)"/>
      <w:numFmt w:val="lowerLetter"/>
      <w:start w:val="12"/>
    </w:lvl>
  </w:abstractNum>
  <w:abstractNum w:abstractNumId="534">
    <w:nsid w:val="75F096DF"/>
    <w:multiLevelType w:val="hybridMultilevel"/>
    <w:lvl w:ilvl="0">
      <w:lvlJc w:val="left"/>
      <w:lvlText w:val="*"/>
      <w:numFmt w:val="bullet"/>
      <w:start w:val="1"/>
    </w:lvl>
  </w:abstractNum>
  <w:abstractNum w:abstractNumId="535">
    <w:nsid w:val="76DEE918"/>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536">
    <w:nsid w:val="B79D08D"/>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537">
    <w:nsid w:val="69141769"/>
    <w:multiLevelType w:val="hybridMultilevel"/>
    <w:lvl w:ilvl="0">
      <w:lvlJc w:val="left"/>
      <w:lvlText w:val="**"/>
      <w:numFmt w:val="bullet"/>
      <w:start w:val="1"/>
    </w:lvl>
    <w:lvl w:ilvl="1">
      <w:lvlJc w:val="left"/>
      <w:lvlText w:val="%2."/>
      <w:numFmt w:val="decimal"/>
      <w:start w:val="2"/>
    </w:lvl>
    <w:lvl w:ilvl="2">
      <w:lvlJc w:val="left"/>
      <w:lvlText w:val="%3"/>
      <w:numFmt w:val="lowerRoman"/>
      <w:start w:val="1"/>
    </w:lvl>
  </w:abstractNum>
  <w:abstractNum w:abstractNumId="538">
    <w:nsid w:val="7BF45B8E"/>
    <w:multiLevelType w:val="hybridMultilevel"/>
    <w:lvl w:ilvl="0">
      <w:lvlJc w:val="left"/>
      <w:lvlText w:val="%1."/>
      <w:numFmt w:val="decimal"/>
      <w:start w:val="4"/>
    </w:lvl>
  </w:abstractNum>
  <w:abstractNum w:abstractNumId="539">
    <w:nsid w:val="41205269"/>
    <w:multiLevelType w:val="hybridMultilevel"/>
    <w:lvl w:ilvl="0">
      <w:lvlJc w:val="left"/>
      <w:lvlText w:val="%1."/>
      <w:numFmt w:val="decimal"/>
      <w:start w:val="5"/>
    </w:lvl>
    <w:lvl w:ilvl="1">
      <w:lvlJc w:val="left"/>
      <w:lvlText w:val="(%2)"/>
      <w:numFmt w:val="lowerLetter"/>
      <w:start w:val="1"/>
    </w:lvl>
  </w:abstractNum>
  <w:abstractNum w:abstractNumId="540">
    <w:nsid w:val="9AE0DD"/>
    <w:multiLevelType w:val="hybridMultilevel"/>
    <w:lvl w:ilvl="0">
      <w:lvlJc w:val="left"/>
      <w:lvlText w:val="%1."/>
      <w:numFmt w:val="decimal"/>
      <w:start w:val="6"/>
    </w:lvl>
    <w:lvl w:ilvl="1">
      <w:lvlJc w:val="left"/>
      <w:lvlText w:val="(%2)"/>
      <w:numFmt w:val="lowerLetter"/>
      <w:start w:val="1"/>
    </w:lvl>
  </w:abstractNum>
  <w:abstractNum w:abstractNumId="541">
    <w:nsid w:val="1818832F"/>
    <w:multiLevelType w:val="hybridMultilevel"/>
    <w:lvl w:ilvl="0">
      <w:lvlJc w:val="left"/>
      <w:lvlText w:val="%1."/>
      <w:numFmt w:val="decimal"/>
      <w:start w:val="8"/>
    </w:lvl>
  </w:abstractNum>
  <w:abstractNum w:abstractNumId="542">
    <w:nsid w:val="24C29FD1"/>
    <w:multiLevelType w:val="hybridMultilevel"/>
    <w:lvl w:ilvl="0">
      <w:lvlJc w:val="left"/>
      <w:lvlText w:val="•"/>
      <w:numFmt w:val="bullet"/>
      <w:start w:val="1"/>
    </w:lvl>
    <w:lvl w:ilvl="1">
      <w:lvlJc w:val="left"/>
      <w:lvlText w:val="•"/>
      <w:numFmt w:val="bullet"/>
      <w:start w:val="1"/>
    </w:lvl>
  </w:abstractNum>
  <w:abstractNum w:abstractNumId="543">
    <w:nsid w:val="50528108"/>
    <w:multiLevelType w:val="hybridMultilevel"/>
    <w:lvl w:ilvl="0">
      <w:lvlJc w:val="left"/>
      <w:lvlText w:val="•"/>
      <w:numFmt w:val="bullet"/>
      <w:start w:val="1"/>
    </w:lvl>
  </w:abstractNum>
  <w:abstractNum w:abstractNumId="544">
    <w:nsid w:val="21857A5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jpe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2026-05-19T16:24:35Z</dcterms:created>
  <dcterms:modified xsi:type="dcterms:W3CDTF">2026-05-19T16:24:35Z</dcterms:modified>
</cp:coreProperties>
</file>