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657677-20260609.htm"/>
      <w:bookmarkStart w:id="1" w:name="ksck000165767720260609"/>
      <w:bookmarkEnd w:id="0"/>
      <w:bookmarkEnd w:id="1"/>
      <w:r>
        <w:rPr/>
        <w:t> </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4"/>
        </w:rPr>
        <w:t>FORM 8-K</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Date of Report (Date of earliest event reported): June 9, 2026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46"/>
        </w:rPr>
      </w:pPr>
      <w:r>
        <w:rPr>
          <w:rFonts w:ascii="Times New Roman" w:hAnsi="Times New Roman"/>
          <w:b/>
          <w:color w:val="000000"/>
          <w:sz w:val="46"/>
        </w:rPr>
        <w:t xml:space="preserve">PARABILIS MEDICINES, INC.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47-4505725</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Parabilis Medicines, Inc.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30 Acorn Park Drive </w:t>
      </w:r>
    </w:p>
    <w:p>
      <w:pPr>
        <w:pStyle w:val="TextBody"/>
        <w:bidi w:val="0"/>
        <w:jc w:val="center"/>
        <w:rPr>
          <w:rFonts w:ascii="Times New Roman" w:hAnsi="Times New Roman"/>
          <w:sz w:val="20"/>
        </w:rPr>
      </w:pPr>
      <w:r>
        <w:rPr>
          <w:rFonts w:ascii="Times New Roman" w:hAnsi="Times New Roman"/>
          <w:b/>
          <w:color w:val="000000"/>
          <w:sz w:val="20"/>
        </w:rPr>
        <w:t>Cambridge, MA</w:t>
      </w:r>
      <w:r>
        <w:rPr>
          <w:rFonts w:ascii="Times New Roman" w:hAnsi="Times New Roman"/>
          <w:color w:val="000000"/>
          <w:sz w:val="20"/>
        </w:rPr>
        <w:t xml:space="preserve"> </w:t>
      </w:r>
      <w:r>
        <w:rPr>
          <w:rFonts w:ascii="Times New Roman" w:hAnsi="Times New Roman"/>
          <w:b/>
          <w:color w:val="000000"/>
          <w:sz w:val="20"/>
        </w:rPr>
        <w:t>02140</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(617) 945-9510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850" w:type="dxa"/>
        <w:jc w:val="left"/>
        <w:tblInd w:w="0" w:type="dxa"/>
        <w:tblLayout w:type="fixed"/>
        <w:tblCellMar>
          <w:top w:w="28" w:type="dxa"/>
          <w:left w:w="28" w:type="dxa"/>
          <w:bottom w:w="28" w:type="dxa"/>
          <w:right w:w="28" w:type="dxa"/>
        </w:tblCellMar>
      </w:tblPr>
      <w:tblGrid>
        <w:gridCol w:w="3286"/>
        <w:gridCol w:w="146"/>
        <w:gridCol w:w="886"/>
        <w:gridCol w:w="146"/>
        <w:gridCol w:w="238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Trade</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Name of each exchange</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PBLS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Emerging growth company 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9, 2026, Parabilis Medicines, Inc. (the “Company”) entered into a Stock Purchase Agreement (the “Purchase Agreement”) with Regeneron Pharmaceuticals, Inc. (“Regeneron”), for the purchase of an aggregate of 4,166,666 shares (the “Shares”) of its voting common stock, par value $0.0001 (“Common Stock”), at a per share price equal to 90% of the initial public offering (“IPO”) price of $20.00 per share, through a private placement financing (the “Private Placement”), which took place concurrently with the IPO of the Company’s Common Stock. The Private Placement closed on June 11,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Purchase Agreement, Regeneron is entitled to certain piggyback registration rights. The Purchase Agreement contains customary representations, warranties and agreements by the Company and Regeneron.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Purchase Agreement does not purport to be complete and is qualified in its entirety by reference to the full text of the Purchase Agreement, which is filed as Exhibit 10.1 to this Current Report on Form 8-K and is incorporated herein by reference. The representations, warranties and covenants contained in the Purchase Agreement were made solely for the benefit of the parties to thereto and may be subject to limitations agreed upon by the contracting parties. Accordingly, the Purchase Agreement is incorporated herein by reference only to provide investors with information regarding the terms thereof and not to provide investors with any other factual information regarding the Company or its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Item 3.02 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required by Item 3.02 of Form 8-K, the information regarding the Shares sold in the Private Placement set forth under Item 1.01 of this Current Report on Form 8-K is incorporated by reference in this Item 3.02. The Shares issued and sold in the Private Placement have not been registered under the Securities Act of 1933, as amended (the “Securities Act”), or applicable state securities laws, and were issued and sold pursuant to Section 4(a)(2) of the Securities Act. Regeneron has represented that it is an “institutional accredited investor” within the meaning of Rule 501 of Regulation D under the Securities Act, and is acquiring the Shares for investment purposes only and not with a view to any public distribution or with any intention of selling, distributing or otherwise disposing of the Shares in a manner that would violate the registration requirements of the Securities Act. The Shares were offered without any general solicitation by the Company or its representatives. </w:t>
      </w:r>
    </w:p>
    <w:p>
      <w:pPr>
        <w:pStyle w:val="TextBody"/>
        <w:bidi w:val="0"/>
        <w:spacing w:before="360" w:after="283"/>
        <w:jc w:val="left"/>
        <w:rPr>
          <w:rFonts w:ascii="Times New Roman" w:hAnsi="Times New Roman"/>
          <w:sz w:val="20"/>
        </w:rPr>
      </w:pPr>
      <w:r>
        <w:rPr>
          <w:rFonts w:ascii="Times New Roman" w:hAnsi="Times New Roman"/>
          <w:b/>
          <w:color w:val="000000"/>
          <w:sz w:val="20"/>
        </w:rPr>
        <w:t>Item 5.03 Amendments to Articles of Incorporation or Bylaws; Change in Fiscal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Amendment and Restatement of Certification of Incorporation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previously disclosed in the Registration Statement on Form S-1, as amended (File No. 333-296032) (the “Registration Statement”), of the Company, and in connection with the completion of the IPO, the Company filed its seventh amended and restated certificate of incorporation (the “Amended and Restated Certificate”) with the Secretary of State of the State of Delaware. The Company’s board of directors (the “Board”) and the Company’s stockholders previously approved the Amended and Restated Certificate to be filed in connection with, and to be effective immediately prior to, the completion of the IPO. The Amended and Restated Certificate amended and restated the Company’s sixth amended and restated certificate of incorporation, as amended, in its entirety to, among other things: (i) authorize 800,000,000 shares of Common Stock, including 600,000,000 shares of voting common stock and 200,000,000 shares of non-voting common stock; (ii) eliminate all references to the previously-existing series of preferred stock; and (iii) authorize 10,000,000 shares of undesignated preferred stock that may be issued from time to time by the Board in one or more series.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Amended and Restated Certificate is qualified by reference to the full text of the Amended and Restated Certificate, a copy of which is attached hereto as Exhibit 3.1 and is incorporated herein by reference. </w:t>
      </w:r>
    </w:p>
    <w:p>
      <w:pPr>
        <w:pStyle w:val="TextBody"/>
        <w:bidi w:val="0"/>
        <w:spacing w:before="360" w:after="283"/>
        <w:jc w:val="left"/>
        <w:rPr>
          <w:rFonts w:ascii="Times New Roman" w:hAnsi="Times New Roman"/>
          <w:sz w:val="20"/>
        </w:rPr>
      </w:pPr>
      <w:r>
        <w:rPr>
          <w:rFonts w:ascii="Times New Roman" w:hAnsi="Times New Roman"/>
          <w:b/>
          <w:i/>
          <w:color w:val="000000"/>
          <w:sz w:val="20"/>
        </w:rPr>
        <w:t>Amendment and Restatement of Bylaws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previously disclosed in the Registration Statement, the amended and restated bylaws of the Company (the “Amended and Restated Bylaws”), previously approved by the Board and the Company’s stockholders, became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as of the effectiveness of the Registration Statement. The Amended and Restated Bylaws amended and restated the Company’s bylaws in their entirety to, among other things: (i) establish procedures for the Company’s stockholders to take formal actions at meetings of stockholders; (ii) establish an advance notice procedure for stockholder proposals to be brought before an annual meeting of the Company’s stockholders, including proposed nominations of persons for election to the Board; (iii) establish other procedures relating to the nomination of directors; and (iv) conform to the amended provisions of the Amended and Restated Certificate.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Amended and Restated Bylaws is qualified by reference to the full text of the Amended and Restated Bylaws, a copy of which is attached hereto as Exhibit 3.2 and is incorporated herein by reference.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8518" w:type="dxa"/>
        <w:jc w:val="left"/>
        <w:tblInd w:w="0" w:type="dxa"/>
        <w:tblLayout w:type="fixed"/>
        <w:tblCellMar>
          <w:top w:w="28" w:type="dxa"/>
          <w:left w:w="28" w:type="dxa"/>
          <w:bottom w:w="28" w:type="dxa"/>
          <w:right w:w="28" w:type="dxa"/>
        </w:tblCellMar>
      </w:tblPr>
      <w:tblGrid>
        <w:gridCol w:w="481"/>
        <w:gridCol w:w="146"/>
        <w:gridCol w:w="78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tcBorders/>
            <w:tcMar>
              <w:top w:w="0" w:type="dxa"/>
              <w:left w:w="0" w:type="dxa"/>
              <w:bottom w:w="0" w:type="dxa"/>
              <w:right w:w="0" w:type="dxa"/>
            </w:tcMar>
            <w:vAlign w:val="center"/>
          </w:tcPr>
          <w:p>
            <w:pPr>
              <w:pStyle w:val="TableContents"/>
              <w:bidi w:val="0"/>
              <w:spacing w:before="0" w:after="283"/>
              <w:jc w:val="left"/>
              <w:rPr/>
            </w:pPr>
            <w:hyperlink w:anchor="ck0001657677-ex3_1.htm">
              <w:r>
                <w:rPr>
                  <w:rStyle w:val="InternetLink"/>
                  <w:rFonts w:ascii="Times New Roman" w:hAnsi="Times New Roman"/>
                  <w:color w:val="0000FF"/>
                  <w:sz w:val="20"/>
                  <w:u w:val="single"/>
                </w:rPr>
                <w:t>Seventh Amended and Restated Certificate of Incorporation of Parabilis Medicines, Inc.</w:t>
              </w:r>
            </w:hyperlink>
            <w:hyperlink w:anchor="ck0001657677-ex3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8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tcBorders/>
            <w:tcMar>
              <w:top w:w="0" w:type="dxa"/>
              <w:left w:w="0" w:type="dxa"/>
              <w:bottom w:w="0" w:type="dxa"/>
              <w:right w:w="0" w:type="dxa"/>
            </w:tcMar>
            <w:vAlign w:val="center"/>
          </w:tcPr>
          <w:p>
            <w:pPr>
              <w:pStyle w:val="TableContents"/>
              <w:bidi w:val="0"/>
              <w:spacing w:before="0" w:after="283"/>
              <w:jc w:val="left"/>
              <w:rPr/>
            </w:pPr>
            <w:hyperlink w:anchor="ck0001657677-ex3_2.htm">
              <w:r>
                <w:rPr>
                  <w:rStyle w:val="InternetLink"/>
                  <w:rFonts w:ascii="Times New Roman" w:hAnsi="Times New Roman"/>
                  <w:color w:val="0000FF"/>
                  <w:sz w:val="20"/>
                  <w:u w:val="single"/>
                </w:rPr>
                <w:t>Amended and Restated Bylaws of Parabilis Medicines, Inc.</w:t>
              </w:r>
            </w:hyperlink>
            <w:hyperlink w:anchor="ck0001657677-ex3_2.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hyperlink w:anchor="ck0001657677-ex10_1.htm">
              <w:r>
                <w:rPr>
                  <w:rStyle w:val="InternetLink"/>
                  <w:rFonts w:ascii="Times New Roman" w:hAnsi="Times New Roman"/>
                  <w:color w:val="0000FF"/>
                  <w:sz w:val="20"/>
                  <w:u w:val="single"/>
                </w:rPr>
                <w:t>Stock Purchase Agreement, by and between the Company and Regeneron Pharmaceuticals, Inc.</w:t>
              </w:r>
            </w:hyperlink>
            <w:hyperlink w:anchor="ck0001657677-ex10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8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4482" w:type="dxa"/>
        <w:jc w:val="left"/>
        <w:tblInd w:w="0" w:type="dxa"/>
        <w:tblLayout w:type="fixed"/>
        <w:tblCellMar>
          <w:top w:w="28" w:type="dxa"/>
          <w:left w:w="28" w:type="dxa"/>
          <w:bottom w:w="28" w:type="dxa"/>
          <w:right w:w="28" w:type="dxa"/>
        </w:tblCellMar>
      </w:tblPr>
      <w:tblGrid>
        <w:gridCol w:w="1741"/>
        <w:gridCol w:w="595"/>
        <w:gridCol w:w="2146"/>
      </w:tblGrid>
      <w:tr>
        <w:trPr/>
        <w:tc>
          <w:tcPr>
            <w:tcW w:w="174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Parabilis Medicines,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11, 2026</w:t>
            </w:r>
          </w:p>
        </w:tc>
        <w:tc>
          <w:tcPr>
            <w:tcW w:w="5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Thomas Kotarakos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Kotarakos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ind w:left="0" w:right="0" w:firstLine="449"/>
              <w:jc w:val="left"/>
              <w:rPr/>
            </w:pPr>
            <w:r>
              <w:rPr/>
              <w:t> </w:t>
            </w:r>
          </w:p>
        </w:tc>
        <w:tc>
          <w:tcPr>
            <w:tcW w:w="2146" w:type="dxa"/>
            <w:tcBorders/>
            <w:tcMar>
              <w:top w:w="0" w:type="dxa"/>
              <w:left w:w="0" w:type="dxa"/>
              <w:bottom w:w="0" w:type="dxa"/>
              <w:right w:w="0" w:type="dxa"/>
            </w:tcMar>
            <w:vAlign w:val="center"/>
          </w:tcPr>
          <w:p>
            <w:pPr>
              <w:pStyle w:val="TableContents"/>
              <w:pBdr/>
              <w:bidi w:val="0"/>
              <w:spacing w:before="0" w:after="283"/>
              <w:ind w:left="0" w:right="0" w:hanging="449"/>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4"/>
        </w:rPr>
      </w:pPr>
      <w:bookmarkStart w:id="2" w:name="ck0001657677-ex3_1.htm"/>
      <w:bookmarkStart w:id="3" w:name="ksck0001657677ex3_1"/>
      <w:bookmarkEnd w:id="2"/>
      <w:bookmarkEnd w:id="3"/>
      <w:r>
        <w:rPr>
          <w:rFonts w:ascii="Times New Roman" w:hAnsi="Times New Roman"/>
          <w:b/>
          <w:color w:val="000000"/>
          <w:sz w:val="24"/>
        </w:rPr>
        <w:t>Exhibit 3.1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SEVENTH AMENDED AND RESTATED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CERTIFICATE OF INCORPORATION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PARABILIS MEDICINES, INC.</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Parabilis Medicines, Inc., a corporation organized and existing under the laws of the State of Delaware (the “Corporation”), hereby certifies as follows: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1. The name of the Corporation is Parabilis Medicines, Inc. The date of the filing of its original Certificate of Incorporation with the Secretary of State of the State of Delaware was July 10, 2015 (the “Original Certificate”). The name under which the Corporation filed the Original Certificate was FOG Pharmaceuticals, Inc.</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2. This Amended and Restated Certificate of Incorporation (the “Certificate”) amends, restates and integrates the provisions of the Sixth Amended and Restated Certificate of Incorporation that was filed with the Secretary of State of the State of Delaware on January 6, 2026, as amended by the Amendment to Sixth Amended and Restated Certificate of Incorporation that was filed with the Secretary of State of the State of Delaware on June 3, 2026, and was duly adopted in accordance with the provisions of Sections 228, 242 and 245 of the General Corporation Law of the State of Delaware (the “DGCL”).</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3. The text of the Amended and Restated Certificate is hereby amended, restated and integrated in its entirety to provide as follows.</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I</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name of the Corporation is Parabilis Medicines, Inc.</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II</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address of the Corporation’s registered office in the State of Delaware is 251 Little Falls Drive, in the City of Wilmington, County of New Castle, 19808. The name of its registered agent at such address is Corporation Service Company.</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III</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purpose of the Corporation is to engage in any lawful act or activity for which corporations may be organized under the DGCL.</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IV</w:t>
      </w:r>
      <w:r>
        <w:rPr>
          <w:rFonts w:ascii="Times New Roman" w:hAnsi="Times New Roman"/>
          <w:color w:val="000000"/>
          <w:sz w:val="20"/>
        </w:rPr>
        <w:t xml:space="preserve"> </w:t>
      </w:r>
    </w:p>
    <w:p>
      <w:pPr>
        <w:pStyle w:val="Heading1"/>
        <w:bidi w:val="0"/>
        <w:spacing w:before="240" w:after="283"/>
        <w:jc w:val="center"/>
        <w:rPr>
          <w:rFonts w:ascii="Times New Roman" w:hAnsi="Times New Roman"/>
          <w:b w:val="false"/>
          <w:color w:val="000000"/>
          <w:sz w:val="24"/>
          <w:u w:val="single"/>
        </w:rPr>
      </w:pPr>
      <w:r>
        <w:rPr>
          <w:rFonts w:ascii="Times New Roman" w:hAnsi="Times New Roman"/>
          <w:b w:val="false"/>
          <w:color w:val="000000"/>
          <w:sz w:val="24"/>
          <w:u w:val="single"/>
        </w:rPr>
        <w:t>CAPITAL STOCK</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The total number of shares of capital stock which the Corporation shall have authority to issue is Eight Hundred Ten Million (810,000,000), of which (i) Eight Hundred Million (800,000,000) shares shall be a class designated as common stock, par value $0.0001 per share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“Common Stock”), which class of Common Stock shall be subdivided into two series consisting of (a) Six Hundred Million (600,000,000) shares designated as voting Common Stock (the “Voting Common Stock”) and (b) Two Hundred Million (200,000,000) shares designated as non-voting Common Stock (the “Non-Voting Common Stock”) and (ii) Ten Million (10,000,000) shares shall be a class designated as undesignated preferred stock, par value $0.0001 per share (the “Preferred Stock”).</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requisite vote of the holders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stockholder voting requirements otherwise applicable under Section 242(b) of the DGCL, as permitted by Section 242(d) of the DGCL, shall apply to any amendments to the Certificate.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Effective upon the filing of this Certificate (the “Filing Effective Time”), (i) each share of common stock, par value $0.0001 per share, of the Corporation issued and outstanding or held in treasury immediately prior to the Filing Effective Time is reclassified as a share of Voting Common Stock and (ii) each share of non-voting common stock, par value $0.0001 per share, of the Corporation issued and outstanding or held in treasury immediately prior to the Filing Effective Time is reclassified as a share of Non-Voting Common Stock.</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powers, preferences and rights of, and the qualifications, limitations and restrictions upon, each class or series of stock shall be determined in accordance with, or as set forth below in, this Article IV.</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COMMON STOCK</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Subject to all the rights, powers and preferences of the Preferred Stock and except as provided by law or in this Certificate (including any certificate of designation of any series of Preferred Stock):</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the holders of the Voting Common Stock shall have the exclusive right to vote for the election of directors of the Corporation (the “Directors”) and on all other matters requiring stockholder action, each outstanding share of Voting Common Stock entitling the holder thereof to one vote on each matter properly submitted to the stockholders of the Corporation for their vote;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as otherwise required by law, holders of Voting Common Stock, as such, shall not be entitled to vote on any amendment to this Certificate (including any amendment to a certificate of designation of any series of Preferred Stock) that alters or changes the number of shares,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2. the Non-Voting Common Stock shall be non-voting shares, and the holders thereof shall have no right to vote for the election of Directors or on any other matters requiring stockholder action, except as required by law;</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3. shares of Voting Common Stock and Non-Voting Common Stock shall be treated equally, identically and ratably, on a per share basis, with respect to any dividends or other distributions of cash, property or shares of capital stock of the Corporation (each, a “Distribution”), as may be declared and paid or set apart for payment upon the shares of Common Stock out of any assets or funds of the Corporation legally available therefor, when, as and if declared by the Board of Directors of the Corporation (the “Board”) or any authorized committee thereof; in the event that such Distribution is paid in the form of shares of Common Stock (or rights to acquire, or securities convertible or exchangeable for shares of Common Stock), holders of Voting Common Stock shall be entitled to receive only shares of Voting Common Stock (or rights to acquire, or securities convertible into or exchangeable for, such shares, as the case may be) and holders of Non-Voting Common Stock shall be entitled to receive only shares of Non-Voting Common Stock (or rights to acquire, or securities convertible into or exchangeable for, such shares, as the case may be); notwithstanding the foregoing, the Board may treat the holders of Voting Common Stock or Non-Voting Common Stock differently with respect to Distributions (including by only paying a Distribution on one such class or paying a different or disparate Distribution to each such class including with respect to the amount of such Distribution payable per share, the form in which such Distribution is payable, the timing of the payment, or otherwise) if such disparate treatment is approved by (i) a majority of the disinterested directors, as such term is defined in Section 144(e)(4) of the DGCL, then in office, or (ii) any committee of the Board expressly delegated the authority to oversee the treatment of such distributions);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4. upon the voluntary or involuntary liquidation, dissolution or winding up of the Corporation, the assets of the Corporation available for distribution to stockholders shall be distributed pro rata to the holders of the Voting Common Stock and Non-Voting Common Stock, treated equally and identically;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5. in connection with any merger or consolidation of the Corporation with or into any other entity or any conversion, domestication, transfer or continuance of the Corporation, shares of Voting Common Stock and shares of Non-Voting Common Stock shall be treated equally, identically and ratably, on a per share basis, with respect to any consideration into which such shares are converted or any other consideration paid or otherwise distributed to stockholders of the Corporation in the merger, consolidation, conversion, domestication, transfer or continuance (any such consideration, “Change of Control Consideration”), unless (i) such consideration consists, in whole or in part, of shares of capital stock of, or other equity interests in, the Corporation or any other corporation, partnership, limited liability company or other entity, and the powers, designations, preferences and relative, optional or other special rights and qualifications, limitations and restrictions of such shares of capital stock or other equity interests received in respect of the shares of Voting Common Stock and Non-Voting Common Stock differ solely to the extent that the powers, designations, preferences and relative, optional or other special rights and qualifications, limitations and restrictions of the Voting Common Stock and the Non-Voting Common Stock differ as described in this </w:t>
      </w:r>
      <w:r>
        <w:rPr>
          <w:rFonts w:ascii="Times New Roman" w:hAnsi="Times New Roman"/>
          <w:color w:val="000000"/>
          <w:sz w:val="24"/>
          <w:u w:val="single"/>
        </w:rPr>
        <w:t>Article IV</w:t>
      </w:r>
      <w:r>
        <w:rPr>
          <w:rFonts w:ascii="Times New Roman" w:hAnsi="Times New Roman"/>
          <w:color w:val="000000"/>
          <w:sz w:val="24"/>
        </w:rPr>
        <w:t>, then the powers, designations, preferences and relative, optional or other special rights and qualifications,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limitations and restrictions of such shares of capital stock or other equity interests received in respect of the shares of Voting Common Stock and Non-Voting Common Stock may differ to the extent that the powers, designations, preferences and relative, optional or other special rights and qualifications, limitations and restrictions of the Voting Common Stock and the Non-Voting Common Stock differ as provided herein (including, without limitation, with respect to the voting rights and conversion provisions hereof), provided, however, that, if the holders of any series of Common Stock are granted the right to elect to receive one of two or more alternative forms of consideration, the foregoing provisions shall be deemed satisfied if holders of the other series of Common Stock are granted corresponding election rights, or (ii) different treatment of the shares of each such series in connection with such merger, consolidation, conversion, domestication, transfer or continuance is approved by the affirmative vote of the holders of a majority of the outstanding shares of Voting Common Stock; provided further, for the avoidance of doubt, Change of Control Consideration shall not be deemed to include any consideration or other distribution paid to or received by a person who is a holder of Voting Common Stock and/or Non-Voting Common Stock, as applicable, pursuant to (x) any employment, consulting, severance or other compensatory arrangement (including, without limitation, any equity-based or cash compensatory award or payment) whether or not entered into in connection with such merger, consolidation, conversion, domestication, transfer or continuance or (y) a negotiated agreement between a holder of Voting Common Stock and/or Non-Voting Common Stock, as applicable, with any counterparty (or affiliate thereof) to a merger or consolidation wherein such holder is contributing, selling, transferring, exchanging or otherwise disposing of shares of the Corporation’s capital stock to such counterparty (or affiliate thereof) as part of a “rollover” or similar transaction that is approved by (i) a majority of the disinterested directors, as such term is defined in Section 144(e)(4) of the DGCL, then in office, or (ii) any committee of the Board expressly delegated the authority to negotiate (or oversee the negotiation of) and to reject such merger or consolidation, and that is in connection with such merger or consolidation or any such conversion, domestication, transfer or continuance; and</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6. shares of Voting Common Stock or Non-Voting Common Stock may not be subdivided, combined or reclassified unless the shares of such other series are concurrently therewith proportionately subdivided, combined or reclassified in a manner that maintains the same proportionate equity ownership among the holders of the outstanding Voting Common Stock and Non-Voting Common Stock on the record date for such subdivision, combination or reclassification; provided, however, that shares of one such series may be treated differently if such treatment is approved by the affirmative vote of the holders of a majority of the outstanding shares of Voting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CONVERSION OF NON-VOTING COMMON STOCK</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1. Each holder of shares of Non-Voting Common Stock shall have the right to convert each share of Non-Voting Common Stock held by such holder into one share of Voting Common Stock at such holder’s election, which shall be made upon written notice to the Corporation delivered, provided that, the shares of Non-Voting Common Stock may only be converted into shares of Voting Common Stock during such time or times as immediately prior to or as a result of such conversion would not result in the holder(s) thereof beneficially owning (for purposes of Section 13(d) of the Securities Exchange Act of 1934, as amended, and the rules and regulations promulgated thereunder (collectively, the “Exchange Act”)), when aggregated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bookmarkStart w:id="4" w:name="pb_3_104406_7056"/>
      <w:bookmarkEnd w:id="4"/>
      <w:r>
        <w:rPr>
          <w:rFonts w:ascii="Times New Roman" w:hAnsi="Times New Roman"/>
          <w:color w:val="000000"/>
          <w:sz w:val="24"/>
        </w:rPr>
        <w:t>with affiliates with whom such holder is required to aggregate beneficial ownership for purposes of Section 13(d) of the Exchange Act, in excess of the Beneficial Ownership Limitation. The “Beneficial Ownership Limitation” means initially 4.99% of any class of securities of the Corporation registered under the Exchange Act, which percentage may be increased or decreased by a holder of outstanding shares of Non-Voting Common Stock to such other percentage not in excess of 19.99% at the time of purchase of shares of Non-Voting Common Stock without advance notice to the Corporation or, after the time of purchase, as such holder may designate in writing upon 61 days’ notice to the Corporation, provided, however, that, in each case, such increase or decrease shall only be applicable to such holder.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2. Before any holder of Non-Voting Common Stock shall be entitled to convert any shares of Non-Voting Common Stock into shares of Voting Common Stock pursuant to Subsection 1 of Part B of Article IV, such holder shall surrender the certificate or certificates therefor (if any), duly endorsed, at the principal corporate office of the Corporation or of any transfer agent of the Corporation, and shall provide written notice to the Corporation and any such transfer agent, of such conversion election and shall state therein the number of shares of Non-Voting Common Stock elected to be converted, the name or names (i) in which the certificate or certificates representing the shares of Voting Common Stock into which the shares of Non-Voting Common Stock are so converted are to be issued (if such shares of Voting Common Stock will be certificated) or (ii) in which such shares of Voting Common Stock are to be registered in book-entry form (if such shares of Voting Common Stock are uncertificated). If the shares of Voting Common Stock into which the shares of Non-Voting Common Stock are to be converted are to be issued in a name or names other than the name of the holder of the shares of Non-Voting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(i) a certificate or certificates representing the number of shares of Voting Common Stock to which such holder shall be entitled upon such conversion (if such shares of Voting Common Stock are certificated) or shall register such shares of Voting Common Stock in book-entry form (if such shares of Voting Common Stock are uncertificated) and (ii) if applicable, a certificate or certificates representing the number of shares of Non-Voting Common Stock for the number of shares (including any fractional share) of Non-Voting Common Stock represented by the certificate or certificates delivered to the Corporation for conversion but otherwise not elected to be converted pursuant to the written election (if such shares of Non-Voting Common Stock are certificated), or shall register such shares of Non-Voting Common Stock in book-entry form (if such shares of Non-Voting Common Stock are uncertificated). Such conversion shall be deemed to be effective immediately prior to the close of business (i) with respect to certificated shares, on the date of such surrender of the certificate or certificates representing the shares of Non-Voting Common Stock to be converted or (ii) with respect to shares that are uncertificated, immediately prior to the close of business on the date that the holder delivers notice of such conversion election as required by this Subsection 2(a) of Part B of Article IV to the Corporation and the Corporation’s transfer agent, and, in each case, the shares of Voting Common Stock issuable upon such conversion shall be deemed to be outstanding as of such time, and the person or persons entitled to receive the shares of Voting Common Stock issuable upon such conversion shall be deemed to be the record holder or holders of such shares of Voting Common Stock as of such time. Notwithstanding anything herein to the contrary, shares of Non-Voting Common Stock represented by a lost, stolen or destroyed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certificate may be converted pursuant to Subsection 1 of Part B of Article IV if the holder thereof notifies the Corporation or its transfer agent that such certificate has been lost, stolen or destroyed and provides an affidavit of that fact acceptable to the Corporation and executes an agreement acceptable to the Corporation to indemnify the Corporation from any loss incurred by it in connection with such certificate.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3. The one-to-one conversion ratio for the conversion of the Non-Voting Common Stock into Voting Common Stock shall in all events be equitably adjusted in the event of any reclassification of the Voting Common Stock or Non-Voting Common Stock (including any split or combination thereof), any Distribution on the Voting Common Stock or Non-Voting Common Stock, or in the event of any merger or consolidation of the Corporation, any recapitalization or reorganization of the Corporation, or any other similar event.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4. The Corporation shall at all times reserve and keep available out of its authorized but unissued shares of Voting Common Stock, solely for the purpose of effecting the conversion of the shares of Non-Voting Common Stock, such number of its shares of Voting Common Stock as shall from time to time be sufficient to effect the conversion of all outstanding shares of Non-Voting Common Stock.</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5. If any shares of Non-Voting Common Stock shall be converted pursuant to this Article IV.B., the shares so converted shall be retired and restored to the status of authorized but unissued shares of Non-Voting Common Stock.</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PREFERRED STOCK</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V</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STOCKHOLDER ACTION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Action without Meeting</w:t>
      </w:r>
      <w:r>
        <w:rPr>
          <w:rFonts w:ascii="Times New Roman" w:hAnsi="Times New Roman"/>
          <w:color w:val="000000"/>
          <w:sz w:val="24"/>
        </w:rPr>
        <w:t>. Any action required or permitted to be taken by the stockholders of the Corporation at any annual or special meeting of stockholders of the Corporation must be effected at a duly called annual or special meeting of stockholders and may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not be taken or effected by a consent of stockholders in lieu thereof; </w:t>
      </w:r>
      <w:r>
        <w:rPr>
          <w:rFonts w:ascii="Times New Roman" w:hAnsi="Times New Roman"/>
          <w:i/>
          <w:color w:val="000000"/>
          <w:sz w:val="24"/>
        </w:rPr>
        <w:t>provided, however</w:t>
      </w:r>
      <w:r>
        <w:rPr>
          <w:rFonts w:ascii="Times New Roman" w:hAnsi="Times New Roman"/>
          <w:color w:val="000000"/>
          <w:sz w:val="24"/>
        </w:rPr>
        <w:t>, that any action required or permitted to be taken,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applicable law.</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shares of any series of Preferred Stock, special meetings of the stockholders of the Corporation may be called only by the Board of Directors and may not be called by any other person or persons. Only those matters set forth in the notice of the special meeting may be considered or acted upon at a special meeting of stockholders of the Corporation.</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VI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General</w:t>
      </w:r>
      <w:r>
        <w:rPr>
          <w:rFonts w:ascii="Times New Roman" w:hAnsi="Times New Roman"/>
          <w:color w:val="000000"/>
          <w:sz w:val="24"/>
        </w:rPr>
        <w:t>. The business and affairs of the Corporation shall be managed by or under the direction of the Board of Directors except as otherwise provided herein or required by law.</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Number of Directors; Term of Office</w:t>
      </w:r>
      <w:r>
        <w:rPr>
          <w:rFonts w:ascii="Times New Roman" w:hAnsi="Times New Roman"/>
          <w:color w:val="000000"/>
          <w:sz w:val="24"/>
        </w:rPr>
        <w:t>.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annual meeting of stockholders following the closing of the Corporation’s sale of a class of its capital stock to the public pursuant to a registration statement on Form S-1 under 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Vacancies and Newly Created Directorships</w:t>
      </w:r>
      <w:r>
        <w:rPr>
          <w:rFonts w:ascii="Times New Roman" w:hAnsi="Times New Roman"/>
          <w:color w:val="000000"/>
          <w:sz w:val="24"/>
        </w:rPr>
        <w:t>. Subject to the rights, if any, of the holders of any series of Preferred Stock to elect Directors and to fill vacancies in the Board of Directors and newly created directorships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Removal</w:t>
      </w:r>
      <w:r>
        <w:rPr>
          <w:rFonts w:ascii="Times New Roman" w:hAnsi="Times New Roman"/>
          <w:color w:val="000000"/>
          <w:sz w:val="24"/>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of not less than two-thirds (2/3) of the voting power of the outstanding shares of capital stock entitled to vote thereon.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VII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LIMITATION OF LIABILITY</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To the fullest extent permitted by the DGCL, as the same exists or may hereafter be amended from time to time, a Director or officer of the Corporation shall not be personally liable to the Corporation or its stockholders for monetary damages for breach of such Director’s fiduciary duty as a Director or officer of the Corporation, except for liability (a) for any breach of the Director’s or officer’s duty of loyalty to the Corporation and its stockholders, (b) for acts or omissions not in good faith or which involve intentional misconduct or a knowing violation of law, (c) under Section 174 of the DGCL or (d) for any transaction from which the Director or officer derived an improper personal benefit. If the DGCL is amended after the effective date of this Certificate to authorize corporate action further eliminating or limiting the personal liability of Directors or officers of the Corporation, then the liability of a Director or officer of the Corporation shall be eliminated or limited to the fullest extent permitted by the DGCL, as so amended.</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Any amendment, repeal or modification of this Article VII shall not adversely affect any right or protection of any Director or officer of the Corporation existing at the time of such amendment, repeal or modification with respect to any acts or omissions by such Director or officer occurring before such amendment, repeal or modification.</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VIII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AMENDMENT OF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Amendment by Directors</w:t>
      </w:r>
      <w:r>
        <w:rPr>
          <w:rFonts w:ascii="Times New Roman" w:hAnsi="Times New Roman"/>
          <w:color w:val="000000"/>
          <w:sz w:val="24"/>
        </w:rPr>
        <w:t>. Except as otherwise provided by law, the Board of Directors shall have the power to alter, amend or repeal the Bylaws of the Corporation or to adopt new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Amendment by Stockholders</w:t>
      </w:r>
      <w:r>
        <w:rPr>
          <w:rFonts w:ascii="Times New Roman" w:hAnsi="Times New Roman"/>
          <w:color w:val="000000"/>
          <w:sz w:val="24"/>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by the stockholders shall only require the affirmative vote of the holders of a majority of the voting power of the outstanding shares of capital stock entitled to vote on such amendment or repeal, voting together as a single class.</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ARTICLE IX</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AMENDMENT OF CERTIFICATE OF INCORPORATION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[End of Text]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THIS AMENDED AND RESTATED CERTIFICATE OF INCORPORATION is executed as of this [____] day of [____], 2026.</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751"/>
        <w:gridCol w:w="3586"/>
      </w:tblGrid>
      <w:tr>
        <w:trPr/>
        <w:tc>
          <w:tcPr>
            <w:tcW w:w="751"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43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PARABILIS MEDICINES, INC.</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Mathai Mammen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&amp;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4"/>
        </w:rPr>
      </w:pPr>
      <w:bookmarkStart w:id="5" w:name="ck0001657677-ex3_2.htm"/>
      <w:bookmarkStart w:id="6" w:name="ksck0001657677ex3_2"/>
      <w:bookmarkEnd w:id="5"/>
      <w:bookmarkEnd w:id="6"/>
      <w:r>
        <w:rPr>
          <w:rFonts w:ascii="Times New Roman" w:hAnsi="Times New Roman"/>
          <w:b/>
          <w:color w:val="000000"/>
          <w:sz w:val="24"/>
        </w:rPr>
        <w:t>Exhibit 3.2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BYLAWS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PARABILIS MEDICINES,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Stockholders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Annual Meeting</w:t>
      </w:r>
      <w:r>
        <w:rPr>
          <w:rFonts w:ascii="Times New Roman" w:hAnsi="Times New Roman"/>
          <w:color w:val="000000"/>
          <w:sz w:val="24"/>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Notice of Stockholder Business and Nominations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Meetings of Stockholders</w:t>
      </w:r>
      <w:r>
        <w:rPr>
          <w:rFonts w:ascii="Times New Roman" w:hAnsi="Times New Roman"/>
          <w:color w:val="000000"/>
          <w:sz w:val="24"/>
        </w:rPr>
        <w:t>.</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(3) and (4) of this Bylaw to bring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pStyle w:val="TextBody"/>
        <w:bidi w:val="0"/>
        <w:spacing w:before="240" w:after="283"/>
        <w:ind w:left="144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1440" w:right="0" w:hanging="0"/>
        <w:jc w:val="left"/>
        <w:rPr>
          <w:rFonts w:ascii="Times New Roman" w:hAnsi="Times New Roman"/>
          <w:color w:val="000000"/>
          <w:sz w:val="24"/>
        </w:rPr>
      </w:pPr>
      <w:r>
        <w:rPr>
          <w:rFonts w:ascii="Times New Roman" w:hAnsi="Times New Roman"/>
          <w:color w:val="000000"/>
          <w:sz w:val="24"/>
        </w:rPr>
        <w:t>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pStyle w:val="TextBody"/>
        <w:bidi w:val="0"/>
        <w:spacing w:before="240" w:after="283"/>
        <w:ind w:left="144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pStyle w:val="TextBody"/>
        <w:bidi w:val="0"/>
        <w:spacing w:before="240" w:after="283"/>
        <w:ind w:left="144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 the name and address of the stockholder giving the notice, as they appear on the Corporation’s books, and the names and addresses of the other Proposing Persons (if any) and (ii) as to each Proposing Person, the following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1440" w:right="0" w:hanging="0"/>
        <w:jc w:val="left"/>
        <w:rPr/>
      </w:pPr>
      <w:r>
        <w:rPr>
          <w:rFonts w:ascii="Times New Roman" w:hAnsi="Times New Roman"/>
          <w:color w:val="000000"/>
          <w:sz w:val="24"/>
        </w:rPr>
        <w:t>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w:t>
      </w:r>
      <w:r>
        <w:rPr>
          <w:color w:val="00000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1440" w:right="0" w:hanging="0"/>
        <w:jc w:val="left"/>
        <w:rPr>
          <w:rFonts w:ascii="Times New Roman" w:hAnsi="Times New Roman"/>
          <w:color w:val="000000"/>
          <w:sz w:val="24"/>
        </w:rPr>
      </w:pPr>
      <w:r>
        <w:rPr>
          <w:rFonts w:ascii="Times New Roman" w:hAnsi="Times New Roman"/>
          <w:color w:val="000000"/>
          <w:sz w:val="24"/>
        </w:rPr>
        <w:t>record directed to prepare and submit the notice required by these Bylaws on behalf of a beneficial owner;</w:t>
      </w:r>
    </w:p>
    <w:p>
      <w:pPr>
        <w:pStyle w:val="TextBody"/>
        <w:bidi w:val="0"/>
        <w:spacing w:before="240" w:after="283"/>
        <w:ind w:left="144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pStyle w:val="TextBody"/>
        <w:bidi w:val="0"/>
        <w:spacing w:before="240" w:after="283"/>
        <w:ind w:left="1440"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pStyle w:val="TextBody"/>
        <w:bidi w:val="0"/>
        <w:spacing w:before="240" w:after="283"/>
        <w:ind w:left="720" w:right="0" w:hanging="0"/>
        <w:jc w:val="left"/>
        <w:rPr>
          <w:rFonts w:ascii="Times New Roman" w:hAnsi="Times New Roman"/>
          <w:sz w:val="20"/>
        </w:rPr>
      </w:pPr>
      <w:r>
        <w:rPr>
          <w:rFonts w:ascii="Times New Roman" w:hAnsi="Times New Roman"/>
          <w:color w:val="000000"/>
          <w:sz w:val="24"/>
        </w:rPr>
        <w:t>For purposes of this Article I, the term “Proposing Person” shall mean the following persons: (i) the stockholder of record providing the notice of nominations or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the occurrence of any material change to the information previously disclosed pursuant to Article I, Section 2(a)(2)(C).</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nominee(s) in accordance with these By-laws (and such notice contains all of the information, representations, questionnaires and certifications with respect to such substitute nominee(s) that are required by the By-laws with respect to nominees for director).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Special Meetings</w:t>
      </w:r>
      <w:r>
        <w:rPr>
          <w:rFonts w:ascii="Times New Roman" w:hAnsi="Times New Roman"/>
          <w:color w:val="000000"/>
          <w:sz w:val="24"/>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Notice of Meetings; Adjournments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Notice of all special meetings of stockholders shall be given in the same manner as provided for Annual Meetings, except that the notice of all special meetings shall also state the purpose or purposes for which the meeting has been called.</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public announcement of an adjournment, postponement or rescheduling of any previously scheduled meeting of stockholders commence a new time period for the giving of a stockholder’s notice under this Article I.</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Quorum</w:t>
      </w:r>
      <w:r>
        <w:rPr>
          <w:rFonts w:ascii="Times New Roman" w:hAnsi="Times New Roman"/>
          <w:color w:val="000000"/>
          <w:sz w:val="24"/>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Voting and Proxies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rPr>
        <w:t>The stockholders entitled to vote at any meeting of stockholders shall be determined in accordance with the provisions of Article IV, Section 4</w:t>
      </w:r>
      <w:r>
        <w:rPr>
          <w:color w:val="000000"/>
        </w:rPr>
        <w:t xml:space="preserve"> </w:t>
      </w:r>
      <w:r>
        <w:rPr>
          <w:rFonts w:ascii="Times New Roman" w:hAnsi="Times New Roman"/>
          <w:color w:val="000000"/>
          <w:sz w:val="24"/>
        </w:rPr>
        <w:t xml:space="preserve">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stockholder directly or indirectly soliciting proxies from other stockholders must use a proxy card color other than white, which shall be reserved for the exclusive use by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Action at Meeting</w:t>
      </w:r>
      <w:r>
        <w:rPr>
          <w:rFonts w:ascii="Times New Roman" w:hAnsi="Times New Roman"/>
          <w:color w:val="000000"/>
          <w:sz w:val="24"/>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Stockholder Lists</w:t>
      </w:r>
      <w:r>
        <w:rPr>
          <w:rFonts w:ascii="Times New Roman" w:hAnsi="Times New Roman"/>
          <w:color w:val="000000"/>
          <w:sz w:val="24"/>
        </w:rPr>
        <w:t>. The Corporation shall prepare, no later than the tenth (10</w:t>
      </w:r>
      <w:r>
        <w:rPr>
          <w:rFonts w:ascii="Times New Roman" w:hAnsi="Times New Roman"/>
          <w:color w:val="000000"/>
          <w:sz w:val="16"/>
        </w:rPr>
        <w:t>th</w:t>
      </w:r>
      <w:r>
        <w:rPr>
          <w:rFonts w:ascii="Times New Roman" w:hAnsi="Times New Roman"/>
          <w:color w:val="000000"/>
          <w:sz w:val="24"/>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Conduct of Meeting</w:t>
      </w:r>
      <w:r>
        <w:rPr>
          <w:rFonts w:ascii="Times New Roman" w:hAnsi="Times New Roman"/>
          <w:color w:val="000000"/>
          <w:sz w:val="24"/>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Inspectors of Elections</w:t>
      </w:r>
      <w:r>
        <w:rPr>
          <w:rFonts w:ascii="Times New Roman" w:hAnsi="Times New Roman"/>
          <w:color w:val="000000"/>
          <w:sz w:val="24"/>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Powers</w:t>
      </w:r>
      <w:r>
        <w:rPr>
          <w:rFonts w:ascii="Times New Roman" w:hAnsi="Times New Roman"/>
          <w:color w:val="000000"/>
          <w:sz w:val="24"/>
        </w:rPr>
        <w:t>. The business and affairs of the Corporation shall be managed by or under the direction of the Board of Directors, except as otherwise provided by the Certificate or required by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Number and Terms</w:t>
      </w:r>
      <w:r>
        <w:rPr>
          <w:rFonts w:ascii="Times New Roman" w:hAnsi="Times New Roman"/>
          <w:color w:val="000000"/>
          <w:sz w:val="24"/>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Qualification</w:t>
      </w:r>
      <w:r>
        <w:rPr>
          <w:rFonts w:ascii="Times New Roman" w:hAnsi="Times New Roman"/>
          <w:color w:val="000000"/>
          <w:sz w:val="24"/>
        </w:rPr>
        <w:t>. No director need be a stockholder of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Vacancies</w:t>
      </w:r>
      <w:r>
        <w:rPr>
          <w:rFonts w:ascii="Times New Roman" w:hAnsi="Times New Roman"/>
          <w:color w:val="000000"/>
          <w:sz w:val="24"/>
        </w:rPr>
        <w:t>. Vacancies in the Board of Directors shall be filled in the manner provided in the Certificate.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Removal</w:t>
      </w:r>
      <w:r>
        <w:rPr>
          <w:rFonts w:ascii="Times New Roman" w:hAnsi="Times New Roman"/>
          <w:color w:val="000000"/>
          <w:sz w:val="24"/>
        </w:rPr>
        <w:t>. Directors may be removed from office only in the manner provided in the Certificate or by applicable law.</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Resignation</w:t>
      </w:r>
      <w:r>
        <w:rPr>
          <w:rFonts w:ascii="Times New Roman" w:hAnsi="Times New Roman"/>
          <w:color w:val="000000"/>
          <w:sz w:val="24"/>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Regular Meetings</w:t>
      </w:r>
      <w:r>
        <w:rPr>
          <w:rFonts w:ascii="Times New Roman" w:hAnsi="Times New Roman"/>
          <w:color w:val="000000"/>
          <w:sz w:val="24"/>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Special Meetings</w:t>
      </w:r>
      <w:r>
        <w:rPr>
          <w:rFonts w:ascii="Times New Roman" w:hAnsi="Times New Roman"/>
          <w:color w:val="000000"/>
          <w:sz w:val="24"/>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Notice of Meetings</w:t>
      </w:r>
      <w:r>
        <w:rPr>
          <w:rFonts w:ascii="Times New Roman" w:hAnsi="Times New Roman"/>
          <w:color w:val="000000"/>
          <w:sz w:val="24"/>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Quorum</w:t>
      </w:r>
      <w:r>
        <w:rPr>
          <w:rFonts w:ascii="Times New Roman" w:hAnsi="Times New Roman"/>
          <w:color w:val="000000"/>
          <w:sz w:val="24"/>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Action at Meeting</w:t>
      </w:r>
      <w:r>
        <w:rPr>
          <w:rFonts w:ascii="Times New Roman" w:hAnsi="Times New Roman"/>
          <w:color w:val="000000"/>
          <w:sz w:val="24"/>
        </w:rPr>
        <w:t>. At any meeting of the Board of Directors at which a quorum is present, the affirmative vote of a majority of the directors present shall constitute action by the Board of Directors, unless otherwise required by law, by the Certificate or by these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Action by Consent</w:t>
      </w:r>
      <w:r>
        <w:rPr>
          <w:rFonts w:ascii="Times New Roman" w:hAnsi="Times New Roman"/>
          <w:color w:val="000000"/>
          <w:sz w:val="24"/>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Manner of Participation</w:t>
      </w:r>
      <w:r>
        <w:rPr>
          <w:rFonts w:ascii="Times New Roman" w:hAnsi="Times New Roman"/>
          <w:color w:val="000000"/>
          <w:sz w:val="24"/>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Presiding Director</w:t>
      </w:r>
      <w:r>
        <w:rPr>
          <w:rFonts w:ascii="Times New Roman" w:hAnsi="Times New Roman"/>
          <w:color w:val="000000"/>
          <w:sz w:val="24"/>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Committees</w:t>
      </w:r>
      <w:r>
        <w:rPr>
          <w:rFonts w:ascii="Times New Roman" w:hAnsi="Times New Roman"/>
          <w:color w:val="000000"/>
          <w:sz w:val="24"/>
        </w:rPr>
        <w:t>. The Board of Directors may designate one or more committees, including, without limitation, a Compensation Committee, a Nominating &amp; Corporate Governance Committee and an Audit Committee, and may delegate thereto some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Compensation of Directors</w:t>
      </w:r>
      <w:r>
        <w:rPr>
          <w:rFonts w:ascii="Times New Roman" w:hAnsi="Times New Roman"/>
          <w:color w:val="000000"/>
          <w:sz w:val="24"/>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17. </w:t>
      </w:r>
      <w:r>
        <w:rPr>
          <w:rFonts w:ascii="Times New Roman" w:hAnsi="Times New Roman"/>
          <w:color w:val="000000"/>
          <w:sz w:val="24"/>
          <w:u w:val="single"/>
        </w:rPr>
        <w:t>Emergency By-laws</w:t>
      </w:r>
      <w:r>
        <w:rPr>
          <w:rFonts w:ascii="Times New Roman" w:hAnsi="Times New Roman"/>
          <w:color w:val="000000"/>
          <w:sz w:val="24"/>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director or directors in attendance at a meeting called in accordance with Section 17(a) of this Article II shall constitute a quorum.</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Officers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Enumeration</w:t>
      </w:r>
      <w:r>
        <w:rPr>
          <w:rFonts w:ascii="Times New Roman" w:hAnsi="Times New Roman"/>
          <w:color w:val="000000"/>
          <w:sz w:val="24"/>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Election</w:t>
      </w:r>
      <w:r>
        <w:rPr>
          <w:rFonts w:ascii="Times New Roman" w:hAnsi="Times New Roman"/>
          <w:color w:val="000000"/>
          <w:sz w:val="24"/>
        </w:rPr>
        <w:t>. The Board of Directors shall elect the President, the Treasurer and the Secretary. Other officers may be elected by the Board of Directors or by such officers delegated such authority by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Qualification</w:t>
      </w:r>
      <w:r>
        <w:rPr>
          <w:rFonts w:ascii="Times New Roman" w:hAnsi="Times New Roman"/>
          <w:color w:val="000000"/>
          <w:sz w:val="24"/>
        </w:rPr>
        <w:t>. No officer need be a stockholder or a director.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Tenure</w:t>
      </w:r>
      <w:r>
        <w:rPr>
          <w:rFonts w:ascii="Times New Roman" w:hAnsi="Times New Roman"/>
          <w:color w:val="000000"/>
          <w:sz w:val="24"/>
        </w:rPr>
        <w:t>. Except as otherwise provided by the Certificate or by these Bylaws, each of the officers of the Corporation shall hold office until his or her successor is elected and qualified or until his or her earlier death, resignation or removal.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Resignation and Removal</w:t>
      </w:r>
      <w:r>
        <w:rPr>
          <w:rFonts w:ascii="Times New Roman" w:hAnsi="Times New Roman"/>
          <w:color w:val="000000"/>
          <w:sz w:val="24"/>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Absence or Disability</w:t>
      </w:r>
      <w:r>
        <w:rPr>
          <w:rFonts w:ascii="Times New Roman" w:hAnsi="Times New Roman"/>
          <w:color w:val="000000"/>
          <w:sz w:val="24"/>
        </w:rPr>
        <w:t>. In the event of the absence or disability of any officer, the Board of Directors may designate another officer to act temporarily in place of such absent or disabled officer.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Vacancies</w:t>
      </w:r>
      <w:r>
        <w:rPr>
          <w:rFonts w:ascii="Times New Roman" w:hAnsi="Times New Roman"/>
          <w:color w:val="000000"/>
          <w:sz w:val="24"/>
        </w:rPr>
        <w:t>. Any vacancy in any office may be filled for the unexpired portion of the term by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President</w:t>
      </w:r>
      <w:r>
        <w:rPr>
          <w:rFonts w:ascii="Times New Roman" w:hAnsi="Times New Roman"/>
          <w:color w:val="000000"/>
          <w:sz w:val="24"/>
        </w:rPr>
        <w:t>. The President shall, subject to the direction of the Board of Directors, have such powers and shall perform such duties as the Board of Directors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Chairperson of the Board</w:t>
      </w:r>
      <w:r>
        <w:rPr>
          <w:rFonts w:ascii="Times New Roman" w:hAnsi="Times New Roman"/>
          <w:color w:val="000000"/>
          <w:sz w:val="24"/>
        </w:rPr>
        <w:t>. The Chairperson of the Board, if one is elected, shall have such powers and shall perform such duties as the Board of Directors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Chief Executive Officer</w:t>
      </w:r>
      <w:r>
        <w:rPr>
          <w:rFonts w:ascii="Times New Roman" w:hAnsi="Times New Roman"/>
          <w:color w:val="000000"/>
          <w:sz w:val="24"/>
        </w:rPr>
        <w:t>. The Chief Executive Officer, if one is elected, shall have such powers and shall perform such duties as the Board of Directors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Vice Presidents and Assistant Vice Presidents</w:t>
      </w:r>
      <w:r>
        <w:rPr>
          <w:rFonts w:ascii="Times New Roman" w:hAnsi="Times New Roman"/>
          <w:color w:val="000000"/>
          <w:sz w:val="24"/>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Treasurer and Assistant Treasurers</w:t>
      </w:r>
      <w:r>
        <w:rPr>
          <w:rFonts w:ascii="Times New Roman" w:hAnsi="Times New Roman"/>
          <w:color w:val="000000"/>
          <w:sz w:val="24"/>
        </w:rPr>
        <w:t>. The Treasurer shall, subject to the direction of the Board of Directors and except as the Board of Directors or the Chief Executive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Secretary and Assistant Secretaries</w:t>
      </w:r>
      <w:r>
        <w:rPr>
          <w:rFonts w:ascii="Times New Roman" w:hAnsi="Times New Roman"/>
          <w:color w:val="000000"/>
          <w:sz w:val="24"/>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Other Powers and Duties</w:t>
      </w:r>
      <w:r>
        <w:rPr>
          <w:rFonts w:ascii="Times New Roman" w:hAnsi="Times New Roman"/>
          <w:color w:val="000000"/>
          <w:sz w:val="24"/>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Representation of Shares of Other Corporations</w:t>
      </w:r>
      <w:r>
        <w:rPr>
          <w:rFonts w:ascii="Times New Roman" w:hAnsi="Times New Roman"/>
          <w:color w:val="000000"/>
          <w:sz w:val="24"/>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Bonded Officers</w:t>
      </w:r>
      <w:r>
        <w:rPr>
          <w:rFonts w:ascii="Times New Roman" w:hAnsi="Times New Roman"/>
          <w:color w:val="000000"/>
          <w:sz w:val="24"/>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Capital Stock</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Certificates of Stock</w:t>
      </w:r>
      <w:r>
        <w:rPr>
          <w:rFonts w:ascii="Times New Roman" w:hAnsi="Times New Roman"/>
          <w:color w:val="000000"/>
          <w:sz w:val="24"/>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Transfers</w:t>
      </w:r>
      <w:r>
        <w:rPr>
          <w:rFonts w:ascii="Times New Roman" w:hAnsi="Times New Roman"/>
          <w:color w:val="000000"/>
          <w:sz w:val="24"/>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Stock Transfer Agreements</w:t>
      </w:r>
      <w:r>
        <w:rPr>
          <w:rFonts w:ascii="Times New Roman" w:hAnsi="Times New Roman"/>
          <w:color w:val="000000"/>
          <w:sz w:val="24"/>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Record Holders</w:t>
      </w:r>
      <w:r>
        <w:rPr>
          <w:rFonts w:ascii="Times New Roman" w:hAnsi="Times New Roman"/>
          <w:color w:val="000000"/>
          <w:sz w:val="24"/>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Record Date</w:t>
      </w:r>
      <w:r>
        <w:rPr>
          <w:rFonts w:ascii="Times New Roman" w:hAnsi="Times New Roman"/>
          <w:color w:val="000000"/>
          <w:sz w:val="24"/>
        </w:rPr>
        <w:t>. In order that the Corporation may determine the stockholders entitled to notice of or to vote at any meeting of stockholders or any adjournment thereof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Replacement of Certificates</w:t>
      </w:r>
      <w:r>
        <w:rPr>
          <w:rFonts w:ascii="Times New Roman" w:hAnsi="Times New Roman"/>
          <w:color w:val="000000"/>
          <w:sz w:val="24"/>
        </w:rPr>
        <w:t>. In case of the alleged loss, destruction or mutilation of a certificate of stock of the Corporation, a duplicate certificate may be issued in place thereof, upon such terms as the Board of Directors may prescribe.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Indemnification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Definitions</w:t>
      </w:r>
      <w:r>
        <w:rPr>
          <w:rFonts w:ascii="Times New Roman" w:hAnsi="Times New Roman"/>
          <w:color w:val="000000"/>
          <w:sz w:val="24"/>
        </w:rPr>
        <w:t>. For purposes of this Article V:</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color w:val="000000"/>
        </w:rPr>
      </w:pPr>
      <w:r>
        <w:rPr>
          <w:color w:val="000000"/>
        </w:rPr>
        <w:t>“</w:t>
      </w:r>
      <w:r>
        <w:rPr>
          <w:rFonts w:ascii="Times New Roman" w:hAnsi="Times New Roman"/>
          <w:color w:val="000000"/>
          <w:sz w:val="24"/>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color w:val="000000"/>
        </w:rPr>
      </w:pPr>
      <w:r>
        <w:rPr>
          <w:color w:val="000000"/>
        </w:rPr>
        <w:t>“</w:t>
      </w:r>
      <w:r>
        <w:rPr>
          <w:rFonts w:ascii="Times New Roman" w:hAnsi="Times New Roman"/>
          <w:color w:val="000000"/>
          <w:sz w:val="24"/>
        </w:rPr>
        <w:t>Director” means any person who serves or has served the Corporation as a director on the Board of Directors of the Corporation;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color w:val="000000"/>
        </w:rPr>
      </w:pPr>
      <w:r>
        <w:rPr>
          <w:color w:val="000000"/>
        </w:rPr>
        <w:t>“</w:t>
      </w:r>
      <w:r>
        <w:rPr>
          <w:rFonts w:ascii="Times New Roman" w:hAnsi="Times New Roman"/>
          <w:color w:val="000000"/>
          <w:sz w:val="24"/>
        </w:rPr>
        <w:t>Disinterested Director” means, with respect to each Proceeding in respect of which indemnification is sought hereunder, a Director of the Corporation who is not and was not a party to such Proceeding;</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color w:val="000000"/>
        </w:rPr>
      </w:pPr>
      <w:r>
        <w:rPr>
          <w:color w:val="000000"/>
        </w:rPr>
        <w:t>“</w:t>
      </w:r>
      <w:r>
        <w:rPr>
          <w:rFonts w:ascii="Times New Roman" w:hAnsi="Times New Roman"/>
          <w:color w:val="000000"/>
          <w:sz w:val="24"/>
        </w:rPr>
        <w:t xml:space="preserve">Expenses” means all attorneys’ fees, retainers, court costs, transcript costs, fees of expert witnesses, private investigators and professional advisors (including, without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color w:val="000000"/>
        </w:rPr>
      </w:pPr>
      <w:r>
        <w:rPr>
          <w:color w:val="000000"/>
        </w:rPr>
        <w:t>“</w:t>
      </w:r>
      <w:r>
        <w:rPr>
          <w:rFonts w:ascii="Times New Roman" w:hAnsi="Times New Roman"/>
          <w:color w:val="000000"/>
          <w:sz w:val="24"/>
        </w:rPr>
        <w:t>Liabilities” means judgments, damages, liabilities, losses, penalties, excise taxes, fines and amounts paid in settlement;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color w:val="000000"/>
        </w:rPr>
      </w:pPr>
      <w:r>
        <w:rPr>
          <w:color w:val="000000"/>
        </w:rPr>
        <w:t>“</w:t>
      </w:r>
      <w:r>
        <w:rPr>
          <w:rFonts w:ascii="Times New Roman" w:hAnsi="Times New Roman"/>
          <w:color w:val="000000"/>
          <w:sz w:val="24"/>
        </w:rPr>
        <w:t>Non-Officer Employee” means any person who serves or has served as an employee or agent of the Corporation, but who is not or was not a Director or Officer;</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color w:val="000000"/>
        </w:rPr>
      </w:pPr>
      <w:r>
        <w:rPr>
          <w:color w:val="000000"/>
        </w:rPr>
        <w:t>“</w:t>
      </w:r>
      <w:r>
        <w:rPr>
          <w:rFonts w:ascii="Times New Roman" w:hAnsi="Times New Roman"/>
          <w:color w:val="000000"/>
          <w:sz w:val="24"/>
        </w:rPr>
        <w:t>Officer” means any person who serves or has served the Corporation as an officer of the Corporation appointed by the Board of Directors of the Corporation;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color w:val="000000"/>
        </w:rPr>
      </w:pPr>
      <w:r>
        <w:rPr>
          <w:color w:val="000000"/>
        </w:rPr>
        <w:t>“</w:t>
      </w:r>
      <w:r>
        <w:rPr>
          <w:rFonts w:ascii="Times New Roman" w:hAnsi="Times New Roman"/>
          <w:color w:val="000000"/>
          <w:sz w:val="24"/>
        </w:rPr>
        <w:t>Proceeding” means any threatened, pending or completed action, suit, arbitration, alternate dispute resolution mechanism, inquiry, investigation, administrative hearing or other proceeding, whether civil, criminal, administrative, arbitrative or investigative; and</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color w:val="000000"/>
        </w:rPr>
      </w:pPr>
      <w:r>
        <w:rPr>
          <w:color w:val="000000"/>
        </w:rPr>
        <w:t>“</w:t>
      </w:r>
      <w:r>
        <w:rPr>
          <w:rFonts w:ascii="Times New Roman" w:hAnsi="Times New Roman"/>
          <w:color w:val="000000"/>
          <w:sz w:val="24"/>
        </w:rPr>
        <w:t>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Indemnification of Directors and Officers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Actions, Suits and Proceedings Other than By or In the Right of the Corporation</w:t>
      </w:r>
      <w:r>
        <w:rPr>
          <w:rFonts w:ascii="Times New Roman" w:hAnsi="Times New Roman"/>
          <w:color w:val="000000"/>
          <w:sz w:val="24"/>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color w:val="000000"/>
          <w:sz w:val="24"/>
        </w:rPr>
      </w:pPr>
      <w:r>
        <w:rPr>
          <w:rFonts w:ascii="Times New Roman" w:hAnsi="Times New Roman"/>
          <w:color w:val="000000"/>
          <w:sz w:val="24"/>
        </w:rPr>
        <w:t>with respect to any criminal proceeding, had no reasonable cause to believe his or her conduct was unlawful.</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Actions, Suits and Proceedings By or In the Right of the Corporation</w:t>
      </w:r>
      <w:r>
        <w:rPr>
          <w:rFonts w:ascii="Times New Roman" w:hAnsi="Times New Roman"/>
          <w:color w:val="000000"/>
          <w:sz w:val="24"/>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Survival of Rights</w:t>
      </w:r>
      <w:r>
        <w:rPr>
          <w:rFonts w:ascii="Times New Roman" w:hAnsi="Times New Roman"/>
          <w:color w:val="000000"/>
          <w:sz w:val="24"/>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pStyle w:val="TextBody"/>
        <w:bidi w:val="0"/>
        <w:spacing w:before="240" w:after="283"/>
        <w:ind w:left="720" w:right="0" w:firstLine="720"/>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Actions by Directors or Officers</w:t>
      </w:r>
      <w:r>
        <w:rPr>
          <w:rFonts w:ascii="Times New Roman" w:hAnsi="Times New Roman"/>
          <w:color w:val="000000"/>
          <w:sz w:val="24"/>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Indemnification of Non-Officer Employees</w:t>
      </w:r>
      <w:r>
        <w:rPr>
          <w:rFonts w:ascii="Times New Roman" w:hAnsi="Times New Roman"/>
          <w:color w:val="000000"/>
          <w:sz w:val="24"/>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Determination</w:t>
      </w:r>
      <w:r>
        <w:rPr>
          <w:rFonts w:ascii="Times New Roman" w:hAnsi="Times New Roman"/>
          <w:color w:val="000000"/>
          <w:sz w:val="24"/>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Advancement of Expenses to Directors Prior to Final Disposition</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Advancement of Expenses to Officers and Non-Officer Employees Prior to Final Disposition</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Contractual Nature of Rights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any suit brought by a Director or Officer to enforce a right to indemnification hereunder, it shall be a defense that such Director or Officer has not met any applicable standard for indemnification set forth in the DGCL.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Non-Exclusivity of Rights</w:t>
      </w:r>
      <w:r>
        <w:rPr>
          <w:rFonts w:ascii="Times New Roman" w:hAnsi="Times New Roman"/>
          <w:color w:val="000000"/>
          <w:sz w:val="24"/>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Insurance</w:t>
      </w:r>
      <w:r>
        <w:rPr>
          <w:rFonts w:ascii="Times New Roman" w:hAnsi="Times New Roman"/>
          <w:color w:val="000000"/>
          <w:sz w:val="24"/>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Other Indemnification</w:t>
      </w:r>
      <w:r>
        <w:rPr>
          <w:rFonts w:ascii="Times New Roman" w:hAnsi="Times New Roman"/>
          <w:color w:val="000000"/>
          <w:sz w:val="24"/>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Savings Clause</w:t>
      </w:r>
      <w:r>
        <w:rPr>
          <w:rFonts w:ascii="Times New Roman" w:hAnsi="Times New Roman"/>
          <w:color w:val="000000"/>
          <w:sz w:val="24"/>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right of the Corporation, to the fullest extent permitted by any applicable portion of this Article V that shall not have been invalidated and to the fullest extent permitted by applicable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ARTICLE VI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Fiscal Year</w:t>
      </w:r>
      <w:r>
        <w:rPr>
          <w:rFonts w:ascii="Times New Roman" w:hAnsi="Times New Roman"/>
          <w:color w:val="000000"/>
          <w:sz w:val="24"/>
        </w:rPr>
        <w:t>. The fiscal year of the Corporation shall be determined by the Board of Directors.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Seal</w:t>
      </w:r>
      <w:r>
        <w:rPr>
          <w:rFonts w:ascii="Times New Roman" w:hAnsi="Times New Roman"/>
          <w:color w:val="000000"/>
          <w:sz w:val="24"/>
        </w:rPr>
        <w:t>. The Board of Directors shall have power to adopt and alter the seal of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Execution of Instruments</w:t>
      </w:r>
      <w:r>
        <w:rPr>
          <w:rFonts w:ascii="Times New Roman" w:hAnsi="Times New Roman"/>
          <w:color w:val="000000"/>
          <w:sz w:val="24"/>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Voting of Securities</w:t>
      </w:r>
      <w:r>
        <w:rPr>
          <w:rFonts w:ascii="Times New Roman" w:hAnsi="Times New Roman"/>
          <w:color w:val="000000"/>
          <w:sz w:val="24"/>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Resident Agent</w:t>
      </w:r>
      <w:r>
        <w:rPr>
          <w:rFonts w:ascii="Times New Roman" w:hAnsi="Times New Roman"/>
          <w:color w:val="000000"/>
          <w:sz w:val="24"/>
        </w:rPr>
        <w:t>. The Board of Directors may appoint a resident agent upon whom legal process may be served in any action or proceeding against the Corporation.</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Corporate Records</w:t>
      </w:r>
      <w:r>
        <w:rPr>
          <w:rFonts w:ascii="Times New Roman" w:hAnsi="Times New Roman"/>
          <w:color w:val="000000"/>
          <w:sz w:val="24"/>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Certificate</w:t>
      </w:r>
      <w:r>
        <w:rPr>
          <w:rFonts w:ascii="Times New Roman" w:hAnsi="Times New Roman"/>
          <w:color w:val="000000"/>
          <w:sz w:val="24"/>
        </w:rPr>
        <w:t>. All references in these Bylaws to the Certificate shall be deemed to refer to the Certificate, as amended and/or restated and in effect from time to time.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Exclusive Jurisdiction of Delaware Courts or the United States Federal District Courts</w:t>
      </w:r>
      <w:r>
        <w:rPr>
          <w:rFonts w:ascii="Times New Roman" w:hAnsi="Times New Roman"/>
          <w:color w:val="000000"/>
          <w:sz w:val="24"/>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Amendment of Bylaws</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Amendment by Directors</w:t>
      </w:r>
      <w:r>
        <w:rPr>
          <w:rFonts w:ascii="Times New Roman" w:hAnsi="Times New Roman"/>
          <w:color w:val="000000"/>
          <w:sz w:val="24"/>
        </w:rPr>
        <w:t>. Except as otherwise required by law, these Bylaws may be amended or repealed by the Board of Directors.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Amendment by Stockholders</w:t>
      </w:r>
      <w:r>
        <w:rPr>
          <w:rFonts w:ascii="Times New Roman" w:hAnsi="Times New Roman"/>
          <w:color w:val="000000"/>
          <w:sz w:val="24"/>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10. </w:t>
      </w:r>
      <w:r>
        <w:rPr>
          <w:rFonts w:ascii="Times New Roman" w:hAnsi="Times New Roman"/>
          <w:color w:val="000000"/>
          <w:sz w:val="24"/>
          <w:u w:val="single"/>
        </w:rPr>
        <w:t>Notices</w:t>
      </w:r>
      <w:r>
        <w:rPr>
          <w:rFonts w:ascii="Times New Roman" w:hAnsi="Times New Roman"/>
          <w:color w:val="000000"/>
          <w:sz w:val="24"/>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Waivers</w:t>
      </w:r>
      <w:r>
        <w:rPr>
          <w:rFonts w:ascii="Times New Roman" w:hAnsi="Times New Roman"/>
          <w:color w:val="000000"/>
          <w:sz w:val="24"/>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Approved by the Board of Directors on ,2026, approved by the stockholders on , 2026 and effective upon the effectiveness of the Corporation’s Registration Statement on Form S-1 for its initial public offering.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Heading1"/>
        <w:bidi w:val="0"/>
        <w:spacing w:before="240" w:after="283"/>
        <w:jc w:val="right"/>
        <w:rPr>
          <w:rFonts w:ascii="Times New Roman" w:hAnsi="Times New Roman"/>
          <w:color w:val="000000"/>
          <w:sz w:val="22"/>
        </w:rPr>
      </w:pPr>
      <w:bookmarkStart w:id="7" w:name="ck0001657677-ex10_1.htm"/>
      <w:bookmarkStart w:id="8" w:name="ksck0001657677ex10_1"/>
      <w:bookmarkEnd w:id="7"/>
      <w:bookmarkEnd w:id="8"/>
      <w:r>
        <w:rPr>
          <w:rFonts w:ascii="Times New Roman" w:hAnsi="Times New Roman"/>
          <w:color w:val="000000"/>
          <w:sz w:val="22"/>
        </w:rPr>
        <w:t>Exhibit 10.1</w:t>
      </w:r>
      <w:r>
        <w:br w:type="page"/>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STOCK PURCHASE AGREEMENT</w:t>
      </w:r>
    </w:p>
    <w:p>
      <w:pPr>
        <w:pStyle w:val="TextBody"/>
        <w:bidi w:val="0"/>
        <w:spacing w:before="240" w:after="283"/>
        <w:jc w:val="left"/>
        <w:rPr>
          <w:rFonts w:ascii="Times New Roman" w:hAnsi="Times New Roman"/>
          <w:sz w:val="20"/>
        </w:rPr>
      </w:pPr>
      <w:r>
        <w:rPr>
          <w:rFonts w:ascii="Times New Roman" w:hAnsi="Times New Roman"/>
          <w:color w:val="000000"/>
          <w:sz w:val="22"/>
        </w:rPr>
        <w:t>This STOCK PURCHASE AGREEMENT (this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entered into as of June 9, 2026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by and between Regeneron Pharmaceuticals, Inc. (the “</w:t>
      </w:r>
      <w:r>
        <w:rPr>
          <w:rFonts w:ascii="Times New Roman" w:hAnsi="Times New Roman"/>
          <w:b/>
          <w:color w:val="000000"/>
          <w:sz w:val="22"/>
        </w:rPr>
        <w:t>Investor</w:t>
      </w:r>
      <w:r>
        <w:rPr>
          <w:rFonts w:ascii="Times New Roman" w:hAnsi="Times New Roman"/>
          <w:color w:val="000000"/>
          <w:sz w:val="20"/>
        </w:rPr>
        <w:t>”</w:t>
      </w:r>
      <w:r>
        <w:rPr>
          <w:rFonts w:ascii="Times New Roman" w:hAnsi="Times New Roman"/>
          <w:color w:val="000000"/>
          <w:sz w:val="22"/>
        </w:rPr>
        <w:t>), and Parabilis Medicines, Inc., 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color w:val="000000"/>
          <w:sz w:val="22"/>
        </w:rPr>
        <w:t>WHEREAS, the Company is proposing to issue and sell to the Investor (the “</w:t>
      </w:r>
      <w:r>
        <w:rPr>
          <w:rFonts w:ascii="Times New Roman" w:hAnsi="Times New Roman"/>
          <w:b/>
          <w:color w:val="000000"/>
          <w:sz w:val="22"/>
        </w:rPr>
        <w:t>Offering</w:t>
      </w:r>
      <w:r>
        <w:rPr>
          <w:rFonts w:ascii="Times New Roman" w:hAnsi="Times New Roman"/>
          <w:color w:val="000000"/>
          <w:sz w:val="20"/>
        </w:rPr>
        <w:t>”</w:t>
      </w:r>
      <w:r>
        <w:rPr>
          <w:rFonts w:ascii="Times New Roman" w:hAnsi="Times New Roman"/>
          <w:color w:val="000000"/>
          <w:sz w:val="22"/>
        </w:rPr>
        <w:t>) $75,000,000 of the Company’s common stock, $0.0001 par value per share (the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contemporaneously with the Company’s initial public offering of Common Stock (“</w:t>
      </w:r>
      <w:r>
        <w:rPr>
          <w:rFonts w:ascii="Times New Roman" w:hAnsi="Times New Roman"/>
          <w:b/>
          <w:color w:val="000000"/>
          <w:sz w:val="22"/>
        </w:rPr>
        <w:t>IPO</w:t>
      </w:r>
      <w:r>
        <w:rPr>
          <w:rFonts w:ascii="Times New Roman" w:hAnsi="Times New Roman"/>
          <w:color w:val="000000"/>
          <w:sz w:val="20"/>
        </w:rPr>
        <w:t>”</w:t>
      </w:r>
      <w:r>
        <w:rPr>
          <w:rFonts w:ascii="Times New Roman" w:hAnsi="Times New Roman"/>
          <w:color w:val="000000"/>
          <w:sz w:val="22"/>
        </w:rPr>
        <w:t>), pursuant to the terms and subject to the conditions set forth in this Agreement;</w:t>
      </w:r>
    </w:p>
    <w:p>
      <w:pPr>
        <w:pStyle w:val="TextBody"/>
        <w:bidi w:val="0"/>
        <w:spacing w:before="240" w:after="283"/>
        <w:jc w:val="left"/>
        <w:rPr>
          <w:rFonts w:ascii="Times New Roman" w:hAnsi="Times New Roman"/>
          <w:sz w:val="20"/>
        </w:rPr>
      </w:pPr>
      <w:r>
        <w:rPr>
          <w:rFonts w:ascii="Times New Roman" w:hAnsi="Times New Roman"/>
          <w:color w:val="000000"/>
          <w:sz w:val="22"/>
        </w:rPr>
        <w:t>WHEREAS, the closing of the Offering shall take place concurrently with the closing of the IPO (the “</w:t>
      </w:r>
      <w:r>
        <w:rPr>
          <w:rFonts w:ascii="Times New Roman" w:hAnsi="Times New Roman"/>
          <w:b/>
          <w:color w:val="000000"/>
          <w:sz w:val="22"/>
        </w:rPr>
        <w:t>IPO Closing Time</w:t>
      </w:r>
      <w:r>
        <w:rPr>
          <w:rFonts w:ascii="Times New Roman" w:hAnsi="Times New Roman"/>
          <w:color w:val="000000"/>
          <w:sz w:val="20"/>
        </w:rPr>
        <w:t>”</w:t>
      </w:r>
      <w:r>
        <w:rPr>
          <w:rFonts w:ascii="Times New Roman" w:hAnsi="Times New Roman"/>
          <w:color w:val="000000"/>
          <w:sz w:val="22"/>
        </w:rPr>
        <w:t>) and at a price per share equal to ninety percent (90%) of the initial public offering price per share that the Common Stock is sold to the public in the IPO as set forth on the cover of the final prospectus filed with the U.S.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(the “</w:t>
      </w:r>
      <w:r>
        <w:rPr>
          <w:rFonts w:ascii="Times New Roman" w:hAnsi="Times New Roman"/>
          <w:b/>
          <w:color w:val="000000"/>
          <w:sz w:val="22"/>
        </w:rPr>
        <w:t>IPO-Based Purchase Price</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color w:val="000000"/>
          <w:sz w:val="22"/>
        </w:rPr>
        <w:t>WHEREAS, the Shares are being offered to the Investor pursuant to a private placement exemption from registration under the Securities Act of 1933, as amended (the “</w:t>
      </w:r>
      <w:r>
        <w:rPr>
          <w:rFonts w:ascii="Times New Roman" w:hAnsi="Times New Roman"/>
          <w:b/>
          <w:color w:val="000000"/>
          <w:sz w:val="22"/>
        </w:rPr>
        <w:t>Securities Act</w:t>
      </w:r>
      <w:r>
        <w:rPr>
          <w:rFonts w:ascii="Times New Roman" w:hAnsi="Times New Roman"/>
          <w:color w:val="000000"/>
          <w:sz w:val="20"/>
        </w:rPr>
        <w:t>”</w:t>
      </w:r>
      <w:r>
        <w:rPr>
          <w:rFonts w:ascii="Times New Roman" w:hAnsi="Times New Roman"/>
          <w:color w:val="000000"/>
          <w:sz w:val="22"/>
        </w:rPr>
        <w:t>); and</w:t>
      </w:r>
    </w:p>
    <w:p>
      <w:pPr>
        <w:pStyle w:val="TextBody"/>
        <w:bidi w:val="0"/>
        <w:spacing w:before="240" w:after="283"/>
        <w:jc w:val="left"/>
        <w:rPr>
          <w:rFonts w:ascii="Times New Roman" w:hAnsi="Times New Roman"/>
          <w:sz w:val="20"/>
        </w:rPr>
      </w:pPr>
      <w:r>
        <w:rPr>
          <w:rFonts w:ascii="Times New Roman" w:hAnsi="Times New Roman"/>
          <w:color w:val="000000"/>
          <w:sz w:val="22"/>
        </w:rPr>
        <w:t>WHEREAS, in order to effect the IPO, the Company shall enter into an Underwriting Agreement (the “</w:t>
      </w:r>
      <w:r>
        <w:rPr>
          <w:rFonts w:ascii="Times New Roman" w:hAnsi="Times New Roman"/>
          <w:b/>
          <w:color w:val="000000"/>
          <w:sz w:val="22"/>
        </w:rPr>
        <w:t>Underwriting Agreement</w:t>
      </w:r>
      <w:r>
        <w:rPr>
          <w:rFonts w:ascii="Times New Roman" w:hAnsi="Times New Roman"/>
          <w:color w:val="000000"/>
          <w:sz w:val="20"/>
        </w:rPr>
        <w:t>”</w:t>
      </w:r>
      <w:r>
        <w:rPr>
          <w:rFonts w:ascii="Times New Roman" w:hAnsi="Times New Roman"/>
          <w:color w:val="000000"/>
          <w:sz w:val="22"/>
        </w:rPr>
        <w:t>) with Leerink Partners LLC, BofA Securities, Inc., Evercore Group L.L.C. and Guggenheim Securities, LLC, as representatives of the several underwriters named therein (acting in such capacity, collectively, the “</w:t>
      </w:r>
      <w:r>
        <w:rPr>
          <w:rFonts w:ascii="Times New Roman" w:hAnsi="Times New Roman"/>
          <w:b/>
          <w:color w:val="000000"/>
          <w:sz w:val="22"/>
        </w:rPr>
        <w:t>Underwriters</w:t>
      </w:r>
      <w:r>
        <w:rPr>
          <w:rFonts w:ascii="Times New Roman" w:hAnsi="Times New Roman"/>
          <w:color w:val="000000"/>
          <w:sz w:val="20"/>
        </w:rPr>
        <w:t>”</w:t>
      </w:r>
      <w:r>
        <w:rPr>
          <w:rFonts w:ascii="Times New Roman" w:hAnsi="Times New Roman"/>
          <w:color w:val="000000"/>
          <w:sz w:val="22"/>
        </w:rPr>
        <w:t xml:space="preserve">), substantially in the form attached hereto as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NOW, THEREFORE, in consideration of the foregoing and the mutual promises and covenants set forth below, the parties hereto hereby agree as follows: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Sale of Shares.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(a) </w:t>
      </w:r>
      <w:r>
        <w:rPr>
          <w:rFonts w:ascii="Times New Roman" w:hAnsi="Times New Roman"/>
          <w:i/>
          <w:color w:val="000000"/>
          <w:sz w:val="22"/>
        </w:rPr>
        <w:t>Purchase and Sale</w:t>
      </w:r>
      <w:r>
        <w:rPr>
          <w:rFonts w:ascii="Times New Roman" w:hAnsi="Times New Roman"/>
          <w:color w:val="000000"/>
          <w:sz w:val="22"/>
        </w:rPr>
        <w:t>. Subject to the terms and conditions set forth in this Agreement, the Company hereby agrees to sell to the Investor, and the Investor hereby agrees to purchase from the Company, a number of shares of Common Stock (the “</w:t>
      </w:r>
      <w:r>
        <w:rPr>
          <w:rFonts w:ascii="Times New Roman" w:hAnsi="Times New Roman"/>
          <w:b/>
          <w:color w:val="000000"/>
          <w:sz w:val="22"/>
        </w:rPr>
        <w:t>Shares</w:t>
      </w:r>
      <w:r>
        <w:rPr>
          <w:rFonts w:ascii="Times New Roman" w:hAnsi="Times New Roman"/>
          <w:color w:val="000000"/>
          <w:sz w:val="20"/>
        </w:rPr>
        <w:t>”</w:t>
      </w:r>
      <w:r>
        <w:rPr>
          <w:rFonts w:ascii="Times New Roman" w:hAnsi="Times New Roman"/>
          <w:color w:val="000000"/>
          <w:sz w:val="22"/>
        </w:rPr>
        <w:t>) determined by dividing $75,000,000 by the IPO-Based Purchase Price (rounded down to the nearest whole share). The total purchase price to be paid by the Investor for the Shares is equal to (i) the number of Shares multiplied by (ii) the IPO-Based Purchase Price (the “</w:t>
      </w:r>
      <w:r>
        <w:rPr>
          <w:rFonts w:ascii="Times New Roman" w:hAnsi="Times New Roman"/>
          <w:b/>
          <w:color w:val="000000"/>
          <w:sz w:val="22"/>
        </w:rPr>
        <w:t>Purchase Price</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(b) </w:t>
      </w:r>
      <w:r>
        <w:rPr>
          <w:rFonts w:ascii="Times New Roman" w:hAnsi="Times New Roman"/>
          <w:i/>
          <w:color w:val="000000"/>
          <w:sz w:val="22"/>
        </w:rPr>
        <w:t>Closing</w:t>
      </w:r>
      <w:r>
        <w:rPr>
          <w:rFonts w:ascii="Times New Roman" w:hAnsi="Times New Roman"/>
          <w:color w:val="000000"/>
          <w:sz w:val="22"/>
        </w:rPr>
        <w:t>. The closing of the purchase and sale of the Shares (the “</w:t>
      </w:r>
      <w:r>
        <w:rPr>
          <w:rFonts w:ascii="Times New Roman" w:hAnsi="Times New Roman"/>
          <w:b/>
          <w:color w:val="000000"/>
          <w:sz w:val="22"/>
        </w:rPr>
        <w:t>Closing</w:t>
      </w:r>
      <w:r>
        <w:rPr>
          <w:rFonts w:ascii="Times New Roman" w:hAnsi="Times New Roman"/>
          <w:color w:val="000000"/>
          <w:sz w:val="20"/>
        </w:rPr>
        <w:t>”</w:t>
      </w:r>
      <w:r>
        <w:rPr>
          <w:rFonts w:ascii="Times New Roman" w:hAnsi="Times New Roman"/>
          <w:color w:val="000000"/>
          <w:sz w:val="22"/>
        </w:rPr>
        <w:t>) shall take place remotely via the exchange of documents and signatures, after the satisfaction or waiver of each of the conditions set forth in Section 4 (other than those conditions that by their nature are to be satisfied at the Closing, but subject to the fulfillment or waiver of those conditions) concurrently with the IPO Closing Time. At the Closing, (i) the Company shall cause the Company’s transfer agent to deliver the Shares directly to the Investor registered in the name of the Investor, and (ii) the Investor shall deliver the Purchase Price for the Shares directly to the Company as set forth in Section 1(c) below.</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(c) </w:t>
      </w:r>
      <w:r>
        <w:rPr>
          <w:rFonts w:ascii="Times New Roman" w:hAnsi="Times New Roman"/>
          <w:i/>
          <w:color w:val="000000"/>
          <w:sz w:val="22"/>
        </w:rPr>
        <w:t>Payment of Purchase Price</w:t>
      </w:r>
      <w:r>
        <w:rPr>
          <w:rFonts w:ascii="Times New Roman" w:hAnsi="Times New Roman"/>
          <w:color w:val="000000"/>
          <w:sz w:val="22"/>
        </w:rPr>
        <w:t>. Payment by the Investor of the Purchase Price to the Company shall be made at the Closing by wire transfer of immediately available funds equal to the Purchase Price to an account specified in writing by the Company at least one business day prior to the Closing.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Payment of the Purchase Price for the Shares shall be made against delivery to the Investor of the Shares, which Shares shall be uncertificated and shall be registered in the name of the Investor on the books of the Company by the Company’s transfer agent.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Representations and Warranties.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Representations and Warranties of the Company</w:t>
      </w:r>
      <w:r>
        <w:rPr>
          <w:rFonts w:ascii="Times New Roman" w:hAnsi="Times New Roman"/>
          <w:color w:val="000000"/>
          <w:sz w:val="22"/>
        </w:rPr>
        <w:t>. The Company represents and warrants to the Investor as follows as of the date hereof and as of the time of the Closing: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The representations and warranties of the Company set forth in the Underwriting Agreement are true and correct on and as of the date hereof, with the same effect as if made to the Investor herein on the date hereof (except to the extent any such representations and warranties expressly relate to a particular date, in which case such representations and warranties are true and correct, with the same effect as if made to the Investor as of such particular date) (after giving effect to any materiality or other qualifiers contained therein);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 The Company has the full right, power, authority and capacity to enter into this Agreement and to consummate the transactions contemplated hereby and thereby and has taken all necessary action to authorize the execution, delivery and performance of this Agreement and the consummation of the transactions contemplated hereby; no Company stockholder approval is required for the Company to enter into this Agreement or to consummate the transactions contemplated hereby, including the issuance and sale of the Shares;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 This Agreement constitutes the valid and legally binding obligation of the Company, enforceable in accordance with its terms, subject to bankruptcy, reorganization, insolvency and other similar laws affecting the enforcement of creditors’ rights generally and to general principles of equity. Upon issuance in accordance with, and payment pursuant to, the terms of this Agreement, the Shares will be duly authorized, validly issued and fully-paid and nonassessable, not subject to any preemptive or similar rights and will be issued to the Investor free of liens, encumbrances and restrictions on transfer other than (i) restrictions on transfer under this Agreement and under applicable state and federal securities laws, (ii) restrictions on transfer under the lock-up agreement entered into by the Investor or its affiliates in connection with the IPO and (iii) any liens, encumbrances or restrictions on transfer that are created or imposed by the Investor. Subject in part to the truth and accuracy of the Investor’s representations set forth in Section 2.2 of this Agreement, the offer, sale and issuance of the Shares as contemplated by this Agreement are, and will be, (i) exempt from the registration and prospectus delivery requirements of the Securities Act and (ii) exempt from (or otherwise not subject to) the registration and qualification requirements of applicable securities laws of the states of the United States;</w:t>
      </w:r>
    </w:p>
    <w:p>
      <w:pPr>
        <w:pStyle w:val="TextBody"/>
        <w:bidi w:val="0"/>
        <w:spacing w:before="240" w:after="283"/>
        <w:jc w:val="left"/>
        <w:rPr>
          <w:rFonts w:ascii="Times New Roman" w:hAnsi="Times New Roman"/>
          <w:sz w:val="20"/>
        </w:rPr>
      </w:pPr>
      <w:r>
        <w:rPr>
          <w:rFonts w:ascii="Times New Roman" w:hAnsi="Times New Roman"/>
          <w:color w:val="000000"/>
          <w:sz w:val="22"/>
        </w:rPr>
        <w:t>(d) Neither the Company nor any other person or entity authorized by the Company to act on its behalf has engaged in a general solicitation or general advertising (within the meaning of Regulation D of the Securities Act) of investors with respect to offers or sales of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Shares pursuant to this Agreement for purposes of the Securities Act or (ii) aggregated with prior offerings by the Company for the purposes of the rules and regulations of the applicable securities exchange on which its Common Stock shall be listed. Assuming the accuracy of the representations and warranties of the Investor set forth in Section 2.2,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and/or Rule 506 of Regulation D promulgated thereunder for the exemption from registration for the transactions contemplated hereby;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 The execution and delivery by the Company of, and the performance by the Company of its obligations under this Agreement, the offer, issuance, sale and delivery of the Shares, the consummation of the transactions contemplated hereby and compliance by the Company with its obligations hereunder does not and will not conflict with or result in a breach or violation of any of the terms or provisions of, or constitute a default under, (i)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(ii) the certificate of incorporation or by-laws (or other applicable organizational document) of the Company or any of its subsidiaries, or (iii) any statute or any judgment, order, rule or regulation of any court or governmental agency or body having jurisdiction over the Company or any of its subsidiaries or any of their properties, except, in the case of clauses (i) and (iii) for such defaults, breaches, or violations that would not, individually or in the aggregate, reasonably be expected to result in a Material Adverse Effect (as defined in the Underwriting Agreement);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approvals, authorizations, orders, registrations or qualifications as may be required under state securities or Blue Sky laws, which have been made or will be made in a timely manner, or have otherwise been duly waived;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 No “bad actor” disqualifying event described in Rule 506(d)(1)(i)-(viii) of the Securities Act (a “Disqualification Event”) is applicable to the Company or, to the Company’s knowledge, any Company Covered Person (as defined in the first paragraph of Rule 506(d)(1)), except for a Disqualification Event as to which Rule 506(d)(2)(ii–iv) or (d)(3), is applicable;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 Neither the Company nor, to the best of the Company’s knowledge, any of its Affiliates (which term, as used herein, shall have the meaning set forth in Rule 405 under the Securities Act) or any person or entity acting on its or their behalf has, directly or indirectly, at any time within the past six months, made any offers or sales of any Company security or solicited any offers to buy any security under circumstances that would (i) eliminate the availability of the exemption from registration under Section 4(a)(2) the Securities Act in connection with the offer and sale by the Company of the Shares as contemplated hereby or (ii) cause the offering of the Shares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Representations and Warranties of the Investor</w:t>
      </w:r>
      <w:r>
        <w:rPr>
          <w:rFonts w:ascii="Times New Roman" w:hAnsi="Times New Roman"/>
          <w:i/>
          <w:color w:val="000000"/>
          <w:sz w:val="22"/>
        </w:rPr>
        <w:t xml:space="preserve">. </w:t>
      </w:r>
      <w:r>
        <w:rPr>
          <w:rFonts w:ascii="Times New Roman" w:hAnsi="Times New Roman"/>
          <w:color w:val="000000"/>
          <w:sz w:val="22"/>
        </w:rPr>
        <w:t>The Investor represents and warrants to the Company as follows:</w:t>
      </w:r>
    </w:p>
    <w:p>
      <w:pPr>
        <w:pStyle w:val="TextBody"/>
        <w:bidi w:val="0"/>
        <w:spacing w:before="240" w:after="283"/>
        <w:jc w:val="left"/>
        <w:rPr>
          <w:rFonts w:ascii="Times New Roman" w:hAnsi="Times New Roman"/>
          <w:sz w:val="20"/>
        </w:rPr>
      </w:pPr>
      <w:r>
        <w:rPr>
          <w:rFonts w:ascii="Times New Roman" w:hAnsi="Times New Roman"/>
          <w:color w:val="000000"/>
          <w:sz w:val="22"/>
        </w:rPr>
        <w:t>(a) (i) It is an institutional “accredited investor” as defined in Rule 501(a) promulgated under the Securities Act; (ii) it has sufficient knowledge and experience in investing in companies similar to the Company so as to be able to evaluate the risks and merits of its investment in the Company and it is able financially to bear the risks thereof; (iii) it has had an opportunity to discuss the Company’s business, management and financial affairs with the Company’s management; (iv) all documents, records, and information pertaining to its investment in the Common Stock and the Company that have been requested by it, if any, have been made available or delivered to it prior to the date hereof; (v) its financial condition is such that it is able to bear the risk of holding the Shares for an indefinite period of time and can bear the loss of the entire investment in such Shares; (vi) it is not purchasing the Shares as the result of any form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of general solicitation or general advertising within the meaning of Rule 502(c) under the Securities Act or as a result of the Investor’s review of public filings by the Company; and (vii) it has independently evaluated the merits of its decision to purchase securities of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 The Investor understands that this Agreement is made in reliance upon the Investor’s express representations, which it hereby represents and warrants to the Company, that (i) the Shares being purchased by the Investor are being acquired for the Investor’s own account (and not on behalf of any other person or entity) for the purpose of investment and not with a view to, or for sale in connection with, the distribution thereof, nor with any present intention of distributing or selling the Shares or any portion thereof; (ii) the Investor was not organized for the specific purpose of acquiring the Shares; and (iii) the Shares will not be sold by the Investor without registration under the Securities Act or applicable state securities laws, or an exemption therefrom;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 The Investor further understands that the Shares being purchased by the Investor hereunder have not been registered under the Securities Act or any state securities laws and are instead being offered and sold in reliance on an exemption from such registration requirements. The Investor represents and warrants to the Company that, to the Investor’s knowledge, the Investor has not taken any action which could reasonably be expected to cause the sale of the Shares to be sold by the Company to the Investor to fail to qualify as exempt from the registration requirements of the Securities Act. The Investor further understands that until such time as the Shares shall have been registered under the Securities Act and applicable state securities laws or shall have been transferred in accordance with an opinion of counsel reasonably satisfactory to the Company that such registration is not required, stop transfer instructions shall be issued to the Company’s transfer agent and any certificate or certificates representing such securities shall bear a restrictive legend stating that such securities have not been registered under the Securities Act and applicable state securities laws and referring to restrictions on the transferability and sale thereof;</w:t>
      </w:r>
    </w:p>
    <w:p>
      <w:pPr>
        <w:pStyle w:val="TextBody"/>
        <w:bidi w:val="0"/>
        <w:spacing w:before="240" w:after="283"/>
        <w:jc w:val="left"/>
        <w:rPr>
          <w:rFonts w:ascii="Times New Roman" w:hAnsi="Times New Roman"/>
          <w:sz w:val="20"/>
        </w:rPr>
      </w:pPr>
      <w:r>
        <w:rPr>
          <w:rFonts w:ascii="Times New Roman" w:hAnsi="Times New Roman"/>
          <w:color w:val="000000"/>
          <w:sz w:val="22"/>
        </w:rPr>
        <w:t>(d) The Investor further understands that its representations and warranties hereunder will not preclude disposition of the Shares without registration thereof, in compliance with Rule 144 promulgated under the Securities Act (“</w:t>
      </w:r>
      <w:r>
        <w:rPr>
          <w:rFonts w:ascii="Times New Roman" w:hAnsi="Times New Roman"/>
          <w:b/>
          <w:color w:val="000000"/>
          <w:sz w:val="22"/>
        </w:rPr>
        <w:t>Rule 144</w:t>
      </w:r>
      <w:r>
        <w:rPr>
          <w:rFonts w:ascii="Times New Roman" w:hAnsi="Times New Roman"/>
          <w:color w:val="000000"/>
          <w:sz w:val="20"/>
        </w:rPr>
        <w:t>”</w:t>
      </w:r>
      <w:r>
        <w:rPr>
          <w:rFonts w:ascii="Times New Roman" w:hAnsi="Times New Roman"/>
          <w:color w:val="000000"/>
          <w:sz w:val="22"/>
        </w:rPr>
        <w:t>). The Investor understands and acknowledges, however, that there may not be available when the Investor wishes to sell the Shares, or any portion thereof, the adequate current public information with respect to the Company which would permit offers or sales of such securities pursuant to Rule 144, and, therefore, compliance with the Securities Act or some other exemption from the registration and prospectus delivery requirements of the Securities Act may be required for any such offer or sale;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 (i) The Investor is validly existing as a corporation under the laws of New York; (ii) the Investor has all requisite power and authority to execute and deliver this Agreement; and (iii) this Agreement constitutes the valid and legally binding obligation of the Investor, enforceable against the Investor in accordance with its terms, subject to bankruptcy, reorganization, insolvency and other similar laws affecting the enforcement of creditors’ rights generally and to general principles of equity.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Conditions to the Closing</w:t>
      </w:r>
      <w:r>
        <w:rPr>
          <w:rFonts w:ascii="Times New Roman" w:hAnsi="Times New Roman"/>
          <w:color w:val="000000"/>
          <w:sz w:val="22"/>
        </w:rPr>
        <w:t>. The obligations of the Company and the Investor hereunder are subject to the satisfaction of the conditions set forth below on or before the Closing. If for any reason any of the conditions set forth in this Section 4 are not satisfied or waived by each party entitled to the benefit of such conditions at or prior to the Closing, then each party by written notice given to the other parties hereto shall have the right to elect to terminate this Agreement and each party shall be released from their obligations hereunder and shall have no further liability hereunder, provided, however, that nothing contained in this Section 4 shall relieve any party from liabilities or damages arising out of any fraud or willful breach by such party of this Agreement prior to such 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90" w:right="0" w:hanging="0"/>
        <w:jc w:val="left"/>
        <w:rPr>
          <w:rFonts w:ascii="Times New Roman" w:hAnsi="Times New Roman"/>
          <w:sz w:val="20"/>
        </w:rPr>
      </w:pPr>
      <w:r>
        <w:rPr>
          <w:rFonts w:ascii="Times New Roman" w:hAnsi="Times New Roman"/>
          <w:color w:val="000000"/>
          <w:sz w:val="22"/>
        </w:rPr>
        <w:t>a</w:t>
      </w:r>
      <w:r>
        <w:rPr>
          <w:rFonts w:ascii="Times New Roman" w:hAnsi="Times New Roman"/>
          <w:i/>
          <w:color w:val="000000"/>
          <w:sz w:val="22"/>
        </w:rPr>
        <w:t xml:space="preserve">. Conditions to the Investor’s Obligations. </w:t>
      </w:r>
      <w:r>
        <w:rPr>
          <w:rFonts w:ascii="Times New Roman" w:hAnsi="Times New Roman"/>
          <w:color w:val="000000"/>
          <w:sz w:val="22"/>
        </w:rPr>
        <w:t>The Investor’s obligation to purchase the Shares at the Closing are subject to the satisfaction of the following conditions:</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 the representations and warranties of the Company contained in Section 2.1 herein shall be true and accurate on and as of the Closing with the same force and effect as if they had been made at the Closing (except to the extent any such representations and warranties expressly relate to a particular date, in which case such representations and warranties are true and correct as of such particular date) (after giving effect to any materiality or other qualifiers contained therein);</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ii.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iii. no governmental authority or body shall have enacted, issued, promulgated, enforced or entered any decision, injunction, decree, ruling, law or order enjoining, suspending or otherwise prohibiting or making illegal the consummation of the transactions contemplated at the Closing, any stop order suspending the effectiveness of the registration statement filed by the Company with the SEC with respect to the IPO shall be or shall have been in effect, or any proceedings for such purpose or pursuant to Section 8A under the Securities Act shall be or shall have been pending before or threatened by the SEC;</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iv. the Company shall have consummated the IPO and the Underwriters shall have purchased, concurrently with the purchase of the Shares by the Investor hereunder, the Initial Securities (as defined in the Underwriting Agreement) at the initial public offering price per share that the Common Stock is sold to the public in the IPO as set forth on the cover of the final prospectus filed with the SEC (less any applicable underwriting discounts or commissions); and</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v. the Company shall have filed with Nasdaq a Notification Form: Listing of Additional Shares for the listing of the Shares.</w:t>
      </w:r>
    </w:p>
    <w:p>
      <w:pPr>
        <w:pStyle w:val="TextBody"/>
        <w:bidi w:val="0"/>
        <w:spacing w:before="240" w:after="283"/>
        <w:ind w:left="490" w:right="0" w:hanging="0"/>
        <w:jc w:val="left"/>
        <w:rPr>
          <w:rFonts w:ascii="Times New Roman" w:hAnsi="Times New Roman"/>
          <w:sz w:val="20"/>
        </w:rPr>
      </w:pPr>
      <w:r>
        <w:rPr>
          <w:rFonts w:ascii="Times New Roman" w:hAnsi="Times New Roman"/>
          <w:color w:val="000000"/>
          <w:sz w:val="22"/>
        </w:rPr>
        <w:t>b</w:t>
      </w:r>
      <w:r>
        <w:rPr>
          <w:rFonts w:ascii="Times New Roman" w:hAnsi="Times New Roman"/>
          <w:i/>
          <w:color w:val="000000"/>
          <w:sz w:val="22"/>
        </w:rPr>
        <w:t xml:space="preserve">. Conditions to the Company’s Obligations. </w:t>
      </w:r>
      <w:r>
        <w:rPr>
          <w:rFonts w:ascii="Times New Roman" w:hAnsi="Times New Roman"/>
          <w:color w:val="000000"/>
          <w:sz w:val="22"/>
        </w:rPr>
        <w:t>The Company’s obligations to sell the Shares at the Closing are subject to the satisfaction of the following conditions:</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 the Investor shall have paid the Purchase Price to the Company by wire transfer of immediately available funds as specified in Section 1(c) of this Agreement;</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ii. the representations and warranties of the Investor contained in Section 2.2 shall be true and accurate on and as of the Closing with the same force and effect as if they had been made at the Closing; and</w:t>
      </w:r>
    </w:p>
    <w:p>
      <w:pPr>
        <w:pStyle w:val="TextBody"/>
        <w:bidi w:val="0"/>
        <w:spacing w:before="240" w:after="283"/>
        <w:ind w:left="360" w:right="0" w:hanging="0"/>
        <w:jc w:val="left"/>
        <w:rPr>
          <w:rFonts w:ascii="Times New Roman" w:hAnsi="Times New Roman"/>
          <w:color w:val="000000"/>
          <w:sz w:val="22"/>
        </w:rPr>
      </w:pPr>
      <w:r>
        <w:rPr>
          <w:rFonts w:ascii="Times New Roman" w:hAnsi="Times New Roman"/>
          <w:color w:val="000000"/>
          <w:sz w:val="22"/>
        </w:rPr>
        <w:t>iii. the Underwriters shall have purchased, concurrently with the purchase of the Shares by the Investor hereunder, the Initial Securities (as defined in the Underwriting Agreement) at the initial public offering price per share that the Common Stock is sold to the public in the IPO as set forth on the cover of the final prospectus filed with the SEC (less any applicable underwriting discounts or commissions).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No Integration</w:t>
      </w:r>
      <w:r>
        <w:rPr>
          <w:rFonts w:ascii="Times New Roman" w:hAnsi="Times New Roman"/>
          <w:color w:val="000000"/>
          <w:sz w:val="22"/>
        </w:rPr>
        <w:t>. The Company shall not, and shall use its commercially reasonable efforts to ensure that no Affiliate of the Company (other than the Investor) shall, sell, offer for sale or solicit offers to buy or otherwise negotiate in respect of any security (as defined in Section 2 of the Securities Act) that would be integrated with the offer or sale of the Shares in a manner that would require the registration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the Securities Act of the sale of the Shares to Purchaser, or that would be integrated with the offer or sale of such Shares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Rule 144 Reporting.</w:t>
      </w:r>
      <w:r>
        <w:rPr>
          <w:rFonts w:ascii="Times New Roman" w:hAnsi="Times New Roman"/>
          <w:color w:val="000000"/>
          <w:sz w:val="20"/>
        </w:rPr>
        <w:t xml:space="preserve"> </w:t>
      </w:r>
      <w:r>
        <w:rPr>
          <w:rFonts w:ascii="Times New Roman" w:hAnsi="Times New Roman"/>
          <w:color w:val="000000"/>
          <w:sz w:val="22"/>
        </w:rPr>
        <w:t>With a view to making available to the Investor the benefits of certain rules and regulations of the SEC that may permit the sale of the Shares to the public without registration, the Company agrees to use commercially reasonable efforts 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 make and keep public information available, as those terms are understood and defined in Rule 144;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 file with the SEC in a timely manner all reports and other documents required of the Company under the Exchange Act;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 furnish to the Investor promptly upon written request (i) a written statement by the Company as to its compliance with the public information requirements of Rule 144, (ii) a copy of the most recent annual or quarterly report of the Company, and (iii) such other reports and documents as may be reasonably requested in availing the Investor of any rule or regulation of the SEC permitting the sale of the Shares to the public without registration.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Piggyback Registration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 The Company agrees that the Investor shall be entitled to be treated as if it were a “Holder” and the Shares as “Registrable Securities” solely for purposes of the rights: (i) of a Holder with respect to Registrable Securities set forth in Section 2.2 of the Company’s Sixth Amended and Restated Investor’s Rights Agreement, dated January 6, 2026, among the Company and the other parties thereto, as may be amended from time to time (the “</w:t>
      </w:r>
      <w:r>
        <w:rPr>
          <w:rFonts w:ascii="Times New Roman" w:hAnsi="Times New Roman"/>
          <w:b/>
          <w:color w:val="000000"/>
          <w:sz w:val="20"/>
        </w:rPr>
        <w:t>IRA</w:t>
      </w:r>
      <w:r>
        <w:rPr>
          <w:rFonts w:ascii="Times New Roman" w:hAnsi="Times New Roman"/>
          <w:color w:val="000000"/>
          <w:sz w:val="20"/>
        </w:rPr>
        <w:t>”), and (ii) of a Holder who is not an Initiating Holder with respect to Registrable Securities set forth in Section 2.1 of the IRA, in each case with respect to the Shares. The rights of the Investor set forth in this Section 7 shall be subject to the same restrictions (including, without limitation, those set forth in Section 2.3(b) of the IRA) and termination and waiver provisions (including, without limitation, Sections 2.13 and 6.6 of the IRA) as apply to Holders in the IRA.</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 The terms of Section 2.8 of the IRA shall apply with respect to any Shares included in a registration statement pursuant to this Section 6, </w:t>
      </w:r>
      <w:r>
        <w:rPr>
          <w:rFonts w:ascii="Times New Roman" w:hAnsi="Times New Roman"/>
          <w:i/>
          <w:color w:val="000000"/>
          <w:sz w:val="20"/>
        </w:rPr>
        <w:t>mutatis mutandis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 The Company shall pay all fees and expenses incident to the performance of or compliance with this Section 6 by the Company, other than Selling Expenses (as defined in the IRA).</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Fees and Commissions</w:t>
      </w:r>
      <w:r>
        <w:rPr>
          <w:rFonts w:ascii="Times New Roman" w:hAnsi="Times New Roman"/>
          <w:color w:val="000000"/>
          <w:sz w:val="22"/>
        </w:rPr>
        <w:t>. The Company shall be solely responsible for the payment of any placement agent’s fees, financial advisory fees, or broker’s commissions (other than for persons engaged by the Investor) relating to or arising out of the sale of Shares contemplated hereby.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Successors and Assigns.</w:t>
      </w:r>
      <w:r>
        <w:rPr>
          <w:rFonts w:ascii="Times New Roman" w:hAnsi="Times New Roman"/>
          <w:color w:val="000000"/>
          <w:sz w:val="20"/>
        </w:rPr>
        <w:t xml:space="preserve"> </w:t>
      </w:r>
      <w:r>
        <w:rPr>
          <w:rFonts w:ascii="Times New Roman" w:hAnsi="Times New Roman"/>
          <w:color w:val="000000"/>
          <w:sz w:val="22"/>
        </w:rPr>
        <w:t>This Agreement shall be binding upon and inure to the benefit of the parties hereto and their respective successors and permitted assigns.</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Notices.</w:t>
      </w:r>
      <w:r>
        <w:rPr>
          <w:rFonts w:ascii="Times New Roman" w:hAnsi="Times New Roman"/>
          <w:color w:val="000000"/>
          <w:sz w:val="20"/>
        </w:rPr>
        <w:t xml:space="preserve"> </w:t>
      </w:r>
      <w:r>
        <w:rPr>
          <w:rFonts w:ascii="Times New Roman" w:hAnsi="Times New Roman"/>
          <w:color w:val="000000"/>
          <w:sz w:val="22"/>
        </w:rPr>
        <w:t>Notices given hereunder shall be deemed to have been duly given, only if given in writing, and on (i) the date of personal delivery; (ii) on the date one day after being delivered to a reputable overnight courier with proper delivery instructions; or (iii) if delivered by email, upon electronic confirmation of receipt to the party being notified as addressed as follows: (a) if to the Investor, to: Regeneron Pharmaceuticals, Inc. 777 Old Saw Mill River Road, Tarrytown, NY 10591, Attention: Treasurer and General Counsel (Leonard.Brooks@regeneron.com; LegalNotices@regeneron.com), with a copy (which shall not constitute notice) to: Ropes &amp; Gray LLP, 1211 Avenue of the Americas New York,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NY 10036-8704, Attention: Daniel J. Freshman and Raymond J. Grant (Daniel.Freshman@ropesgray.com; Raymond.Grant@ropesgray.com), (b) if to the Company, to: Parabilis Medicines, Inc. at 30 Acorn Park Drive, Cambridge, MA 02140, Attention: Teresa Jurgensen (tjurgensen@parabilismed.com), with a copy (which shall not constitute notice) to: Goodwin Procter LLP, 100 Northern Ave, Boston, MA 02210, Attention: Kingsley L. Taft and Gregg L. Katz (ktaft@goodwinlaw.com and gkatz@goodwinlaw.com).</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Entire Agreement and Amendments.</w:t>
      </w:r>
      <w:r>
        <w:rPr>
          <w:rFonts w:ascii="Times New Roman" w:hAnsi="Times New Roman"/>
          <w:color w:val="000000"/>
          <w:sz w:val="20"/>
        </w:rPr>
        <w:t xml:space="preserve"> </w:t>
      </w:r>
      <w:r>
        <w:rPr>
          <w:rFonts w:ascii="Times New Roman" w:hAnsi="Times New Roman"/>
          <w:color w:val="000000"/>
          <w:sz w:val="22"/>
        </w:rPr>
        <w:t>This Agreement constitutes the entire agreement of the parties with respect to the subject matter hereof. This Agreement may be amended or waived if, and only if, such amendment or waiver is in writing and signed, in the case of an amendment, by each of the parties hereto or, in the case of a waiver, by the party waiving compliance. No waiver shall be deemed a waiver of any subsequent breach or default.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Governing Law.</w:t>
      </w:r>
      <w:r>
        <w:rPr>
          <w:rFonts w:ascii="Times New Roman" w:hAnsi="Times New Roman"/>
          <w:color w:val="000000"/>
          <w:sz w:val="20"/>
        </w:rPr>
        <w:t xml:space="preserve"> </w:t>
      </w:r>
      <w:r>
        <w:rPr>
          <w:rFonts w:ascii="Times New Roman" w:hAnsi="Times New Roman"/>
          <w:color w:val="000000"/>
          <w:sz w:val="22"/>
        </w:rPr>
        <w:t>This Agreement shall be governed by and interpreted in accordance with the laws of the State of New York without regard to conflict of laws principles which would result in the application of the law of any other jurisdiction.</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Severability.</w:t>
      </w:r>
      <w:r>
        <w:rPr>
          <w:rFonts w:ascii="Times New Roman" w:hAnsi="Times New Roman"/>
          <w:color w:val="000000"/>
          <w:sz w:val="20"/>
        </w:rPr>
        <w:t xml:space="preserve"> </w:t>
      </w:r>
      <w:r>
        <w:rPr>
          <w:rFonts w:ascii="Times New Roman" w:hAnsi="Times New Roman"/>
          <w:color w:val="000000"/>
          <w:sz w:val="22"/>
        </w:rPr>
        <w:t>The invalidity or unenforceability of any particular provision of this Agreement shall not affect the other provisions hereof.</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Assignment.</w:t>
      </w:r>
      <w:r>
        <w:rPr>
          <w:rFonts w:ascii="Times New Roman" w:hAnsi="Times New Roman"/>
          <w:color w:val="000000"/>
          <w:sz w:val="20"/>
        </w:rPr>
        <w:t xml:space="preserve"> </w:t>
      </w:r>
      <w:r>
        <w:rPr>
          <w:rFonts w:ascii="Times New Roman" w:hAnsi="Times New Roman"/>
          <w:color w:val="000000"/>
          <w:sz w:val="22"/>
        </w:rPr>
        <w:t>This Agreement may not be assigned by the Company or the Investor without the prior written consent of the other parties hereto.</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Captions.</w:t>
      </w:r>
      <w:r>
        <w:rPr>
          <w:rFonts w:ascii="Times New Roman" w:hAnsi="Times New Roman"/>
          <w:color w:val="000000"/>
          <w:sz w:val="20"/>
        </w:rPr>
        <w:t xml:space="preserve"> </w:t>
      </w:r>
      <w:r>
        <w:rPr>
          <w:rFonts w:ascii="Times New Roman" w:hAnsi="Times New Roman"/>
          <w:color w:val="000000"/>
          <w:sz w:val="22"/>
        </w:rPr>
        <w:t>Captions are for convenience only and are not deemed to be part of this Agreement. All references herein to numbered Sections are to Sections of this Agreement unless otherwise indicated.</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Survival.</w:t>
      </w:r>
      <w:r>
        <w:rPr>
          <w:rFonts w:ascii="Times New Roman" w:hAnsi="Times New Roman"/>
          <w:color w:val="000000"/>
          <w:sz w:val="20"/>
        </w:rPr>
        <w:t xml:space="preserve"> </w:t>
      </w:r>
      <w:r>
        <w:rPr>
          <w:rFonts w:ascii="Times New Roman" w:hAnsi="Times New Roman"/>
          <w:color w:val="000000"/>
          <w:sz w:val="22"/>
        </w:rPr>
        <w:t>Sections 5, 6, 8, 11, 12, 13 and 18 hereof, and the representations and warranties contained herein, shall survive the Closing.</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Counterparts.</w:t>
      </w:r>
      <w:r>
        <w:rPr>
          <w:rFonts w:ascii="Times New Roman" w:hAnsi="Times New Roman"/>
          <w:color w:val="000000"/>
          <w:sz w:val="20"/>
        </w:rPr>
        <w:t xml:space="preserve"> </w:t>
      </w:r>
      <w:r>
        <w:rPr>
          <w:rFonts w:ascii="Times New Roman" w:hAnsi="Times New Roman"/>
          <w:color w:val="000000"/>
          <w:sz w:val="22"/>
        </w:rPr>
        <w:t>This Agreement may be executed by pdf and in counterparts, each of which shall be deemed an original, but all of which together shall constitute one and the same instrument.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Further Assurances.</w:t>
      </w:r>
      <w:r>
        <w:rPr>
          <w:rFonts w:ascii="Times New Roman" w:hAnsi="Times New Roman"/>
          <w:color w:val="000000"/>
          <w:sz w:val="20"/>
        </w:rPr>
        <w:t xml:space="preserve"> </w:t>
      </w:r>
      <w:r>
        <w:rPr>
          <w:rFonts w:ascii="Times New Roman" w:hAnsi="Times New Roman"/>
          <w:color w:val="000000"/>
          <w:sz w:val="22"/>
        </w:rPr>
        <w:t>The parties agree to execute such further instruments and to take such further action as may reasonably be necessary to carry out the intent of this Agreement.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Legend Removal</w:t>
      </w:r>
      <w:r>
        <w:rPr>
          <w:rFonts w:ascii="Times New Roman" w:hAnsi="Times New Roman"/>
          <w:color w:val="000000"/>
          <w:sz w:val="22"/>
        </w:rPr>
        <w:t>. The Company shall cooperate with the Investor to facilitate the timely preparation and delivery of certificates or uncertificated shares representing the Shares in connection with sales pursuant to a then-effective and available registration statement registering the resale of all or a portion of the Shares (“</w:t>
      </w:r>
      <w:r>
        <w:rPr>
          <w:rFonts w:ascii="Times New Roman" w:hAnsi="Times New Roman"/>
          <w:b/>
          <w:color w:val="000000"/>
          <w:sz w:val="22"/>
        </w:rPr>
        <w:t>Resale Registration Statement</w:t>
      </w:r>
      <w:r>
        <w:rPr>
          <w:rFonts w:ascii="Times New Roman" w:hAnsi="Times New Roman"/>
          <w:color w:val="000000"/>
          <w:sz w:val="20"/>
        </w:rPr>
        <w:t>”</w:t>
      </w:r>
      <w:r>
        <w:rPr>
          <w:rFonts w:ascii="Times New Roman" w:hAnsi="Times New Roman"/>
          <w:color w:val="000000"/>
          <w:sz w:val="22"/>
        </w:rPr>
        <w:t>) or Rule 144 free of any restrictive legends and representing such number of shares of Common Stock and registered in such names as the Investor may reasonably request to the extent permitted by such Resale Registration Statement or Rule 144; for the avoidance of doubt, the Company may satisfy its obligations hereunder without issuing physical stock certificates through the use of The Depository Trust Company’s Direct Registration System. Notwithstanding the foregoing, upon written request by the Investor sent following the one-year anniversary of the Closing, the Company agrees to promptly remove any restrictive legends from the Shares at such time as the Shares can be freely sold under Rule 144, free of any volume restrictions or manner of sale limitations, provided that the Company has received a representation letter from the Investor in form and substance reasonably satisfactory to the Company.</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19. </w:t>
      </w:r>
      <w:r>
        <w:rPr>
          <w:rFonts w:ascii="Times New Roman" w:hAnsi="Times New Roman"/>
          <w:color w:val="000000"/>
          <w:sz w:val="22"/>
          <w:u w:val="single"/>
        </w:rPr>
        <w:t>Termination.</w:t>
      </w:r>
      <w:r>
        <w:rPr>
          <w:rFonts w:ascii="Times New Roman" w:hAnsi="Times New Roman"/>
          <w:color w:val="000000"/>
          <w:sz w:val="20"/>
        </w:rPr>
        <w:t xml:space="preserve"> </w:t>
      </w:r>
      <w:r>
        <w:rPr>
          <w:rFonts w:ascii="Times New Roman" w:hAnsi="Times New Roman"/>
          <w:color w:val="000000"/>
          <w:sz w:val="22"/>
        </w:rPr>
        <w:t>This Agreement shall automatically terminate upon the earliest to occur, if any, of: (a) either the Company, on the one hand, or the Underwriters, on the other hand, advising the other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writing, prior to the execution of the Underwriting Agreement, that they have determined not to proceed with the IPO; (b) termination of the Underwriting Agreement (other than the provisions thereof which survive termination) prior to the sale of any of the Common Stock to the Underwriters; (c) the registration statement filed with the SEC with respect to the IPO is withdrawn; (d) if the Closing has not occurred on or prior to June 25, 2026; or (e) the written consent of each of the Company and the Investor.</w:t>
      </w:r>
    </w:p>
    <w:p>
      <w:pPr>
        <w:pStyle w:val="TextBody"/>
        <w:bidi w:val="0"/>
        <w:spacing w:before="240" w:after="283"/>
        <w:ind w:left="0" w:right="43" w:hanging="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hereto have executed this Agreement to be effective as of the date first set forth above.</w:t>
      </w:r>
    </w:p>
    <w:p>
      <w:pPr>
        <w:pStyle w:val="TextBody"/>
        <w:bidi w:val="0"/>
        <w:jc w:val="left"/>
        <w:rPr/>
      </w:pPr>
      <w:r>
        <w:rPr/>
        <w:t> </w:t>
      </w:r>
    </w:p>
    <w:p>
      <w:pPr>
        <w:pStyle w:val="TextBody"/>
        <w:bidi w:val="0"/>
        <w:spacing w:before="23" w:after="283"/>
        <w:jc w:val="left"/>
        <w:rPr/>
      </w:pPr>
      <w:r>
        <w:rPr/>
        <w:t> </w:t>
      </w:r>
    </w:p>
    <w:tbl>
      <w:tblPr>
        <w:tblW w:w="5360" w:type="dxa"/>
        <w:jc w:val="left"/>
        <w:tblInd w:w="0" w:type="dxa"/>
        <w:tblLayout w:type="fixed"/>
        <w:tblCellMar>
          <w:top w:w="28" w:type="dxa"/>
          <w:left w:w="28" w:type="dxa"/>
          <w:bottom w:w="28" w:type="dxa"/>
          <w:right w:w="28" w:type="dxa"/>
        </w:tblCellMar>
      </w:tblPr>
      <w:tblGrid>
        <w:gridCol w:w="786"/>
        <w:gridCol w:w="4574"/>
      </w:tblGrid>
      <w:tr>
        <w:trPr/>
        <w:tc>
          <w:tcPr>
            <w:tcW w:w="786" w:type="dxa"/>
            <w:tcBorders/>
            <w:vAlign w:val="center"/>
          </w:tcPr>
          <w:p>
            <w:pPr>
              <w:pStyle w:val="TableContents"/>
              <w:bidi w:val="0"/>
              <w:spacing w:before="0" w:after="283"/>
              <w:jc w:val="left"/>
              <w:rPr>
                <w:sz w:val="4"/>
                <w:szCs w:val="4"/>
              </w:rPr>
            </w:pPr>
            <w:r>
              <w:rPr>
                <w:sz w:val="4"/>
                <w:szCs w:val="4"/>
              </w:rPr>
            </w:r>
          </w:p>
        </w:tc>
        <w:tc>
          <w:tcPr>
            <w:tcW w:w="4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360" w:type="dxa"/>
            <w:gridSpan w:val="2"/>
            <w:tcBorders/>
            <w:tcMar>
              <w:top w:w="0" w:type="dxa"/>
              <w:left w:w="0" w:type="dxa"/>
              <w:bottom w:w="0" w:type="dxa"/>
              <w:right w:w="0" w:type="dxa"/>
            </w:tcMar>
            <w:vAlign w:val="center"/>
          </w:tcPr>
          <w:p>
            <w:pPr>
              <w:pStyle w:val="TableContents"/>
              <w:bidi w:val="0"/>
              <w:ind w:left="50" w:right="0" w:firstLine="50"/>
              <w:jc w:val="left"/>
              <w:rPr>
                <w:rFonts w:ascii="Times New Roman" w:hAnsi="Times New Roman"/>
                <w:b/>
                <w:color w:val="000000"/>
                <w:sz w:val="22"/>
              </w:rPr>
            </w:pPr>
            <w:r>
              <w:rPr>
                <w:rFonts w:ascii="Times New Roman" w:hAnsi="Times New Roman"/>
                <w:b/>
                <w:color w:val="000000"/>
                <w:sz w:val="22"/>
              </w:rPr>
              <w:t>COMPANY</w:t>
            </w:r>
          </w:p>
          <w:p>
            <w:pPr>
              <w:pStyle w:val="TableContents"/>
              <w:bidi w:val="0"/>
              <w:ind w:left="50" w:right="0" w:firstLine="50"/>
              <w:jc w:val="left"/>
              <w:rPr/>
            </w:pPr>
            <w:r>
              <w:rPr/>
              <w:t> </w:t>
            </w:r>
          </w:p>
          <w:p>
            <w:pPr>
              <w:pStyle w:val="TableContents"/>
              <w:bidi w:val="0"/>
              <w:ind w:left="50" w:right="0" w:firstLine="50"/>
              <w:jc w:val="left"/>
              <w:rPr>
                <w:rFonts w:ascii="Times New Roman" w:hAnsi="Times New Roman"/>
                <w:b/>
                <w:color w:val="000000"/>
                <w:sz w:val="22"/>
              </w:rPr>
            </w:pPr>
            <w:r>
              <w:rPr>
                <w:rFonts w:ascii="Times New Roman" w:hAnsi="Times New Roman"/>
                <w:b/>
                <w:color w:val="000000"/>
                <w:sz w:val="22"/>
              </w:rPr>
              <w:t>PARABILIS MEDICINES, INC.</w:t>
            </w:r>
          </w:p>
          <w:p>
            <w:pPr>
              <w:pStyle w:val="TableContents"/>
              <w:bidi w:val="0"/>
              <w:spacing w:before="0" w:after="283"/>
              <w:ind w:left="0" w:right="0" w:firstLine="50"/>
              <w:jc w:val="left"/>
              <w:rPr/>
            </w:pPr>
            <w:r>
              <w:rPr/>
              <w:t> </w:t>
            </w:r>
          </w:p>
        </w:tc>
      </w:tr>
      <w:tr>
        <w:trPr/>
        <w:tc>
          <w:tcPr>
            <w:tcW w:w="786" w:type="dxa"/>
            <w:tcBorders/>
            <w:tcMar>
              <w:top w:w="0" w:type="dxa"/>
              <w:left w:w="0" w:type="dxa"/>
              <w:bottom w:w="0" w:type="dxa"/>
              <w:right w:w="0" w:type="dxa"/>
            </w:tcMar>
            <w:vAlign w:val="center"/>
          </w:tcPr>
          <w:p>
            <w:pPr>
              <w:pStyle w:val="TableContents"/>
              <w:bidi w:val="0"/>
              <w:spacing w:before="126" w:after="283"/>
              <w:ind w:left="0" w:right="0" w:firstLine="8"/>
              <w:jc w:val="left"/>
              <w:rPr>
                <w:rFonts w:ascii="Times New Roman" w:hAnsi="Times New Roman"/>
                <w:color w:val="000000"/>
                <w:sz w:val="22"/>
              </w:rPr>
            </w:pPr>
            <w:r>
              <w:rPr>
                <w:rFonts w:ascii="Times New Roman" w:hAnsi="Times New Roman"/>
                <w:color w:val="000000"/>
                <w:sz w:val="22"/>
              </w:rPr>
              <w:t>By:</w:t>
            </w:r>
          </w:p>
        </w:tc>
        <w:tc>
          <w:tcPr>
            <w:tcW w:w="4574" w:type="dxa"/>
            <w:tcBorders>
              <w:bottom w:val="single" w:sz="4" w:space="0" w:color="000000"/>
            </w:tcBorders>
            <w:tcMar>
              <w:top w:w="0" w:type="dxa"/>
              <w:left w:w="0" w:type="dxa"/>
              <w:right w:w="0" w:type="dxa"/>
            </w:tcMar>
            <w:vAlign w:val="center"/>
          </w:tcPr>
          <w:p>
            <w:pPr>
              <w:pStyle w:val="TableContents"/>
              <w:bidi w:val="0"/>
              <w:spacing w:before="126" w:after="283"/>
              <w:ind w:left="0" w:right="0" w:firstLine="50"/>
              <w:jc w:val="left"/>
              <w:rPr>
                <w:color w:val="000000"/>
              </w:rPr>
            </w:pPr>
            <w:r>
              <w:rPr>
                <w:color w:val="000000"/>
              </w:rPr>
              <w:t> </w:t>
            </w:r>
            <w:r>
              <w:rPr>
                <w:rFonts w:ascii="Times New Roman" w:hAnsi="Times New Roman"/>
                <w:color w:val="000000"/>
                <w:sz w:val="22"/>
              </w:rPr>
              <w:t>/s/ Mathai Mammen</w:t>
            </w:r>
          </w:p>
        </w:tc>
      </w:tr>
      <w:tr>
        <w:trPr/>
        <w:tc>
          <w:tcPr>
            <w:tcW w:w="786" w:type="dxa"/>
            <w:tcBorders/>
            <w:tcMar>
              <w:top w:w="0" w:type="dxa"/>
              <w:left w:w="0" w:type="dxa"/>
              <w:bottom w:w="0" w:type="dxa"/>
              <w:right w:w="0" w:type="dxa"/>
            </w:tcMar>
            <w:vAlign w:val="center"/>
          </w:tcPr>
          <w:p>
            <w:pPr>
              <w:pStyle w:val="TableContents"/>
              <w:bidi w:val="0"/>
              <w:spacing w:before="17" w:after="283"/>
              <w:ind w:left="50" w:right="0" w:firstLine="50"/>
              <w:jc w:val="left"/>
              <w:rPr>
                <w:rFonts w:ascii="Times New Roman" w:hAnsi="Times New Roman"/>
                <w:color w:val="000000"/>
                <w:sz w:val="22"/>
              </w:rPr>
            </w:pPr>
            <w:r>
              <w:rPr>
                <w:rFonts w:ascii="Times New Roman" w:hAnsi="Times New Roman"/>
                <w:color w:val="000000"/>
                <w:sz w:val="22"/>
              </w:rPr>
              <w:t>Name:</w:t>
            </w:r>
          </w:p>
        </w:tc>
        <w:tc>
          <w:tcPr>
            <w:tcW w:w="4574" w:type="dxa"/>
            <w:tcBorders/>
            <w:tcMar>
              <w:top w:w="0" w:type="dxa"/>
              <w:left w:w="0" w:type="dxa"/>
              <w:bottom w:w="0" w:type="dxa"/>
              <w:right w:w="0" w:type="dxa"/>
            </w:tcMar>
            <w:vAlign w:val="center"/>
          </w:tcPr>
          <w:p>
            <w:pPr>
              <w:pStyle w:val="TableContents"/>
              <w:bidi w:val="0"/>
              <w:spacing w:before="17" w:after="283"/>
              <w:ind w:left="0" w:right="0" w:firstLine="50"/>
              <w:jc w:val="left"/>
              <w:rPr>
                <w:color w:val="000000"/>
              </w:rPr>
            </w:pPr>
            <w:r>
              <w:rPr>
                <w:color w:val="000000"/>
              </w:rPr>
              <w:t> </w:t>
            </w:r>
            <w:r>
              <w:rPr>
                <w:rFonts w:ascii="Times New Roman" w:hAnsi="Times New Roman"/>
                <w:color w:val="000000"/>
                <w:sz w:val="22"/>
              </w:rPr>
              <w:t>Mathai Mammen</w:t>
            </w:r>
          </w:p>
        </w:tc>
      </w:tr>
      <w:tr>
        <w:trPr/>
        <w:tc>
          <w:tcPr>
            <w:tcW w:w="786" w:type="dxa"/>
            <w:tcBorders/>
            <w:tcMar>
              <w:top w:w="0" w:type="dxa"/>
              <w:left w:w="0" w:type="dxa"/>
              <w:bottom w:w="0" w:type="dxa"/>
              <w:right w:w="0" w:type="dxa"/>
            </w:tcMar>
            <w:vAlign w:val="center"/>
          </w:tcPr>
          <w:p>
            <w:pPr>
              <w:pStyle w:val="TableContents"/>
              <w:bidi w:val="0"/>
              <w:spacing w:before="0" w:after="283"/>
              <w:ind w:left="0" w:right="0" w:firstLine="13"/>
              <w:jc w:val="left"/>
              <w:rPr>
                <w:rFonts w:ascii="Times New Roman" w:hAnsi="Times New Roman"/>
                <w:color w:val="000000"/>
                <w:sz w:val="22"/>
              </w:rPr>
            </w:pPr>
            <w:r>
              <w:rPr>
                <w:rFonts w:ascii="Times New Roman" w:hAnsi="Times New Roman"/>
                <w:color w:val="000000"/>
                <w:sz w:val="22"/>
              </w:rPr>
              <w:t>Title:</w:t>
            </w:r>
          </w:p>
        </w:tc>
        <w:tc>
          <w:tcPr>
            <w:tcW w:w="4574" w:type="dxa"/>
            <w:tcBorders/>
            <w:tcMar>
              <w:top w:w="0" w:type="dxa"/>
              <w:left w:w="0" w:type="dxa"/>
              <w:bottom w:w="0" w:type="dxa"/>
              <w:right w:w="0" w:type="dxa"/>
            </w:tcMar>
            <w:vAlign w:val="center"/>
          </w:tcPr>
          <w:p>
            <w:pPr>
              <w:pStyle w:val="TableContents"/>
              <w:bidi w:val="0"/>
              <w:spacing w:before="0" w:after="283"/>
              <w:ind w:left="13" w:right="0" w:firstLine="13"/>
              <w:jc w:val="left"/>
              <w:rPr>
                <w:rFonts w:ascii="Times New Roman" w:hAnsi="Times New Roman"/>
                <w:color w:val="000000"/>
                <w:sz w:val="22"/>
              </w:rPr>
            </w:pPr>
            <w:r>
              <w:rPr>
                <w:rFonts w:ascii="Times New Roman" w:hAnsi="Times New Roman"/>
                <w:color w:val="000000"/>
                <w:sz w:val="22"/>
              </w:rPr>
              <w:t>Chairman, Chief Executive Officer &amp; President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685" w:type="dxa"/>
        <w:jc w:val="left"/>
        <w:tblInd w:w="0" w:type="dxa"/>
        <w:tblLayout w:type="fixed"/>
        <w:tblCellMar>
          <w:top w:w="28" w:type="dxa"/>
          <w:left w:w="28" w:type="dxa"/>
          <w:bottom w:w="28" w:type="dxa"/>
          <w:right w:w="28" w:type="dxa"/>
        </w:tblCellMar>
      </w:tblPr>
      <w:tblGrid>
        <w:gridCol w:w="966"/>
        <w:gridCol w:w="3719"/>
      </w:tblGrid>
      <w:tr>
        <w:trPr/>
        <w:tc>
          <w:tcPr>
            <w:tcW w:w="966"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685" w:type="dxa"/>
            <w:gridSpan w:val="2"/>
            <w:tcBorders/>
            <w:tcMar>
              <w:top w:w="0" w:type="dxa"/>
              <w:left w:w="0" w:type="dxa"/>
              <w:bottom w:w="0" w:type="dxa"/>
              <w:right w:w="0" w:type="dxa"/>
            </w:tcMar>
            <w:vAlign w:val="center"/>
          </w:tcPr>
          <w:p>
            <w:pPr>
              <w:pStyle w:val="TableContents"/>
              <w:bidi w:val="0"/>
              <w:ind w:left="50" w:right="0" w:firstLine="50"/>
              <w:jc w:val="left"/>
              <w:rPr>
                <w:rFonts w:ascii="Times New Roman" w:hAnsi="Times New Roman"/>
                <w:b/>
                <w:color w:val="000000"/>
                <w:sz w:val="22"/>
              </w:rPr>
            </w:pPr>
            <w:r>
              <w:rPr>
                <w:rFonts w:ascii="Times New Roman" w:hAnsi="Times New Roman"/>
                <w:b/>
                <w:color w:val="000000"/>
                <w:sz w:val="22"/>
              </w:rPr>
              <w:t>INVESTOR</w:t>
            </w:r>
          </w:p>
          <w:p>
            <w:pPr>
              <w:pStyle w:val="TableContents"/>
              <w:bidi w:val="0"/>
              <w:ind w:left="50" w:right="0" w:firstLine="50"/>
              <w:jc w:val="left"/>
              <w:rPr/>
            </w:pPr>
            <w:r>
              <w:rPr/>
              <w:t> </w:t>
            </w:r>
          </w:p>
          <w:p>
            <w:pPr>
              <w:pStyle w:val="TableContents"/>
              <w:bidi w:val="0"/>
              <w:ind w:left="50" w:right="0" w:firstLine="50"/>
              <w:jc w:val="left"/>
              <w:rPr>
                <w:rFonts w:ascii="Times New Roman" w:hAnsi="Times New Roman"/>
                <w:b/>
                <w:color w:val="000000"/>
                <w:sz w:val="22"/>
              </w:rPr>
            </w:pPr>
            <w:r>
              <w:rPr>
                <w:rFonts w:ascii="Times New Roman" w:hAnsi="Times New Roman"/>
                <w:b/>
                <w:color w:val="000000"/>
                <w:sz w:val="22"/>
              </w:rPr>
              <w:t>REGENERON PHARMACEUTICALS, INC.</w:t>
            </w:r>
          </w:p>
          <w:p>
            <w:pPr>
              <w:pStyle w:val="TableContents"/>
              <w:bidi w:val="0"/>
              <w:spacing w:before="0" w:after="283"/>
              <w:ind w:left="0" w:right="0" w:firstLine="50"/>
              <w:jc w:val="left"/>
              <w:rPr/>
            </w:pPr>
            <w:r>
              <w:rPr/>
              <w:t> </w:t>
            </w:r>
          </w:p>
        </w:tc>
      </w:tr>
      <w:tr>
        <w:trPr/>
        <w:tc>
          <w:tcPr>
            <w:tcW w:w="966" w:type="dxa"/>
            <w:tcBorders/>
            <w:tcMar>
              <w:top w:w="0" w:type="dxa"/>
              <w:left w:w="0" w:type="dxa"/>
              <w:bottom w:w="0" w:type="dxa"/>
              <w:right w:w="0" w:type="dxa"/>
            </w:tcMar>
            <w:vAlign w:val="center"/>
          </w:tcPr>
          <w:p>
            <w:pPr>
              <w:pStyle w:val="TableContents"/>
              <w:bidi w:val="0"/>
              <w:spacing w:before="126" w:after="283"/>
              <w:ind w:left="0" w:right="0" w:firstLine="8"/>
              <w:jc w:val="left"/>
              <w:rPr>
                <w:rFonts w:ascii="Times New Roman" w:hAnsi="Times New Roman"/>
                <w:color w:val="000000"/>
                <w:sz w:val="22"/>
              </w:rPr>
            </w:pPr>
            <w:r>
              <w:rPr>
                <w:rFonts w:ascii="Times New Roman" w:hAnsi="Times New Roman"/>
                <w:color w:val="000000"/>
                <w:sz w:val="22"/>
              </w:rPr>
              <w:t>By:</w:t>
            </w:r>
          </w:p>
        </w:tc>
        <w:tc>
          <w:tcPr>
            <w:tcW w:w="3719" w:type="dxa"/>
            <w:tcBorders>
              <w:bottom w:val="single" w:sz="4" w:space="0" w:color="000000"/>
            </w:tcBorders>
            <w:tcMar>
              <w:top w:w="0" w:type="dxa"/>
              <w:left w:w="0" w:type="dxa"/>
              <w:right w:w="0" w:type="dxa"/>
            </w:tcMar>
            <w:vAlign w:val="center"/>
          </w:tcPr>
          <w:p>
            <w:pPr>
              <w:pStyle w:val="TableContents"/>
              <w:bidi w:val="0"/>
              <w:spacing w:before="126" w:after="283"/>
              <w:ind w:left="0" w:right="0" w:firstLine="50"/>
              <w:jc w:val="left"/>
              <w:rPr>
                <w:color w:val="000000"/>
              </w:rPr>
            </w:pPr>
            <w:r>
              <w:rPr>
                <w:color w:val="000000"/>
              </w:rPr>
              <w:t> </w:t>
            </w:r>
            <w:r>
              <w:rPr>
                <w:rFonts w:ascii="Times New Roman" w:hAnsi="Times New Roman"/>
                <w:color w:val="000000"/>
                <w:sz w:val="22"/>
              </w:rPr>
              <w:t>/s/ Christopher Fenimore</w:t>
            </w:r>
          </w:p>
        </w:tc>
      </w:tr>
      <w:tr>
        <w:trPr/>
        <w:tc>
          <w:tcPr>
            <w:tcW w:w="966" w:type="dxa"/>
            <w:tcBorders/>
            <w:tcMar>
              <w:top w:w="0" w:type="dxa"/>
              <w:left w:w="0" w:type="dxa"/>
              <w:bottom w:w="0" w:type="dxa"/>
              <w:right w:w="0" w:type="dxa"/>
            </w:tcMar>
            <w:vAlign w:val="center"/>
          </w:tcPr>
          <w:p>
            <w:pPr>
              <w:pStyle w:val="TableContents"/>
              <w:bidi w:val="0"/>
              <w:spacing w:before="17" w:after="283"/>
              <w:ind w:left="0" w:right="0" w:firstLine="14"/>
              <w:jc w:val="left"/>
              <w:rPr>
                <w:rFonts w:ascii="Times New Roman" w:hAnsi="Times New Roman"/>
                <w:color w:val="000000"/>
                <w:sz w:val="22"/>
              </w:rPr>
            </w:pPr>
            <w:r>
              <w:rPr>
                <w:rFonts w:ascii="Times New Roman" w:hAnsi="Times New Roman"/>
                <w:color w:val="000000"/>
                <w:sz w:val="22"/>
              </w:rPr>
              <w:t>Name:</w:t>
            </w:r>
          </w:p>
        </w:tc>
        <w:tc>
          <w:tcPr>
            <w:tcW w:w="3719"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2"/>
              </w:rPr>
            </w:pPr>
            <w:r>
              <w:rPr>
                <w:rFonts w:ascii="Times New Roman" w:hAnsi="Times New Roman"/>
                <w:color w:val="000000"/>
                <w:sz w:val="22"/>
              </w:rPr>
              <w:t>Christopher Fenimore</w:t>
            </w:r>
          </w:p>
        </w:tc>
      </w:tr>
      <w:tr>
        <w:trPr/>
        <w:tc>
          <w:tcPr>
            <w:tcW w:w="966"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2"/>
              </w:rPr>
            </w:pPr>
            <w:r>
              <w:rPr>
                <w:rFonts w:ascii="Times New Roman" w:hAnsi="Times New Roman"/>
                <w:color w:val="000000"/>
                <w:sz w:val="22"/>
              </w:rPr>
              <w:t>Title:</w:t>
            </w:r>
          </w:p>
        </w:tc>
        <w:tc>
          <w:tcPr>
            <w:tcW w:w="3719" w:type="dxa"/>
            <w:tcBorders/>
            <w:tcMar>
              <w:top w:w="0" w:type="dxa"/>
              <w:left w:w="0" w:type="dxa"/>
              <w:bottom w:w="0" w:type="dxa"/>
              <w:right w:w="0" w:type="dxa"/>
            </w:tcMar>
            <w:vAlign w:val="center"/>
          </w:tcPr>
          <w:p>
            <w:pPr>
              <w:pStyle w:val="TableContents"/>
              <w:bidi w:val="0"/>
              <w:spacing w:before="0" w:after="283"/>
              <w:ind w:left="50" w:right="0" w:firstLine="50"/>
              <w:jc w:val="left"/>
              <w:rPr>
                <w:rFonts w:ascii="Times New Roman" w:hAnsi="Times New Roman"/>
                <w:color w:val="000000"/>
                <w:sz w:val="22"/>
              </w:rPr>
            </w:pPr>
            <w:r>
              <w:rPr>
                <w:rFonts w:ascii="Times New Roman" w:hAnsi="Times New Roman"/>
                <w:color w:val="000000"/>
                <w:sz w:val="22"/>
              </w:rPr>
              <w:t>EVP, Chief Financial Officer</w:t>
            </w:r>
          </w:p>
        </w:tc>
      </w:tr>
    </w:tbl>
    <w:p>
      <w:pPr>
        <w:pStyle w:val="TextBody"/>
        <w:bidi w:val="0"/>
        <w:jc w:val="left"/>
        <w:rPr/>
      </w:pPr>
      <w:r>
        <w:rPr/>
        <w:t> </w:t>
      </w:r>
    </w:p>
    <w:p>
      <w:pPr>
        <w:pStyle w:val="TextBody"/>
        <w:bidi w:val="0"/>
        <w:ind w:left="119" w:right="40" w:hanging="0"/>
        <w:jc w:val="center"/>
        <w:rPr>
          <w:rFonts w:ascii="Times New Roman" w:hAnsi="Times New Roman"/>
          <w:color w:val="000000"/>
          <w:sz w:val="20"/>
        </w:rPr>
      </w:pPr>
      <w:r>
        <w:rPr>
          <w:rFonts w:ascii="Times New Roman" w:hAnsi="Times New Roman"/>
          <w:color w:val="000000"/>
          <w:sz w:val="20"/>
        </w:rPr>
        <w:t>[Signature Page to Stock Purchase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EXHIBIT A</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Form of Underwriting Agreement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25755</Words>
  <Characters>132924</Characters>
  <CharactersWithSpaces>158424</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